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jc w:val="center"/>
              <w:rPr>
                <w:kern w:val="2"/>
                <w:sz w:val="36"/>
                <w:szCs w:val="36"/>
                <w:lang w:bidi="en-US"/>
              </w:rPr>
            </w:pPr>
            <w:r>
              <w:rPr>
                <w:kern w:val="2"/>
                <w:sz w:val="36"/>
                <w:szCs w:val="36"/>
              </w:rPr>
              <w:t>OmniRAN PAR and 5C Text</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AB24E7">
              <w:rPr>
                <w:kern w:val="2"/>
              </w:rPr>
              <w:t>2013-09-2</w:t>
            </w:r>
            <w:r w:rsidR="00645B5F">
              <w:rPr>
                <w:kern w:val="2"/>
              </w:rPr>
              <w:t>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AB24E7">
            <w:pPr>
              <w:spacing w:line="276" w:lineRule="auto"/>
              <w:rPr>
                <w:rFonts w:cstheme="minorBidi"/>
                <w:sz w:val="22"/>
                <w:szCs w:val="22"/>
              </w:rPr>
            </w:pPr>
            <w:r>
              <w:rPr>
                <w:rFonts w:cstheme="minorBidi"/>
                <w:sz w:val="22"/>
                <w:szCs w:val="22"/>
              </w:rPr>
              <w:t>Antonio de la Oliva</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AB24E7">
            <w:pPr>
              <w:spacing w:line="276" w:lineRule="auto"/>
              <w:rPr>
                <w:rFonts w:cstheme="minorBidi"/>
                <w:sz w:val="22"/>
                <w:szCs w:val="22"/>
              </w:rPr>
            </w:pPr>
            <w:r>
              <w:rPr>
                <w:rFonts w:cstheme="minorBidi"/>
                <w:sz w:val="22"/>
                <w:szCs w:val="22"/>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645B5F">
        <w:trPr>
          <w:trHeight w:val="360"/>
        </w:trPr>
        <w:tc>
          <w:tcPr>
            <w:tcW w:w="1402"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 xml:space="preserve">This document contains the text proposal for PAR and 5C for a Recommended Practice for </w:t>
      </w:r>
      <w:r w:rsidRPr="00645B5F">
        <w:t>Network Reference Model and Functional Description of IEEE 802 based Access Networks</w:t>
      </w:r>
    </w:p>
    <w:p w:rsidR="00902FE5" w:rsidRPr="001D3911" w:rsidRDefault="00902FE5" w:rsidP="001D3911">
      <w:pPr>
        <w:pStyle w:val="Body"/>
      </w:pPr>
      <w:r>
        <w:t>Proposed amendments to the PAR and 5C text are marked in red.</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tblPr>
      <w:tblGrid>
        <w:gridCol w:w="9390"/>
      </w:tblGrid>
      <w:tr w:rsidR="00645B5F" w:rsidRPr="0078169C" w:rsidTr="001E5DF4">
        <w:tc>
          <w:tcPr>
            <w:tcW w:w="0" w:type="auto"/>
            <w:vAlign w:val="center"/>
            <w:hideMark/>
          </w:tcPr>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25"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26"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27"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commentRangeStart w:id="0"/>
            <w:r>
              <w:rPr>
                <w:rFonts w:ascii="Verdana" w:hAnsi="Verdana"/>
                <w:sz w:val="24"/>
                <w:szCs w:val="24"/>
              </w:rPr>
              <w:t>N</w:t>
            </w:r>
            <w:r w:rsidRPr="00C871D7">
              <w:rPr>
                <w:rFonts w:ascii="Verdana" w:hAnsi="Verdana"/>
                <w:sz w:val="24"/>
                <w:szCs w:val="24"/>
              </w:rPr>
              <w:t>etwork Reference Model and Functional Description of IEEE 802 based Access Networks</w:t>
            </w:r>
            <w:commentRangeEnd w:id="0"/>
            <w:r w:rsidR="00816139">
              <w:rPr>
                <w:rStyle w:val="CommentReference"/>
              </w:rPr>
              <w:commentReference w:id="0"/>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28"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29"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3"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30" style="width:0;height:.75pt" o:hralign="center" o:hrstd="t" o:hr="t" fillcolor="#a0a0a0" stroked="f"/>
              </w:pict>
            </w:r>
          </w:p>
          <w:p w:rsidR="00645B5F" w:rsidRPr="00C871D7" w:rsidRDefault="00645B5F" w:rsidP="001E5DF4">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/2016 &lt;&lt;check with Tony&gt;&gt;</w:t>
            </w:r>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sidRPr="00C871D7">
              <w:rPr>
                <w:rFonts w:ascii="Verdana" w:hAnsi="Verdana"/>
                <w:bCs/>
                <w:sz w:val="24"/>
                <w:szCs w:val="24"/>
              </w:rPr>
              <w:t>03/2017</w:t>
            </w:r>
            <w:r>
              <w:rPr>
                <w:rFonts w:ascii="Verdana" w:hAnsi="Verdana"/>
                <w:bCs/>
                <w:sz w:val="24"/>
                <w:szCs w:val="24"/>
              </w:rPr>
              <w:t xml:space="preserve"> &lt;&lt;check with Tony&gt;&gt;</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31" style="width:0;height:.75pt" o:hralign="center" o:hrstd="t" o:hr="t" fillcolor="#a0a0a0" stroked="f"/>
              </w:pict>
            </w:r>
          </w:p>
          <w:p w:rsidR="00645B5F" w:rsidRDefault="00645B5F" w:rsidP="001E5DF4">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645B5F" w:rsidRDefault="00645B5F" w:rsidP="001E5DF4">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r>
              <w:rPr>
                <w:rFonts w:ascii="Verdana" w:hAnsi="Verdana"/>
                <w:color w:val="000000"/>
                <w:sz w:val="24"/>
                <w:szCs w:val="24"/>
              </w:rPr>
              <w:t xml:space="preserve">deployment of access </w:t>
            </w:r>
            <w:r>
              <w:rPr>
                <w:rFonts w:ascii="Verdana" w:hAnsi="Verdana"/>
                <w:color w:val="000000"/>
                <w:sz w:val="24"/>
                <w:szCs w:val="24"/>
              </w:rPr>
              <w:lastRenderedPageBreak/>
              <w:t xml:space="preserve">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commentRangeStart w:id="1"/>
            <w:r>
              <w:rPr>
                <w:rFonts w:ascii="Verdana" w:hAnsi="Verdana"/>
                <w:color w:val="000000"/>
                <w:sz w:val="24"/>
                <w:szCs w:val="24"/>
              </w:rPr>
              <w:t>It describes a Network Reference Model and the behavior and functional composition of IEEE 802 protocols realizing access networks for different purposes.</w:t>
            </w:r>
            <w:commentRangeEnd w:id="1"/>
            <w:r w:rsidR="00816139">
              <w:rPr>
                <w:rStyle w:val="CommentReference"/>
              </w:rPr>
              <w:commentReference w:id="1"/>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645B5F" w:rsidRDefault="00645B5F" w:rsidP="001E5DF4">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enable users and operators to more easily design and deploy access networks based on IEEE 802 technologies, guide the developers of extensions to the existing standards in how the pieces are fitting together, and to extend the applicability of IEEE 802 standards into new deployment domains by illustrating the structure and functions of the IEEE 802 standards family for 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645B5F" w:rsidP="001E5DF4">
            <w:pPr>
              <w:spacing w:after="240"/>
              <w:rPr>
                <w:rFonts w:ascii="Verdana" w:hAnsi="Verdana"/>
                <w:sz w:val="24"/>
                <w:szCs w:val="24"/>
              </w:rPr>
            </w:pPr>
            <w:commentRangeStart w:id="2"/>
            <w:r>
              <w:rPr>
                <w:rFonts w:ascii="Verdana" w:hAnsi="Verdana"/>
                <w:sz w:val="24"/>
                <w:szCs w:val="24"/>
              </w:rPr>
              <w:t>For heterogeneous networks, user terminals may have to support multiple network interfaces, multiple network access technologies, and multiple network subscriptions. The proje</w:t>
            </w:r>
            <w:r w:rsidR="0056351E">
              <w:rPr>
                <w:rFonts w:ascii="Verdana" w:hAnsi="Verdana"/>
                <w:sz w:val="24"/>
                <w:szCs w:val="24"/>
              </w:rPr>
              <w:t>ct will generate a recommended practice to deploy IEEE 802 protocols for</w:t>
            </w:r>
            <w:r>
              <w:rPr>
                <w:rFonts w:ascii="Verdana" w:hAnsi="Verdana"/>
                <w:sz w:val="24"/>
                <w:szCs w:val="24"/>
              </w:rPr>
              <w:t xml:space="preserve"> </w:t>
            </w:r>
            <w:r w:rsidR="0056351E">
              <w:rPr>
                <w:rFonts w:ascii="Verdana" w:hAnsi="Verdana"/>
                <w:sz w:val="24"/>
                <w:szCs w:val="24"/>
              </w:rPr>
              <w:t>building access networks enabling such functionalities</w:t>
            </w:r>
            <w:r>
              <w:rPr>
                <w:rFonts w:ascii="Verdana" w:hAnsi="Verdana"/>
                <w:sz w:val="24"/>
                <w:szCs w:val="24"/>
              </w:rPr>
              <w:t>.</w:t>
            </w:r>
            <w:commentRangeEnd w:id="2"/>
            <w:r w:rsidR="00816139">
              <w:rPr>
                <w:rStyle w:val="CommentReference"/>
              </w:rPr>
              <w:commentReference w:id="2"/>
            </w:r>
          </w:p>
          <w:p w:rsidR="00645B5F" w:rsidRDefault="00645B5F" w:rsidP="001E5DF4">
            <w:pPr>
              <w:spacing w:after="240"/>
              <w:rPr>
                <w:rFonts w:ascii="Verdana" w:hAnsi="Verdana"/>
                <w:b/>
                <w:bCs/>
                <w:color w:val="000000"/>
                <w:sz w:val="24"/>
                <w:szCs w:val="24"/>
              </w:rPr>
            </w:pPr>
            <w:r>
              <w:rPr>
                <w:rFonts w:ascii="Verdana" w:hAnsi="Verdana"/>
                <w:color w:val="000000"/>
                <w:sz w:val="24"/>
                <w:szCs w:val="24"/>
              </w:rPr>
              <w:t xml:space="preserve">Today, many more networks are coming up for connecting any kind of devices, </w:t>
            </w:r>
            <w:commentRangeStart w:id="3"/>
            <w:r>
              <w:rPr>
                <w:rFonts w:ascii="Verdana" w:hAnsi="Verdana"/>
                <w:color w:val="000000"/>
                <w:sz w:val="24"/>
                <w:szCs w:val="24"/>
              </w:rPr>
              <w:t>such as Smart Grid, Home Automation or Internet of Things</w:t>
            </w:r>
            <w:commentRangeEnd w:id="3"/>
            <w:r w:rsidR="00816139">
              <w:rPr>
                <w:rStyle w:val="CommentReference"/>
              </w:rPr>
              <w:commentReference w:id="3"/>
            </w:r>
            <w:r>
              <w:rPr>
                <w:rFonts w:ascii="Verdana" w:hAnsi="Verdana"/>
                <w:color w:val="000000"/>
                <w:sz w:val="24"/>
                <w:szCs w:val="24"/>
              </w:rPr>
              <w:t xml:space="preserve">. However, new deployments may suffer the same old networking issues, such as service control, security and provisioning. This project will foster the market growth by unifying the interfaces, enabling sharing of network control, and eventually bringing down the barriers for new network technologies and new </w:t>
            </w:r>
            <w:r w:rsidR="0056351E">
              <w:rPr>
                <w:rFonts w:ascii="Verdana" w:hAnsi="Verdana"/>
                <w:color w:val="000000"/>
                <w:sz w:val="24"/>
                <w:szCs w:val="24"/>
              </w:rPr>
              <w:t xml:space="preserve">network </w:t>
            </w:r>
            <w:r>
              <w:rPr>
                <w:rFonts w:ascii="Verdana" w:hAnsi="Verdana"/>
                <w:color w:val="000000"/>
                <w:sz w:val="24"/>
                <w:szCs w:val="24"/>
              </w:rPr>
              <w:t>operators</w:t>
            </w:r>
            <w:r w:rsidR="0056351E">
              <w:rPr>
                <w:rFonts w:ascii="Verdana" w:hAnsi="Verdana"/>
                <w:color w:val="000000"/>
                <w:sz w:val="24"/>
                <w:szCs w:val="24"/>
              </w:rPr>
              <w:t xml:space="preserve"> and service providers</w:t>
            </w:r>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645B5F" w:rsidRPr="00D42E6F" w:rsidRDefault="00645B5F" w:rsidP="001E5DF4">
            <w:pPr>
              <w:spacing w:after="240"/>
              <w:rPr>
                <w:rFonts w:ascii="Verdana" w:hAnsi="Verdana"/>
                <w:sz w:val="24"/>
                <w:szCs w:val="24"/>
              </w:rPr>
            </w:pPr>
            <w:r>
              <w:rPr>
                <w:rFonts w:ascii="Verdana" w:hAnsi="Verdana"/>
                <w:sz w:val="24"/>
                <w:szCs w:val="24"/>
              </w:rPr>
              <w:t>Network operators, service providers, network equipment manufacturers, semiconductor manufacturers, consumer electronic device manufacturers, standards developers, other IEEE 802 working groups</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32"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33" style="width:0;height:.75pt" o:hralign="center" o:hrstd="t" o:hr="t" fillcolor="#a0a0a0" stroked="f"/>
              </w:pict>
            </w:r>
          </w:p>
          <w:p w:rsidR="00645B5F" w:rsidRDefault="00645B5F" w:rsidP="001E5DF4">
            <w:pPr>
              <w:rPr>
                <w:rFonts w:ascii="Verdana" w:hAnsi="Verdana"/>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lastRenderedPageBreak/>
              <w:t>7.2 Joint Development</w:t>
            </w:r>
            <w:r w:rsidRPr="0078169C">
              <w:rPr>
                <w:rFonts w:ascii="Verdana" w:hAnsi="Verdana"/>
                <w:color w:val="000000"/>
                <w:sz w:val="24"/>
                <w:szCs w:val="24"/>
              </w:rPr>
              <w:br/>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1E5DF4">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1E5DF4">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7D4A73" w:rsidP="001E5DF4">
            <w:pPr>
              <w:rPr>
                <w:rFonts w:ascii="Verdana" w:hAnsi="Verdana"/>
                <w:color w:val="000000"/>
                <w:sz w:val="24"/>
                <w:szCs w:val="24"/>
              </w:rPr>
            </w:pPr>
            <w:r w:rsidRPr="007D4A73">
              <w:rPr>
                <w:rFonts w:ascii="Verdana" w:hAnsi="Verdana"/>
                <w:color w:val="000000"/>
                <w:sz w:val="24"/>
                <w:szCs w:val="24"/>
              </w:rPr>
              <w:pict>
                <v:rect id="_x0000_i1034" style="width:0;height:.75pt" o:hralign="center" o:hrstd="t" o:hr="t" fillcolor="#a0a0a0" stroked="f"/>
              </w:pict>
            </w:r>
          </w:p>
          <w:p w:rsidR="00645B5F" w:rsidRPr="0078169C" w:rsidRDefault="00645B5F" w:rsidP="001E5DF4">
            <w:pPr>
              <w:spacing w:after="240"/>
              <w:rPr>
                <w:rFonts w:ascii="Verdana" w:hAnsi="Verdana"/>
                <w:color w:val="000000"/>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r w:rsidRPr="003D4153">
              <w:rPr>
                <w:rFonts w:ascii="Verdana" w:hAnsi="Verdana"/>
                <w:color w:val="C0504D" w:themeColor="accent2"/>
                <w:sz w:val="24"/>
                <w:szCs w:val="24"/>
              </w:rPr>
              <w:t>##enter text##</w:t>
            </w:r>
          </w:p>
        </w:tc>
      </w:tr>
      <w:tr w:rsidR="00645B5F" w:rsidRPr="0078169C" w:rsidTr="001E5DF4">
        <w:tc>
          <w:tcPr>
            <w:tcW w:w="0" w:type="auto"/>
            <w:vAlign w:val="center"/>
          </w:tcPr>
          <w:p w:rsidR="00645B5F" w:rsidRDefault="00645B5F" w:rsidP="001E5DF4">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4"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IEEE 802 LMSC defines a family of standards. All standards should be in </w:t>
      </w:r>
      <w:proofErr w:type="gramStart"/>
      <w:r>
        <w:rPr>
          <w:color w:val="000000"/>
          <w:sz w:val="24"/>
          <w:szCs w:val="24"/>
        </w:rPr>
        <w:t>conformance :</w:t>
      </w:r>
      <w:proofErr w:type="gramEnd"/>
      <w:r>
        <w:rPr>
          <w:color w:val="000000"/>
          <w:sz w:val="24"/>
          <w:szCs w:val="24"/>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The PAR defines in the scope that the standard shall support solutions based on IEEE 802 technologies, which includes the IEEE Std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The standard is substantially different from all other IEEE 802 standards as it addresses aspects of access networks usually described within a ‘</w:t>
      </w:r>
      <w:commentRangeStart w:id="4"/>
      <w:r w:rsidRPr="005D74BF">
        <w:rPr>
          <w:color w:val="FF0000"/>
          <w:sz w:val="24"/>
          <w:szCs w:val="24"/>
        </w:rPr>
        <w:t>Stage 2</w:t>
      </w:r>
      <w:commentRangeEnd w:id="4"/>
      <w:r w:rsidR="00816139">
        <w:rPr>
          <w:rStyle w:val="CommentReference"/>
        </w:rPr>
        <w:commentReference w:id="4"/>
      </w:r>
      <w:r w:rsidRPr="005D74BF">
        <w:rPr>
          <w:color w:val="FF0000"/>
          <w:sz w:val="24"/>
          <w:szCs w:val="24"/>
        </w:rPr>
        <w:t>’ document. 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5"/>
      <w:r w:rsidRPr="00E4326B">
        <w:rPr>
          <w:color w:val="FF0000"/>
          <w:sz w:val="24"/>
          <w:szCs w:val="24"/>
        </w:rPr>
        <w:t>The standard provides a generic model and a functional description of access networks based on IEEE 802 technologies</w:t>
      </w:r>
      <w:commentRangeEnd w:id="5"/>
      <w:r w:rsidR="00816139">
        <w:rPr>
          <w:rStyle w:val="CommentReference"/>
        </w:rPr>
        <w:commentReference w:id="5"/>
      </w:r>
      <w:r w:rsidRPr="00E4326B">
        <w:rPr>
          <w:color w:val="FF0000"/>
          <w:sz w:val="24"/>
          <w:szCs w:val="24"/>
        </w:rPr>
        <w:t>.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proofErr w:type="gramStart"/>
      <w:r w:rsidR="005E54E3">
        <w:rPr>
          <w:color w:val="FF0000"/>
          <w:sz w:val="24"/>
          <w:szCs w:val="24"/>
        </w:rPr>
        <w:t>provide</w:t>
      </w:r>
      <w:proofErr w:type="gramEnd"/>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 (e.g. </w:t>
      </w:r>
      <w:proofErr w:type="spellStart"/>
      <w:r>
        <w:rPr>
          <w:color w:val="FF0000"/>
          <w:sz w:val="24"/>
          <w:szCs w:val="24"/>
        </w:rPr>
        <w:t>WiMAX</w:t>
      </w:r>
      <w:proofErr w:type="spellEnd"/>
      <w:r>
        <w:rPr>
          <w:color w:val="FF0000"/>
          <w:sz w:val="24"/>
          <w:szCs w:val="24"/>
        </w:rPr>
        <w:t xml:space="preserve"> Forum NWG).</w:t>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tonio de la Oliva" w:date="2013-09-27T08:30:00Z" w:initials="Ad">
    <w:p w:rsidR="00816139" w:rsidRDefault="00816139">
      <w:pPr>
        <w:pStyle w:val="CommentText"/>
      </w:pPr>
      <w:r>
        <w:rPr>
          <w:rStyle w:val="CommentReference"/>
        </w:rPr>
        <w:annotationRef/>
      </w:r>
      <w:r>
        <w:t>I see some problems with this wording, although it is clearly stated this specification is a network functional requirements, I think it can be confused with the main 802 architecture. I would suggest to add something regarding use-case driven network reference model or similar</w:t>
      </w:r>
    </w:p>
    <w:p w:rsidR="00816139" w:rsidRDefault="00816139">
      <w:pPr>
        <w:pStyle w:val="CommentText"/>
      </w:pPr>
    </w:p>
    <w:p w:rsidR="00816139" w:rsidRDefault="00816139">
      <w:pPr>
        <w:pStyle w:val="CommentText"/>
      </w:pPr>
      <w:r>
        <w:t>Also, this rules out work on the terminal, for example how to interconnect multiple technologies at the terminal</w:t>
      </w:r>
    </w:p>
  </w:comment>
  <w:comment w:id="1" w:author="Antonio de la Oliva" w:date="2013-09-27T08:26:00Z" w:initials="Ad">
    <w:p w:rsidR="00816139" w:rsidRDefault="00816139">
      <w:pPr>
        <w:pStyle w:val="CommentText"/>
      </w:pPr>
      <w:r>
        <w:rPr>
          <w:rStyle w:val="CommentReference"/>
        </w:rPr>
        <w:annotationRef/>
      </w:r>
      <w:r>
        <w:t>Same comment as before, since probably we will need several models depending on the application, maybe it is worth to highlight that we want to explain how to build the network for specific uses.</w:t>
      </w:r>
    </w:p>
    <w:p w:rsidR="00816139" w:rsidRDefault="00816139">
      <w:pPr>
        <w:pStyle w:val="CommentText"/>
      </w:pPr>
    </w:p>
    <w:p w:rsidR="00816139" w:rsidRDefault="00816139">
      <w:pPr>
        <w:pStyle w:val="CommentText"/>
      </w:pPr>
      <w:r>
        <w:t>Maybe, It describes Network reference models, behaviors and functional compositions of IEEE 802 protocols and technologies realizing</w:t>
      </w:r>
      <w:proofErr w:type="gramStart"/>
      <w:r>
        <w:t>..</w:t>
      </w:r>
      <w:proofErr w:type="gramEnd"/>
    </w:p>
  </w:comment>
  <w:comment w:id="2" w:author="Antonio de la Oliva" w:date="2013-09-27T08:29:00Z" w:initials="Ad">
    <w:p w:rsidR="00816139" w:rsidRDefault="00816139">
      <w:pPr>
        <w:pStyle w:val="CommentText"/>
      </w:pPr>
      <w:r>
        <w:rPr>
          <w:rStyle w:val="CommentReference"/>
        </w:rPr>
        <w:annotationRef/>
      </w:r>
      <w:r>
        <w:t>You talk here of the terminal, but the specification does not say anything of it. Maybe we should extend the scope to also tackle the terminal side</w:t>
      </w:r>
    </w:p>
  </w:comment>
  <w:comment w:id="3" w:author="Antonio de la Oliva" w:date="2013-09-27T08:28:00Z" w:initials="Ad">
    <w:p w:rsidR="00816139" w:rsidRDefault="00816139">
      <w:pPr>
        <w:pStyle w:val="CommentText"/>
      </w:pPr>
      <w:r>
        <w:rPr>
          <w:rStyle w:val="CommentReference"/>
        </w:rPr>
        <w:annotationRef/>
      </w:r>
      <w:r>
        <w:t>Add some other example, such as connecting IEEE networks to other networks. Like it is now, it seems mostly focused on the sensor world</w:t>
      </w:r>
    </w:p>
  </w:comment>
  <w:comment w:id="4" w:author="Antonio de la Oliva" w:date="2013-09-27T08:31:00Z" w:initials="Ad">
    <w:p w:rsidR="00816139" w:rsidRDefault="00816139">
      <w:pPr>
        <w:pStyle w:val="CommentText"/>
      </w:pPr>
      <w:r>
        <w:rPr>
          <w:rStyle w:val="CommentReference"/>
        </w:rPr>
        <w:annotationRef/>
      </w:r>
      <w:r>
        <w:t>Maybe expand this with some explanation</w:t>
      </w:r>
    </w:p>
  </w:comment>
  <w:comment w:id="5" w:author="Antonio de la Oliva" w:date="2013-09-27T08:31:00Z" w:initials="Ad">
    <w:p w:rsidR="00816139" w:rsidRDefault="00816139">
      <w:pPr>
        <w:pStyle w:val="CommentText"/>
      </w:pPr>
      <w:r>
        <w:rPr>
          <w:rStyle w:val="CommentReference"/>
        </w:rPr>
        <w:annotationRef/>
      </w:r>
      <w:r>
        <w:t>This is very restrictive, I am not sure we are able to have just one model. If it is the case it would be too generic to be useful</w:t>
      </w:r>
      <w:bookmarkStart w:id="6" w:name="_GoBack"/>
      <w:bookmarkEnd w:id="6"/>
      <w:r>
        <w:t xml:space="preserve"> IMHO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98E" w:rsidRDefault="0065698E" w:rsidP="00E4011C">
      <w:r>
        <w:separator/>
      </w:r>
    </w:p>
  </w:endnote>
  <w:endnote w:type="continuationSeparator" w:id="0">
    <w:p w:rsidR="0065698E" w:rsidRDefault="0065698E"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Ｐ明朝">
    <w:charset w:val="4E"/>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ＭＳ Ｐ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7D4A73">
    <w:pPr>
      <w:pStyle w:val="Footer"/>
      <w:tabs>
        <w:tab w:val="clear" w:pos="4320"/>
        <w:tab w:val="center" w:pos="4590"/>
      </w:tabs>
      <w:rPr>
        <w:rStyle w:val="PageNumber"/>
        <w:rFonts w:ascii="Times New Roman" w:hAnsi="Times New Roman"/>
        <w:sz w:val="20"/>
      </w:rPr>
    </w:pPr>
    <w:r w:rsidRPr="007D4A73">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7D4A73">
                <w:pPr>
                  <w:pStyle w:val="Footer"/>
                </w:pPr>
                <w:r>
                  <w:rPr>
                    <w:rStyle w:val="PageNumber"/>
                  </w:rPr>
                  <w:fldChar w:fldCharType="begin"/>
                </w:r>
                <w:r w:rsidR="00474B3D">
                  <w:rPr>
                    <w:rStyle w:val="PageNumber"/>
                  </w:rPr>
                  <w:instrText xml:space="preserve"> PAGE </w:instrText>
                </w:r>
                <w:r>
                  <w:rPr>
                    <w:rStyle w:val="PageNumber"/>
                  </w:rPr>
                  <w:fldChar w:fldCharType="separate"/>
                </w:r>
                <w:r w:rsidR="00AB24E7">
                  <w:rPr>
                    <w:rStyle w:val="PageNumber"/>
                    <w:noProof/>
                  </w:rPr>
                  <w:t>1</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98E" w:rsidRDefault="0065698E" w:rsidP="00E4011C">
      <w:r>
        <w:separator/>
      </w:r>
    </w:p>
  </w:footnote>
  <w:footnote w:type="continuationSeparator" w:id="0">
    <w:p w:rsidR="0065698E" w:rsidRDefault="0065698E"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AB24E7">
      <w:rPr>
        <w:rFonts w:asciiTheme="majorHAnsi" w:hAnsiTheme="majorHAnsi" w:cstheme="majorHAnsi"/>
      </w:rPr>
      <w:t>omniran-13-0076-00</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098">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92FBC"/>
    <w:rsid w:val="000F39E3"/>
    <w:rsid w:val="00141812"/>
    <w:rsid w:val="001873E1"/>
    <w:rsid w:val="001945BD"/>
    <w:rsid w:val="001D3911"/>
    <w:rsid w:val="001F073C"/>
    <w:rsid w:val="002257F4"/>
    <w:rsid w:val="002431FB"/>
    <w:rsid w:val="002A2744"/>
    <w:rsid w:val="002D41FE"/>
    <w:rsid w:val="002F38C9"/>
    <w:rsid w:val="002F5D4C"/>
    <w:rsid w:val="00340F4B"/>
    <w:rsid w:val="00373B86"/>
    <w:rsid w:val="00385B6E"/>
    <w:rsid w:val="004419CE"/>
    <w:rsid w:val="00474B3D"/>
    <w:rsid w:val="004C4989"/>
    <w:rsid w:val="0055480C"/>
    <w:rsid w:val="0056351E"/>
    <w:rsid w:val="00594A58"/>
    <w:rsid w:val="005A6A10"/>
    <w:rsid w:val="005B2A89"/>
    <w:rsid w:val="005E54E3"/>
    <w:rsid w:val="00620E9A"/>
    <w:rsid w:val="00645B5F"/>
    <w:rsid w:val="0065698E"/>
    <w:rsid w:val="006660AD"/>
    <w:rsid w:val="00675A03"/>
    <w:rsid w:val="00693032"/>
    <w:rsid w:val="006E6CA9"/>
    <w:rsid w:val="007A65B2"/>
    <w:rsid w:val="007C2472"/>
    <w:rsid w:val="007D4A73"/>
    <w:rsid w:val="007F716F"/>
    <w:rsid w:val="00816139"/>
    <w:rsid w:val="008326B6"/>
    <w:rsid w:val="00860281"/>
    <w:rsid w:val="00883A58"/>
    <w:rsid w:val="008B705A"/>
    <w:rsid w:val="008D0516"/>
    <w:rsid w:val="00902FE5"/>
    <w:rsid w:val="0092701D"/>
    <w:rsid w:val="00931504"/>
    <w:rsid w:val="00936442"/>
    <w:rsid w:val="00940B69"/>
    <w:rsid w:val="009434A5"/>
    <w:rsid w:val="0096683C"/>
    <w:rsid w:val="00970550"/>
    <w:rsid w:val="009B4BE0"/>
    <w:rsid w:val="009C07E4"/>
    <w:rsid w:val="009F36DA"/>
    <w:rsid w:val="00A26E23"/>
    <w:rsid w:val="00A277C3"/>
    <w:rsid w:val="00AA5E3A"/>
    <w:rsid w:val="00AA5F61"/>
    <w:rsid w:val="00AA7CB7"/>
    <w:rsid w:val="00AB24E7"/>
    <w:rsid w:val="00AE6F86"/>
    <w:rsid w:val="00B11B9C"/>
    <w:rsid w:val="00BB297F"/>
    <w:rsid w:val="00BE10E9"/>
    <w:rsid w:val="00BE1454"/>
    <w:rsid w:val="00BE18FC"/>
    <w:rsid w:val="00BE734F"/>
    <w:rsid w:val="00C0402F"/>
    <w:rsid w:val="00C724AF"/>
    <w:rsid w:val="00C87788"/>
    <w:rsid w:val="00CF093A"/>
    <w:rsid w:val="00D507C8"/>
    <w:rsid w:val="00D70923"/>
    <w:rsid w:val="00D73040"/>
    <w:rsid w:val="00DC27F9"/>
    <w:rsid w:val="00DE2F03"/>
    <w:rsid w:val="00E11D38"/>
    <w:rsid w:val="00E4011C"/>
    <w:rsid w:val="00E47D14"/>
    <w:rsid w:val="00E5656C"/>
    <w:rsid w:val="00E80323"/>
    <w:rsid w:val="00EB060C"/>
    <w:rsid w:val="00EE126B"/>
    <w:rsid w:val="00F030F1"/>
    <w:rsid w:val="00F36FDC"/>
    <w:rsid w:val="00F66CDF"/>
    <w:rsid w:val="00F74346"/>
    <w:rsid w:val="00F86E56"/>
    <w:rsid w:val="00FA1B3D"/>
    <w:rsid w:val="00FA7C5E"/>
    <w:rsid w:val="00FD1387"/>
    <w:rsid w:val="00FD286D"/>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mailto:gilb%40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p.nikolich%40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x.riegel@ieee.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http://www.ieee802.org/PNP/approved/IEEE_802_OM_v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11149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2013-09-17T13:32:00Z</dcterms:created>
  <dcterms:modified xsi:type="dcterms:W3CDTF">2013-09-28T10:11:00Z</dcterms:modified>
</cp:coreProperties>
</file>