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P802.24</w:t>
      </w:r>
    </w:p>
    <w:p>
      <w:pPr>
        <w:pStyle w:val="Normal"/>
        <w:jc w:val="center"/>
        <w:rPr>
          <w:b/>
          <w:b/>
          <w:sz w:val="28"/>
        </w:rPr>
      </w:pPr>
      <w:r>
        <w:rPr>
          <w:b/>
          <w:sz w:val="28"/>
        </w:rPr>
        <w:t>Vertical Applications Technical Advisory Group</w:t>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6"/>
        <w:gridCol w:w="7929"/>
        <w:gridCol w:w="265"/>
      </w:tblGrid>
      <w:tr>
        <w:trPr/>
        <w:tc>
          <w:tcPr>
            <w:tcW w:w="1256" w:type="dxa"/>
            <w:tcBorders>
              <w:top w:val="single" w:sz="6" w:space="0" w:color="000000"/>
            </w:tcBorders>
          </w:tcPr>
          <w:p>
            <w:pPr>
              <w:pStyle w:val="Covertext"/>
              <w:widowControl w:val="false"/>
              <w:spacing w:before="120" w:after="120"/>
              <w:rPr/>
            </w:pPr>
            <w:r>
              <w:rPr/>
              <w:t>Project</w:t>
            </w:r>
          </w:p>
        </w:tc>
        <w:tc>
          <w:tcPr>
            <w:tcW w:w="8194" w:type="dxa"/>
            <w:gridSpan w:val="2"/>
            <w:tcBorders>
              <w:top w:val="single" w:sz="6" w:space="0" w:color="000000"/>
            </w:tcBorders>
          </w:tcPr>
          <w:p>
            <w:pPr>
              <w:pStyle w:val="Covertext"/>
              <w:widowControl w:val="false"/>
              <w:spacing w:before="120" w:after="120"/>
              <w:rPr/>
            </w:pPr>
            <w:r>
              <w:rPr/>
              <w:t>IEEE P802.24 Vertical Applications Technical Advisory Group</w:t>
            </w:r>
          </w:p>
        </w:tc>
      </w:tr>
      <w:tr>
        <w:trPr/>
        <w:tc>
          <w:tcPr>
            <w:tcW w:w="1256" w:type="dxa"/>
            <w:tcBorders>
              <w:top w:val="single" w:sz="6" w:space="0" w:color="000000"/>
            </w:tcBorders>
          </w:tcPr>
          <w:p>
            <w:pPr>
              <w:pStyle w:val="Covertext"/>
              <w:widowControl w:val="false"/>
              <w:spacing w:before="120" w:after="120"/>
              <w:rPr/>
            </w:pPr>
            <w:r>
              <w:rPr/>
              <w:t>Title</w:t>
            </w:r>
          </w:p>
        </w:tc>
        <w:tc>
          <w:tcPr>
            <w:tcW w:w="8194" w:type="dxa"/>
            <w:gridSpan w:val="2"/>
            <w:tcBorders>
              <w:top w:val="single" w:sz="6" w:space="0" w:color="000000"/>
            </w:tcBorders>
          </w:tcPr>
          <w:p>
            <w:pPr>
              <w:pStyle w:val="Covertext"/>
              <w:widowControl w:val="false"/>
              <w:spacing w:before="120" w:after="120"/>
              <w:rPr/>
            </w:pPr>
            <w:r>
              <w:rPr>
                <w:b/>
                <w:sz w:val="28"/>
              </w:rPr>
              <w:t>IEEE 802 Networks for Vertical Applications White Paper</w:t>
            </w:r>
          </w:p>
        </w:tc>
      </w:tr>
      <w:tr>
        <w:trPr/>
        <w:tc>
          <w:tcPr>
            <w:tcW w:w="1256" w:type="dxa"/>
            <w:tcBorders>
              <w:top w:val="single" w:sz="6" w:space="0" w:color="000000"/>
            </w:tcBorders>
          </w:tcPr>
          <w:p>
            <w:pPr>
              <w:pStyle w:val="Covertext"/>
              <w:widowControl w:val="false"/>
              <w:spacing w:before="120" w:after="120"/>
              <w:rPr/>
            </w:pPr>
            <w:r>
              <w:rPr/>
              <w:t>Date Submitted</w:t>
            </w:r>
          </w:p>
        </w:tc>
        <w:tc>
          <w:tcPr>
            <w:tcW w:w="8194" w:type="dxa"/>
            <w:gridSpan w:val="2"/>
            <w:tcBorders>
              <w:top w:val="single" w:sz="6" w:space="0" w:color="000000"/>
            </w:tcBorders>
          </w:tcPr>
          <w:p>
            <w:pPr>
              <w:pStyle w:val="Covertext"/>
              <w:widowControl w:val="false"/>
              <w:spacing w:before="120" w:after="120"/>
              <w:rPr/>
            </w:pPr>
            <w:r>
              <w:rPr/>
              <w:t>2022-07-11</w:t>
            </w:r>
          </w:p>
        </w:tc>
      </w:tr>
      <w:tr>
        <w:trPr/>
        <w:tc>
          <w:tcPr>
            <w:tcW w:w="1256" w:type="dxa"/>
            <w:tcBorders>
              <w:top w:val="single" w:sz="4" w:space="0" w:color="000000"/>
              <w:bottom w:val="single" w:sz="4" w:space="0" w:color="000000"/>
            </w:tcBorders>
          </w:tcPr>
          <w:p>
            <w:pPr>
              <w:pStyle w:val="Covertext"/>
              <w:widowControl w:val="false"/>
              <w:spacing w:before="120" w:after="120"/>
              <w:rPr/>
            </w:pPr>
            <w:r>
              <w:rPr/>
              <w:t>Source</w:t>
            </w:r>
          </w:p>
        </w:tc>
        <w:tc>
          <w:tcPr>
            <w:tcW w:w="7929" w:type="dxa"/>
            <w:tcBorders>
              <w:top w:val="single" w:sz="4" w:space="0" w:color="000000"/>
              <w:bottom w:val="single" w:sz="4" w:space="0" w:color="000000"/>
            </w:tcBorders>
          </w:tcPr>
          <w:p>
            <w:pPr>
              <w:pStyle w:val="Covertext"/>
              <w:widowControl w:val="false"/>
              <w:spacing w:before="0" w:after="0"/>
              <w:rPr/>
            </w:pPr>
            <w:r>
              <w:rPr/>
              <w:t xml:space="preserve">Max Riegel, leveraging content of </w:t>
              <w:br/>
              <w:t>24-19-0017-15-0000-ieee-802-solutions-for-vertical-applications.docx</w:t>
            </w:r>
          </w:p>
        </w:tc>
        <w:tc>
          <w:tcPr>
            <w:tcW w:w="265" w:type="dxa"/>
            <w:tcBorders>
              <w:top w:val="single" w:sz="4" w:space="0" w:color="000000"/>
              <w:bottom w:val="single" w:sz="4" w:space="0" w:color="000000"/>
            </w:tcBorders>
          </w:tcPr>
          <w:p>
            <w:pPr>
              <w:pStyle w:val="Covertext"/>
              <w:widowControl w:val="false"/>
              <w:tabs>
                <w:tab w:val="clear" w:pos="720"/>
                <w:tab w:val="left" w:pos="1152" w:leader="none"/>
              </w:tabs>
              <w:spacing w:before="0" w:after="0"/>
              <w:rPr>
                <w:sz w:val="18"/>
              </w:rPr>
            </w:pPr>
            <w:r>
              <w:rPr>
                <w:sz w:val="18"/>
              </w:rPr>
            </w:r>
          </w:p>
        </w:tc>
      </w:tr>
      <w:tr>
        <w:trPr/>
        <w:tc>
          <w:tcPr>
            <w:tcW w:w="1256" w:type="dxa"/>
            <w:tcBorders>
              <w:top w:val="single" w:sz="6" w:space="0" w:color="000000"/>
            </w:tcBorders>
          </w:tcPr>
          <w:p>
            <w:pPr>
              <w:pStyle w:val="Covertext"/>
              <w:widowControl w:val="false"/>
              <w:spacing w:before="120" w:after="120"/>
              <w:rPr/>
            </w:pPr>
            <w:r>
              <w:rPr/>
              <w:t>Re:</w:t>
            </w:r>
          </w:p>
        </w:tc>
        <w:tc>
          <w:tcPr>
            <w:tcW w:w="8194" w:type="dxa"/>
            <w:gridSpan w:val="2"/>
            <w:tcBorders>
              <w:top w:val="single" w:sz="6" w:space="0" w:color="000000"/>
            </w:tcBorders>
          </w:tcPr>
          <w:p>
            <w:pPr>
              <w:pStyle w:val="Covertext"/>
              <w:widowControl w:val="false"/>
              <w:spacing w:before="120" w:after="120"/>
              <w:rPr/>
            </w:pPr>
            <w:r>
              <w:rPr/>
              <w:t>N/A</w:t>
            </w:r>
          </w:p>
        </w:tc>
      </w:tr>
      <w:tr>
        <w:trPr/>
        <w:tc>
          <w:tcPr>
            <w:tcW w:w="1256" w:type="dxa"/>
            <w:tcBorders>
              <w:top w:val="single" w:sz="6" w:space="0" w:color="000000"/>
            </w:tcBorders>
          </w:tcPr>
          <w:p>
            <w:pPr>
              <w:pStyle w:val="Covertext"/>
              <w:widowControl w:val="false"/>
              <w:spacing w:before="120" w:after="120"/>
              <w:rPr/>
            </w:pPr>
            <w:r>
              <w:rPr/>
              <w:t>Abstract</w:t>
            </w:r>
          </w:p>
        </w:tc>
        <w:tc>
          <w:tcPr>
            <w:tcW w:w="8194" w:type="dxa"/>
            <w:gridSpan w:val="2"/>
            <w:tcBorders>
              <w:top w:val="single" w:sz="6" w:space="0" w:color="000000"/>
            </w:tcBorders>
          </w:tcPr>
          <w:p>
            <w:pPr>
              <w:pStyle w:val="Covertext"/>
              <w:widowControl w:val="false"/>
              <w:spacing w:before="120" w:after="120"/>
              <w:rPr/>
            </w:pPr>
            <w:r>
              <w:rPr/>
            </w:r>
          </w:p>
        </w:tc>
      </w:tr>
      <w:tr>
        <w:trPr/>
        <w:tc>
          <w:tcPr>
            <w:tcW w:w="1256" w:type="dxa"/>
            <w:tcBorders>
              <w:top w:val="single" w:sz="6" w:space="0" w:color="000000"/>
            </w:tcBorders>
          </w:tcPr>
          <w:p>
            <w:pPr>
              <w:pStyle w:val="Covertext"/>
              <w:widowControl w:val="false"/>
              <w:spacing w:before="120" w:after="120"/>
              <w:rPr/>
            </w:pPr>
            <w:r>
              <w:rPr/>
              <w:t>Purpose</w:t>
            </w:r>
          </w:p>
        </w:tc>
        <w:tc>
          <w:tcPr>
            <w:tcW w:w="8194" w:type="dxa"/>
            <w:gridSpan w:val="2"/>
            <w:tcBorders>
              <w:top w:val="single" w:sz="6" w:space="0" w:color="000000"/>
            </w:tcBorders>
          </w:tcPr>
          <w:p>
            <w:pPr>
              <w:pStyle w:val="Covertext"/>
              <w:widowControl w:val="false"/>
              <w:spacing w:before="120" w:after="120"/>
              <w:rPr/>
            </w:pPr>
            <w:r>
              <w:rPr/>
            </w:r>
          </w:p>
        </w:tc>
      </w:tr>
      <w:tr>
        <w:trPr/>
        <w:tc>
          <w:tcPr>
            <w:tcW w:w="1256" w:type="dxa"/>
            <w:tcBorders>
              <w:top w:val="single" w:sz="6" w:space="0" w:color="000000"/>
              <w:bottom w:val="single" w:sz="6" w:space="0" w:color="000000"/>
            </w:tcBorders>
          </w:tcPr>
          <w:p>
            <w:pPr>
              <w:pStyle w:val="Covertext"/>
              <w:widowControl w:val="false"/>
              <w:spacing w:before="120" w:after="120"/>
              <w:rPr/>
            </w:pPr>
            <w:r>
              <w:rPr/>
              <w:t>Notice</w:t>
            </w:r>
          </w:p>
        </w:tc>
        <w:tc>
          <w:tcPr>
            <w:tcW w:w="8194"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6" w:space="0" w:color="000000"/>
              <w:bottom w:val="single" w:sz="6" w:space="0" w:color="000000"/>
            </w:tcBorders>
          </w:tcPr>
          <w:p>
            <w:pPr>
              <w:pStyle w:val="Covertext"/>
              <w:widowControl w:val="false"/>
              <w:spacing w:before="120" w:after="120"/>
              <w:rPr/>
            </w:pPr>
            <w:r>
              <w:rPr/>
              <w:t>Release</w:t>
            </w:r>
          </w:p>
        </w:tc>
        <w:tc>
          <w:tcPr>
            <w:tcW w:w="8194"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P802.24.</w:t>
            </w:r>
          </w:p>
        </w:tc>
      </w:tr>
    </w:tbl>
    <w:p>
      <w:pPr>
        <w:pStyle w:val="Normal"/>
        <w:rPr/>
      </w:pPr>
      <w:r>
        <w:rPr/>
      </w:r>
    </w:p>
    <w:p>
      <w:pPr>
        <w:pStyle w:val="NoSpacing"/>
        <w:rPr/>
      </w:pPr>
      <w:r>
        <w:rPr/>
      </w:r>
      <w:r>
        <w:br w:type="page"/>
      </w:r>
    </w:p>
    <w:p>
      <w:pPr>
        <w:pStyle w:val="Heading1"/>
        <w:numPr>
          <w:ilvl w:val="0"/>
          <w:numId w:val="2"/>
        </w:numPr>
        <w:rPr/>
      </w:pPr>
      <w:r>
        <w:rPr/>
        <w:t>Background and Introduction</w:t>
      </w:r>
    </w:p>
    <w:p>
      <w:pPr>
        <w:pStyle w:val="Normal"/>
        <w:rPr/>
      </w:pPr>
      <w:r>
        <w:rPr/>
        <w:t>IEEE 802 technologies are used for a wide variety of applications and markets. Although the widespread usage and overwhelming adoption as PHY and Link layer technologies for all kind of information and communication solutions, a common perception of the value and differentiation of the IEEE 802 architecture in the context of vertical markets is not established, as well as there are no clear views about the reasons why IEEE 802 would be better suited to deployments in the communication infrastructure of private enterprise, industry, and the individual user,  and how does IEEE 802 compare to network architectures oriented towards service providers.</w:t>
      </w:r>
    </w:p>
    <w:p>
      <w:pPr>
        <w:pStyle w:val="Normal"/>
        <w:rPr/>
      </w:pPr>
      <w:r>
        <w:rPr/>
        <w:t xml:space="preserve">In a first stance it could be </w:t>
      </w:r>
      <w:r>
        <w:rPr>
          <w:rFonts w:eastAsia="Times New Roman" w:cs="Times New Roman"/>
          <w:color w:val="auto"/>
          <w:kern w:val="0"/>
          <w:sz w:val="24"/>
          <w:szCs w:val="20"/>
          <w:lang w:val="en-US" w:eastAsia="en-US" w:bidi="ar-SA"/>
        </w:rPr>
        <w:t>agreed</w:t>
      </w:r>
      <w:r>
        <w:rPr/>
        <w:t xml:space="preserve"> that the IEEE 802 architecture enables networks that are like Ethernet: Well understood, mature, predictable,offering a “cleaner” integration of disparate technologies under the common architecture and addressing.</w:t>
      </w:r>
    </w:p>
    <w:p>
      <w:pPr>
        <w:pStyle w:val="Normal"/>
        <w:rPr/>
      </w:pPr>
      <w:r>
        <w:rPr/>
        <w:t xml:space="preserve">This </w:t>
      </w:r>
      <w:r>
        <w:rPr>
          <w:rFonts w:eastAsia="Times New Roman" w:cs="Times New Roman"/>
          <w:color w:val="auto"/>
          <w:kern w:val="0"/>
          <w:sz w:val="24"/>
          <w:szCs w:val="20"/>
          <w:lang w:val="en-US" w:eastAsia="en-US" w:bidi="ar-SA"/>
        </w:rPr>
        <w:t>white-paper</w:t>
      </w:r>
      <w:r>
        <w:rPr/>
        <w:t xml:space="preserve"> is aimed to collect and spell out commonalities of IEEE 802 technologies and sets the scene in relation to other well-known communication standards of similar </w:t>
      </w:r>
      <w:r>
        <w:rPr>
          <w:rFonts w:eastAsia="Times New Roman" w:cs="Times New Roman"/>
          <w:color w:val="auto"/>
          <w:kern w:val="0"/>
          <w:sz w:val="24"/>
          <w:szCs w:val="20"/>
          <w:lang w:val="en-US" w:eastAsia="en-US" w:bidi="ar-SA"/>
        </w:rPr>
        <w:t>behavior.</w:t>
      </w:r>
    </w:p>
    <w:p>
      <w:pPr>
        <w:pStyle w:val="Normal"/>
        <w:rPr/>
      </w:pPr>
      <w:r>
        <w:rPr/>
      </w:r>
    </w:p>
    <w:p>
      <w:pPr>
        <w:pStyle w:val="Heading1"/>
        <w:numPr>
          <w:ilvl w:val="0"/>
          <w:numId w:val="2"/>
        </w:numPr>
        <w:rPr/>
      </w:pPr>
      <w:r>
        <w:rPr/>
        <w:t>Requirements of Vertical Applications</w:t>
      </w:r>
    </w:p>
    <w:p>
      <w:pPr>
        <w:pStyle w:val="Normal"/>
        <w:rPr/>
      </w:pPr>
      <w:r>
        <w:rPr/>
        <w:t xml:space="preserve">This section defines the characteristics of  Vertical Applications that usually integrate various systems including network connectivity in order to preform specific tasks or enable use cases for their industry. </w:t>
      </w:r>
    </w:p>
    <w:p>
      <w:pPr>
        <w:pStyle w:val="Heading2"/>
        <w:numPr>
          <w:ilvl w:val="1"/>
          <w:numId w:val="2"/>
        </w:numPr>
        <w:rPr/>
      </w:pPr>
      <w:r>
        <w:rPr/>
        <w:t>Defining “Vertical”</w:t>
      </w:r>
    </w:p>
    <w:p>
      <w:pPr>
        <w:pStyle w:val="Normal"/>
        <w:rPr/>
      </w:pPr>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pPr>
        <w:pStyle w:val="Normal"/>
        <w:rPr/>
      </w:pPr>
      <w:r>
        <w:rPr/>
      </w:r>
    </w:p>
    <w:p>
      <w:pPr>
        <w:pStyle w:val="Normal"/>
        <w:rPr/>
      </w:pPr>
      <w:r>
        <w:rPr/>
        <w:t xml:space="preserve">Vertical markets involved specific usage models: </w:t>
      </w:r>
    </w:p>
    <w:p>
      <w:pPr>
        <w:pStyle w:val="ListParagraph"/>
        <w:widowControl/>
        <w:numPr>
          <w:ilvl w:val="0"/>
          <w:numId w:val="7"/>
        </w:numPr>
        <w:suppressAutoHyphens w:val="true"/>
        <w:bidi w:val="0"/>
        <w:spacing w:before="0" w:after="0"/>
        <w:ind w:left="720" w:right="0" w:hanging="360"/>
        <w:contextualSpacing/>
        <w:jc w:val="left"/>
        <w:rPr/>
      </w:pPr>
      <w:r>
        <w:rPr/>
        <w:t>Industrial automation</w:t>
      </w:r>
    </w:p>
    <w:p>
      <w:pPr>
        <w:pStyle w:val="ListParagraph"/>
        <w:widowControl/>
        <w:numPr>
          <w:ilvl w:val="0"/>
          <w:numId w:val="7"/>
        </w:numPr>
        <w:suppressAutoHyphens w:val="true"/>
        <w:bidi w:val="0"/>
        <w:spacing w:before="0" w:after="0"/>
        <w:ind w:left="720" w:right="0" w:hanging="360"/>
        <w:contextualSpacing/>
        <w:jc w:val="left"/>
        <w:rPr/>
      </w:pPr>
      <w:r>
        <w:rPr/>
        <w:t>Building Automation</w:t>
      </w:r>
    </w:p>
    <w:p>
      <w:pPr>
        <w:pStyle w:val="ListParagraph"/>
        <w:widowControl/>
        <w:numPr>
          <w:ilvl w:val="0"/>
          <w:numId w:val="7"/>
        </w:numPr>
        <w:suppressAutoHyphens w:val="true"/>
        <w:bidi w:val="0"/>
        <w:spacing w:before="0" w:after="0"/>
        <w:ind w:left="720" w:right="0" w:hanging="360"/>
        <w:contextualSpacing/>
        <w:jc w:val="left"/>
        <w:rPr/>
      </w:pPr>
      <w:r>
        <w:rPr/>
        <w:t>Smart Cities</w:t>
      </w:r>
    </w:p>
    <w:p>
      <w:pPr>
        <w:pStyle w:val="ListParagraph"/>
        <w:widowControl/>
        <w:numPr>
          <w:ilvl w:val="0"/>
          <w:numId w:val="7"/>
        </w:numPr>
        <w:suppressAutoHyphens w:val="true"/>
        <w:bidi w:val="0"/>
        <w:spacing w:before="0" w:after="0"/>
        <w:ind w:left="720" w:right="0" w:hanging="360"/>
        <w:contextualSpacing/>
        <w:jc w:val="left"/>
        <w:rPr/>
      </w:pPr>
      <w:r>
        <w:rPr/>
        <w:t>Smart Grid / Utility</w:t>
      </w:r>
    </w:p>
    <w:p>
      <w:pPr>
        <w:pStyle w:val="ListParagraph"/>
        <w:widowControl/>
        <w:numPr>
          <w:ilvl w:val="0"/>
          <w:numId w:val="7"/>
        </w:numPr>
        <w:suppressAutoHyphens w:val="true"/>
        <w:bidi w:val="0"/>
        <w:spacing w:before="0" w:after="0"/>
        <w:ind w:left="720" w:right="0" w:hanging="360"/>
        <w:contextualSpacing/>
        <w:jc w:val="left"/>
        <w:rPr/>
      </w:pPr>
      <w:r>
        <w:rPr/>
        <w:t>Automotive / transportation</w:t>
      </w:r>
    </w:p>
    <w:p>
      <w:pPr>
        <w:pStyle w:val="ListParagraph"/>
        <w:widowControl/>
        <w:numPr>
          <w:ilvl w:val="0"/>
          <w:numId w:val="7"/>
        </w:numPr>
        <w:suppressAutoHyphens w:val="true"/>
        <w:bidi w:val="0"/>
        <w:spacing w:before="0" w:after="0"/>
        <w:ind w:left="720" w:right="0" w:hanging="360"/>
        <w:contextualSpacing/>
        <w:jc w:val="left"/>
        <w:rPr/>
      </w:pPr>
      <w:r>
        <w:rPr/>
        <w:t>Agriculture</w:t>
      </w:r>
    </w:p>
    <w:p>
      <w:pPr>
        <w:pStyle w:val="ListParagraph"/>
        <w:widowControl/>
        <w:numPr>
          <w:ilvl w:val="0"/>
          <w:numId w:val="7"/>
        </w:numPr>
        <w:suppressAutoHyphens w:val="true"/>
        <w:bidi w:val="0"/>
        <w:spacing w:before="0" w:after="0"/>
        <w:ind w:left="720" w:right="0" w:hanging="360"/>
        <w:contextualSpacing/>
        <w:jc w:val="left"/>
        <w:rPr/>
      </w:pPr>
      <w:r>
        <w:rPr/>
        <w:t>Connected Supply Chain</w:t>
      </w:r>
    </w:p>
    <w:p>
      <w:pPr>
        <w:pStyle w:val="ListParagraph"/>
        <w:widowControl/>
        <w:numPr>
          <w:ilvl w:val="0"/>
          <w:numId w:val="7"/>
        </w:numPr>
        <w:suppressAutoHyphens w:val="true"/>
        <w:bidi w:val="0"/>
        <w:spacing w:before="0" w:after="0"/>
        <w:ind w:left="720" w:right="0" w:hanging="360"/>
        <w:contextualSpacing/>
        <w:jc w:val="left"/>
        <w:rPr/>
      </w:pPr>
      <w:r>
        <w:rPr/>
        <w:t>Critical infrastructure protection and control</w:t>
      </w:r>
    </w:p>
    <w:p>
      <w:pPr>
        <w:pStyle w:val="ListParagraph"/>
        <w:widowControl/>
        <w:numPr>
          <w:ilvl w:val="0"/>
          <w:numId w:val="7"/>
        </w:numPr>
        <w:suppressAutoHyphens w:val="true"/>
        <w:bidi w:val="0"/>
        <w:spacing w:before="0" w:after="0"/>
        <w:ind w:left="720" w:right="0" w:hanging="360"/>
        <w:contextualSpacing/>
        <w:jc w:val="left"/>
        <w:rPr/>
      </w:pPr>
      <w:r>
        <w:rPr/>
        <w:t>Wide area gaming (including AR/VR)</w:t>
      </w:r>
    </w:p>
    <w:p>
      <w:pPr>
        <w:pStyle w:val="Normal"/>
        <w:rPr/>
      </w:pPr>
      <w:r>
        <w:rPr/>
      </w:r>
    </w:p>
    <w:p>
      <w:pPr>
        <w:pStyle w:val="Normal"/>
        <w:rPr/>
      </w:pPr>
      <w:r>
        <w:rPr/>
        <w:t xml:space="preserve">There are other ways of looking at </w:t>
      </w:r>
      <w:r>
        <w:rPr>
          <w:rFonts w:eastAsia="Times New Roman" w:cs="Times New Roman"/>
          <w:color w:val="auto"/>
          <w:kern w:val="0"/>
          <w:sz w:val="24"/>
          <w:szCs w:val="20"/>
          <w:lang w:val="en-US" w:eastAsia="en-US" w:bidi="ar-SA"/>
        </w:rPr>
        <w:t>‘</w:t>
      </w:r>
      <w:r>
        <w:rPr/>
        <w:t>Vertical</w:t>
      </w:r>
      <w:r>
        <w:rPr>
          <w:rFonts w:eastAsia="Times New Roman" w:cs="Times New Roman"/>
          <w:color w:val="auto"/>
          <w:kern w:val="0"/>
          <w:sz w:val="24"/>
          <w:szCs w:val="20"/>
          <w:lang w:val="en-US" w:eastAsia="en-US" w:bidi="ar-SA"/>
        </w:rPr>
        <w:t>’</w:t>
      </w:r>
      <w:r>
        <w:rPr/>
        <w:t>.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through providing the plain connectivity layer, e.g. IEEE 802.11 in IEEE 1609 vehicle-to-vehicle communications, or IEEE 802.15.4 in the SEP.</w:t>
      </w:r>
    </w:p>
    <w:p>
      <w:pPr>
        <w:pStyle w:val="Normal"/>
        <w:rPr/>
      </w:pPr>
      <w:r>
        <w:rPr/>
      </w:r>
    </w:p>
    <w:p>
      <w:pPr>
        <w:pStyle w:val="Normal"/>
        <w:rPr/>
      </w:pPr>
      <w:r>
        <w:rPr/>
        <w:t xml:space="preserve">Vertical markets often require highly-engineered networks to guarantee the quality of </w:t>
      </w:r>
      <w:r>
        <w:rPr>
          <w:rFonts w:eastAsia="Times New Roman" w:cs="Times New Roman"/>
          <w:color w:val="auto"/>
          <w:kern w:val="0"/>
          <w:sz w:val="24"/>
          <w:szCs w:val="20"/>
          <w:lang w:val="en-US" w:eastAsia="en-US" w:bidi="ar-SA"/>
        </w:rPr>
        <w:t>the</w:t>
      </w:r>
      <w:r>
        <w:rPr/>
        <w:t xml:space="preserve"> required </w:t>
      </w:r>
      <w:r>
        <w:rPr>
          <w:rFonts w:eastAsia="Times New Roman" w:cs="Times New Roman"/>
          <w:color w:val="auto"/>
          <w:kern w:val="0"/>
          <w:sz w:val="24"/>
          <w:szCs w:val="20"/>
          <w:lang w:val="en-US" w:eastAsia="en-US" w:bidi="ar-SA"/>
        </w:rPr>
        <w:t>communication</w:t>
      </w:r>
      <w:r>
        <w:rPr/>
        <w:t xml:space="preserve"> services. Quite often vertical markets follow extended lifecycles; the vertical network is expected to remain in service for a longer time than a service-provider network. </w:t>
      </w:r>
      <w:r>
        <w:rPr>
          <w:rFonts w:eastAsia="Times New Roman" w:cs="Times New Roman"/>
          <w:color w:val="auto"/>
          <w:kern w:val="0"/>
          <w:sz w:val="24"/>
          <w:szCs w:val="20"/>
          <w:lang w:val="en-US" w:eastAsia="en-US" w:bidi="ar-SA"/>
        </w:rPr>
        <w:t>A</w:t>
      </w:r>
      <w:r>
        <w:rPr/>
        <w:t xml:space="preserve">nd vertical markets may have different cost models compared to </w:t>
      </w:r>
      <w:r>
        <w:rPr>
          <w:rFonts w:eastAsia="Times New Roman" w:cs="Times New Roman"/>
          <w:color w:val="auto"/>
          <w:kern w:val="0"/>
          <w:sz w:val="24"/>
          <w:szCs w:val="20"/>
          <w:lang w:val="en-US" w:eastAsia="en-US" w:bidi="ar-SA"/>
        </w:rPr>
        <w:t>usual</w:t>
      </w:r>
      <w:r>
        <w:rPr/>
        <w:t xml:space="preserve"> public communication networks with some are opex averse, others are more capex averse. </w:t>
      </w:r>
    </w:p>
    <w:p>
      <w:pPr>
        <w:pStyle w:val="Heading1"/>
        <w:numPr>
          <w:ilvl w:val="0"/>
          <w:numId w:val="2"/>
        </w:numPr>
        <w:rPr/>
      </w:pPr>
      <w:r>
        <w:rPr/>
        <w:t xml:space="preserve">Economic Aspects for Vertical Application Networks </w:t>
      </w:r>
    </w:p>
    <w:p>
      <w:pPr>
        <w:pStyle w:val="Normal"/>
        <w:ind w:left="0" w:hanging="0"/>
        <w:rPr/>
      </w:pPr>
      <w:r>
        <w:rPr/>
        <w:t>IEEE 802 based  networks are usually aimed to “enable creating/delivering a product” instead of “the network is the product” defined by a open standard:</w:t>
      </w:r>
    </w:p>
    <w:p>
      <w:pPr>
        <w:pStyle w:val="ListParagraph"/>
        <w:numPr>
          <w:ilvl w:val="0"/>
          <w:numId w:val="17"/>
        </w:numPr>
        <w:rPr/>
      </w:pPr>
      <w:r>
        <w:rPr/>
        <w:t>IEEE needs to think about how to create that package without a “subscription model”</w:t>
      </w:r>
    </w:p>
    <w:p>
      <w:pPr>
        <w:pStyle w:val="ListParagraph"/>
        <w:numPr>
          <w:ilvl w:val="0"/>
          <w:numId w:val="17"/>
        </w:numPr>
        <w:rPr/>
      </w:pPr>
      <w:r>
        <w:rPr/>
        <w:t>IEEE 802 is often free to use</w:t>
      </w:r>
    </w:p>
    <w:p>
      <w:pPr>
        <w:pStyle w:val="ListParagraph"/>
        <w:numPr>
          <w:ilvl w:val="0"/>
          <w:numId w:val="17"/>
        </w:numPr>
        <w:rPr/>
      </w:pPr>
      <w:r>
        <w:rPr/>
        <w:t>IEEE 802 is deployed in vertical markets, where the network is owned and operated by the user of the services.</w:t>
      </w:r>
    </w:p>
    <w:p>
      <w:pPr>
        <w:pStyle w:val="ListParagraph"/>
        <w:numPr>
          <w:ilvl w:val="0"/>
          <w:numId w:val="6"/>
        </w:numPr>
        <w:rPr/>
      </w:pPr>
      <w:r>
        <w:rPr/>
        <w:t>There are also other models than subscription that provide ancillary economic value.</w:t>
      </w:r>
    </w:p>
    <w:p>
      <w:pPr>
        <w:pStyle w:val="ListParagraph"/>
        <w:numPr>
          <w:ilvl w:val="1"/>
          <w:numId w:val="6"/>
        </w:numPr>
        <w:rPr/>
      </w:pPr>
      <w:r>
        <w:rP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p>
    <w:p>
      <w:pPr>
        <w:pStyle w:val="Normal"/>
        <w:numPr>
          <w:ilvl w:val="1"/>
          <w:numId w:val="6"/>
        </w:numPr>
        <w:rPr/>
      </w:pPr>
      <w:r>
        <w:rP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w:pPr>
        <w:pStyle w:val="Normal"/>
        <w:numPr>
          <w:ilvl w:val="1"/>
          <w:numId w:val="6"/>
        </w:numPr>
        <w:rPr/>
      </w:pPr>
      <w:r>
        <w:rPr/>
        <w:t xml:space="preserve">The IEEE 802.3 Ethernet transport is the most well understood transport in existence. This is analogous to the X86 computer architecture that became the basis for the computing resources of data centers. </w:t>
      </w:r>
    </w:p>
    <w:p>
      <w:pPr>
        <w:pStyle w:val="Normal"/>
        <w:numPr>
          <w:ilvl w:val="0"/>
          <w:numId w:val="6"/>
        </w:numPr>
        <w:rPr/>
      </w:pPr>
      <w:r>
        <w:rPr/>
        <w:t>IEEE 802 and unlicensed spectrum enables faster innovation</w:t>
      </w:r>
    </w:p>
    <w:p>
      <w:pPr>
        <w:pStyle w:val="Normal"/>
        <w:numPr>
          <w:ilvl w:val="1"/>
          <w:numId w:val="6"/>
        </w:numPr>
        <w:rPr/>
      </w:pPr>
      <w:r>
        <w:rPr/>
        <w:t>Many of the breakthrough innovations were not as planned</w:t>
      </w:r>
    </w:p>
    <w:p>
      <w:pPr>
        <w:pStyle w:val="Normal"/>
        <w:numPr>
          <w:ilvl w:val="1"/>
          <w:numId w:val="6"/>
        </w:numPr>
        <w:rPr/>
      </w:pPr>
      <w:r>
        <w:rPr/>
        <w:t>The story of why IEEE 802 complements everything else, and everything else (alone) is not sufficient.</w:t>
      </w:r>
    </w:p>
    <w:p>
      <w:pPr>
        <w:pStyle w:val="Normal"/>
        <w:numPr>
          <w:ilvl w:val="0"/>
          <w:numId w:val="6"/>
        </w:numPr>
        <w:rPr/>
      </w:pPr>
      <w:r>
        <w:rPr/>
        <w:t>IoT is built around many specialized niches. The challenge is meeting the diverse requirements. No single standard can address all of them well.  IEEE 802 provides multiple standards to address multiple IoT applications.</w:t>
      </w:r>
    </w:p>
    <w:p>
      <w:pPr>
        <w:pStyle w:val="Normal"/>
        <w:numPr>
          <w:ilvl w:val="0"/>
          <w:numId w:val="6"/>
        </w:numPr>
        <w:rPr/>
      </w:pPr>
      <w:r>
        <w:rPr/>
        <w:t xml:space="preserve">The model for network management requires special attention, when the owner/operator of the network may have less expertise in network management. Guidance is desired 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that is available through the interface. </w:t>
      </w:r>
    </w:p>
    <w:p>
      <w:pPr>
        <w:pStyle w:val="Heading3"/>
        <w:numPr>
          <w:ilvl w:val="2"/>
          <w:numId w:val="2"/>
        </w:numPr>
        <w:rPr/>
      </w:pPr>
      <w:r>
        <w:rPr/>
        <w:t xml:space="preserve">Modularity and Interchangeability, competition economics </w:t>
      </w:r>
    </w:p>
    <w:p>
      <w:pPr>
        <w:pStyle w:val="TextBody"/>
        <w:rPr/>
      </w:pPr>
      <w:r>
        <w:rP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pPr>
        <w:pStyle w:val="TextBody"/>
        <w:rPr/>
      </w:pPr>
      <w:r>
        <w:rP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p>
    <w:p>
      <w:pPr>
        <w:pStyle w:val="Heading3"/>
        <w:numPr>
          <w:ilvl w:val="2"/>
          <w:numId w:val="2"/>
        </w:numPr>
        <w:rPr/>
      </w:pPr>
      <w:r>
        <w:rPr/>
        <w:t>Possibility of small business entities deploying small scale networks</w:t>
      </w:r>
    </w:p>
    <w:p>
      <w:pPr>
        <w:pStyle w:val="TextBody"/>
        <w:rPr/>
      </w:pPr>
      <w:r>
        <w:rP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p>
    <w:p>
      <w:pPr>
        <w:pStyle w:val="TextBody"/>
        <w:rPr/>
      </w:pPr>
      <w:r>
        <w:rPr/>
        <w:t>IEEE 802 also enables a greater degree of scalability. A network that starts small can easily be scaled to more complexity and users as the business grows. A 3GPP access network is designed from the start for large scale, and is more difficult to apply at a small scale.</w:t>
      </w:r>
    </w:p>
    <w:p>
      <w:pPr>
        <w:pStyle w:val="Heading1"/>
        <w:numPr>
          <w:ilvl w:val="0"/>
          <w:numId w:val="2"/>
        </w:numPr>
        <w:rPr/>
      </w:pPr>
      <w:r>
        <w:rPr/>
        <w:t>Key Aspects of the IEEE 802 Technologies for Vertical Applications</w:t>
      </w:r>
    </w:p>
    <w:p>
      <w:pPr>
        <w:pStyle w:val="Heading2"/>
        <w:numPr>
          <w:ilvl w:val="1"/>
          <w:numId w:val="2"/>
        </w:numPr>
        <w:rPr/>
      </w:pPr>
      <w:r>
        <w:rPr/>
        <w:t>Layering</w:t>
      </w:r>
    </w:p>
    <w:p>
      <w:pPr>
        <w:pStyle w:val="ListParagraph"/>
        <w:numPr>
          <w:ilvl w:val="0"/>
          <w:numId w:val="4"/>
        </w:numPr>
        <w:rPr/>
      </w:pPr>
      <w:r>
        <w:rPr/>
        <w:t>IEEE 802 is a transport network</w:t>
      </w:r>
    </w:p>
    <w:p>
      <w:pPr>
        <w:pStyle w:val="ListParagraph"/>
        <w:numPr>
          <w:ilvl w:val="0"/>
          <w:numId w:val="4"/>
        </w:numPr>
        <w:rPr/>
      </w:pPr>
      <w:r>
        <w:rPr/>
        <w:t>IEEE 802 is Layer 2</w:t>
      </w:r>
    </w:p>
    <w:p>
      <w:pPr>
        <w:pStyle w:val="ListParagraph"/>
        <w:numPr>
          <w:ilvl w:val="0"/>
          <w:numId w:val="4"/>
        </w:numPr>
        <w:rPr/>
      </w:pPr>
      <w:r>
        <w:rPr/>
        <w:t>IEEE 802 provides direct and simultaneous support of IPv4 and IPv6 or pure layer 2 protocols</w:t>
      </w:r>
    </w:p>
    <w:p>
      <w:pPr>
        <w:pStyle w:val="ListParagraph"/>
        <w:numPr>
          <w:ilvl w:val="0"/>
          <w:numId w:val="4"/>
        </w:numPr>
        <w:rPr/>
      </w:pPr>
      <w:r>
        <w:rPr/>
        <w:t>IEEE 802 offers trade-off and optimizations between flexibility (L2) and scalability (L3)</w:t>
      </w:r>
    </w:p>
    <w:p>
      <w:pPr>
        <w:pStyle w:val="Heading2"/>
        <w:numPr>
          <w:ilvl w:val="1"/>
          <w:numId w:val="2"/>
        </w:numPr>
        <w:rPr/>
      </w:pPr>
      <w:r>
        <w:rPr/>
        <w:t>Routing and Bridging</w:t>
      </w:r>
    </w:p>
    <w:p>
      <w:pPr>
        <w:pStyle w:val="ListParagraph"/>
        <w:numPr>
          <w:ilvl w:val="0"/>
          <w:numId w:val="4"/>
        </w:numPr>
        <w:rPr/>
      </w:pPr>
      <w:r>
        <w:rPr/>
        <w:t xml:space="preserve">IEEE 802 enables networks to scale with routing and bridging. </w:t>
      </w:r>
    </w:p>
    <w:p>
      <w:pPr>
        <w:pStyle w:val="ListParagraph"/>
        <w:numPr>
          <w:ilvl w:val="0"/>
          <w:numId w:val="4"/>
        </w:numPr>
        <w:rPr/>
      </w:pPr>
      <w:r>
        <w:rPr/>
        <w:t>IEEE 802 supports layer 3 protocols such as IP, which enables routing to enable IEEE 802 networks to expand to higher scale</w:t>
      </w:r>
    </w:p>
    <w:p>
      <w:pPr>
        <w:pStyle w:val="ListParagraph"/>
        <w:numPr>
          <w:ilvl w:val="0"/>
          <w:numId w:val="4"/>
        </w:numPr>
        <w:rPr/>
      </w:pPr>
      <w:r>
        <w:rPr/>
        <w:t>IEEE 802 networks can be built at smaller scale to provide more flexibility</w:t>
      </w:r>
    </w:p>
    <w:p>
      <w:pPr>
        <w:pStyle w:val="ListParagraph"/>
        <w:numPr>
          <w:ilvl w:val="0"/>
          <w:numId w:val="4"/>
        </w:numPr>
        <w:rPr/>
      </w:pPr>
      <w:r>
        <w:rPr/>
        <w:t>Smaller scale provides opportunity for real-time</w:t>
      </w:r>
    </w:p>
    <w:p>
      <w:pPr>
        <w:pStyle w:val="ListParagraph"/>
        <w:numPr>
          <w:ilvl w:val="0"/>
          <w:numId w:val="4"/>
        </w:numPr>
        <w:rPr/>
      </w:pPr>
      <w:r>
        <w:rPr/>
        <w:t xml:space="preserve">IEEE 802 standards can emulate a point to point network over a wireless point to multipoint network to enable bridging over the wireless link. </w:t>
      </w:r>
    </w:p>
    <w:p>
      <w:pPr>
        <w:pStyle w:val="ListParagraph"/>
        <w:numPr>
          <w:ilvl w:val="0"/>
          <w:numId w:val="4"/>
        </w:numPr>
        <w:rPr/>
      </w:pPr>
      <w:r>
        <w:rPr/>
        <w:t>IEEE 802 can support multiple different L3 and above protocol suites</w:t>
      </w:r>
    </w:p>
    <w:p>
      <w:pPr>
        <w:pStyle w:val="ListParagraph"/>
        <w:numPr>
          <w:ilvl w:val="0"/>
          <w:numId w:val="4"/>
        </w:numPr>
        <w:rPr/>
      </w:pPr>
      <w:r>
        <w:rPr/>
        <w:t>IEEE 802 can also offer L2 routing when appropriate (e.g. 802.15.10)</w:t>
      </w:r>
    </w:p>
    <w:p>
      <w:pPr>
        <w:pStyle w:val="ListParagraph"/>
        <w:numPr>
          <w:ilvl w:val="1"/>
          <w:numId w:val="4"/>
        </w:numPr>
        <w:rPr/>
      </w:pPr>
      <w:r>
        <w:rPr/>
        <w:t>Note: Not an alternative to L3 routing, but there to address a different problem</w:t>
      </w:r>
    </w:p>
    <w:p>
      <w:pPr>
        <w:pStyle w:val="Heading2"/>
        <w:numPr>
          <w:ilvl w:val="1"/>
          <w:numId w:val="2"/>
        </w:numPr>
        <w:rPr/>
      </w:pPr>
      <w:r>
        <w:rPr/>
        <w:t>Management and Control</w:t>
      </w:r>
    </w:p>
    <w:p>
      <w:pPr>
        <w:pStyle w:val="ListParagraph"/>
        <w:numPr>
          <w:ilvl w:val="0"/>
          <w:numId w:val="4"/>
        </w:numPr>
        <w:rPr/>
      </w:pPr>
      <w:r>
        <w:rPr/>
        <w:t>IEEE 802 does not provide as many means of control for a specific end device and its traffic on a path.</w:t>
      </w:r>
    </w:p>
    <w:p>
      <w:pPr>
        <w:pStyle w:val="ListParagraph"/>
        <w:numPr>
          <w:ilvl w:val="0"/>
          <w:numId w:val="4"/>
        </w:numPr>
        <w:rPr/>
      </w:pPr>
      <w:r>
        <w:rPr/>
        <w:t>There are some management facilities in some standards</w:t>
      </w:r>
    </w:p>
    <w:p>
      <w:pPr>
        <w:pStyle w:val="ListParagraph"/>
        <w:numPr>
          <w:ilvl w:val="0"/>
          <w:numId w:val="4"/>
        </w:numPr>
        <w:rPr/>
      </w:pPr>
      <w:r>
        <w:rPr/>
        <w:t xml:space="preserve">It is easier for IEEE 802 to support an “unmanaged” network, such as consumer Wi-Fi. </w:t>
      </w:r>
    </w:p>
    <w:p>
      <w:pPr>
        <w:pStyle w:val="ListParagraph"/>
        <w:numPr>
          <w:ilvl w:val="0"/>
          <w:numId w:val="4"/>
        </w:numPr>
        <w:rPr/>
      </w:pPr>
      <w:r>
        <w:rPr/>
        <w:t xml:space="preserve">802 provides local networks that may be (but don’t have to be) connected into the Internet or other networks. </w:t>
      </w:r>
    </w:p>
    <w:p>
      <w:pPr>
        <w:pStyle w:val="ListParagraph"/>
        <w:numPr>
          <w:ilvl w:val="0"/>
          <w:numId w:val="4"/>
        </w:numPr>
        <w:rPr/>
      </w:pPr>
      <w:r>
        <w:rPr/>
        <w:t>Public operator networks are focused on services for single devices, while IEEE 802 networks support and include multiple devices (networks of networks) – devices can communicate with each other as well as with other networks</w:t>
      </w:r>
    </w:p>
    <w:p>
      <w:pPr>
        <w:pStyle w:val="ListParagraph"/>
        <w:rPr/>
      </w:pPr>
      <w:r>
        <w:rPr/>
      </w:r>
    </w:p>
    <w:p>
      <w:pPr>
        <w:pStyle w:val="Heading1"/>
        <w:numPr>
          <w:ilvl w:val="0"/>
          <w:numId w:val="2"/>
        </w:numPr>
        <w:rPr/>
      </w:pPr>
      <w:r>
        <w:rPr/>
        <w:t>IEEE 802 standards aimed for vertical applications</w:t>
      </w:r>
    </w:p>
    <w:p>
      <w:pPr>
        <w:pStyle w:val="Heading2"/>
        <w:numPr>
          <w:ilvl w:val="1"/>
          <w:numId w:val="2"/>
        </w:numPr>
        <w:rPr/>
      </w:pPr>
      <w:r>
        <w:rPr/>
        <w:t>IEEE 802 Overview and Architecture</w:t>
      </w:r>
    </w:p>
    <w:p>
      <w:pPr>
        <w:pStyle w:val="Normal"/>
        <w:numPr>
          <w:ilvl w:val="0"/>
          <w:numId w:val="8"/>
        </w:numPr>
        <w:rPr/>
      </w:pPr>
      <w:r>
        <w:rPr/>
        <w:t>802-2014 - IEEE Standard for Local and Metropolitan Area Networks: Overview and Architecture</w:t>
      </w:r>
    </w:p>
    <w:p>
      <w:pPr>
        <w:pStyle w:val="Normal"/>
        <w:numPr>
          <w:ilvl w:val="0"/>
          <w:numId w:val="8"/>
        </w:numPr>
        <w:rPr/>
      </w:pPr>
      <w:r>
        <w:rPr/>
        <w:t>802c-2017 - IEEE Standard for Local and Metropolitan Area Networks:Overview and Architecture--Amendment 2: Local Medium Access Control (MAC) Address Usage</w:t>
      </w:r>
    </w:p>
    <w:p>
      <w:pPr>
        <w:pStyle w:val="Normal"/>
        <w:numPr>
          <w:ilvl w:val="0"/>
          <w:numId w:val="8"/>
        </w:numPr>
        <w:rPr/>
      </w:pPr>
      <w:r>
        <w:rPr/>
        <w:t>802d-2017 - IEEE Standard for Local and Metropolitan Area Networks:Overview and Architecture Amendment 1: Allocation of Uniform Resource Name (URN) Values in IEEE 802(R) Standards</w:t>
      </w:r>
    </w:p>
    <w:p>
      <w:pPr>
        <w:pStyle w:val="Normal"/>
        <w:numPr>
          <w:ilvl w:val="0"/>
          <w:numId w:val="8"/>
        </w:numPr>
        <w:rPr/>
      </w:pPr>
      <w:r>
        <w:rPr/>
        <w:t>802E-2020 - IEEE Recommended Practice for Privacy Considerations for IEEE 802(R) Technologies</w:t>
      </w:r>
    </w:p>
    <w:p>
      <w:pPr>
        <w:pStyle w:val="Heading2"/>
        <w:numPr>
          <w:ilvl w:val="1"/>
          <w:numId w:val="2"/>
        </w:numPr>
        <w:rPr/>
      </w:pPr>
      <w:r>
        <w:rPr/>
        <w:t>IEEE 802.1 Bridging and Management</w:t>
      </w:r>
    </w:p>
    <w:p>
      <w:pPr>
        <w:pStyle w:val="Normal"/>
        <w:numPr>
          <w:ilvl w:val="0"/>
          <w:numId w:val="9"/>
        </w:numPr>
        <w:rPr/>
      </w:pPr>
      <w:r>
        <w:rPr/>
        <w:t>802.1AB-802.1AB-2016 - IEEE Standard for Local and metropolitan area networks - Station and Media Access Control Connectivity Discovery</w:t>
      </w:r>
    </w:p>
    <w:p>
      <w:pPr>
        <w:pStyle w:val="Normal"/>
        <w:numPr>
          <w:ilvl w:val="0"/>
          <w:numId w:val="9"/>
        </w:numPr>
        <w:rPr/>
      </w:pPr>
      <w:r>
        <w:rPr/>
        <w:t>802.1AC-802.1AC-2016/Cor 1-2018 - IEEE Standard for Local and Metropolitan Area Networks--Media Access Control (MAC) Service Definition - Corrigendum 1: Logical Link Control (LLC) Encapsulation EtherType</w:t>
      </w:r>
    </w:p>
    <w:p>
      <w:pPr>
        <w:pStyle w:val="Normal"/>
        <w:numPr>
          <w:ilvl w:val="0"/>
          <w:numId w:val="9"/>
        </w:numPr>
        <w:rPr/>
      </w:pPr>
      <w:r>
        <w:rPr/>
        <w:t>802.1AC-802.1AC-2016 - IEEE Standard for Local and metropolitan area networks -- Media Access Control (MAC) Service Definition</w:t>
      </w:r>
    </w:p>
    <w:p>
      <w:pPr>
        <w:pStyle w:val="Normal"/>
        <w:numPr>
          <w:ilvl w:val="0"/>
          <w:numId w:val="9"/>
        </w:numPr>
        <w:rPr/>
      </w:pPr>
      <w:r>
        <w:rPr/>
        <w:t>2018/Cor 1-2020 - IEEE Standard for Local and metropolitan area networks--Media Access Control (MAC) Security Corrigendum 1: Tag Control Information Figure802.1AE-2018 - IEEE Standard for Local and metropolitan area networks-Media Access Control (MAC) Security</w:t>
      </w:r>
    </w:p>
    <w:p>
      <w:pPr>
        <w:pStyle w:val="Normal"/>
        <w:numPr>
          <w:ilvl w:val="0"/>
          <w:numId w:val="9"/>
        </w:numPr>
        <w:rPr/>
      </w:pPr>
      <w:r>
        <w:rPr/>
        <w:t>802.1AE-2018/Cor 1-2020 - IEEE Standard for Local and metropolitan area networks--Media Access Control (MAC) Security Corrigendum 1: Tag Control Information Figure</w:t>
      </w:r>
    </w:p>
    <w:p>
      <w:pPr>
        <w:pStyle w:val="Normal"/>
        <w:numPr>
          <w:ilvl w:val="0"/>
          <w:numId w:val="9"/>
        </w:numPr>
        <w:rPr/>
      </w:pPr>
      <w:r>
        <w:rPr/>
        <w:t>802.1AR-2018 - IEEE Standard for Local and Metropolitan Area Networks - Secure Device Identity</w:t>
      </w:r>
    </w:p>
    <w:p>
      <w:pPr>
        <w:pStyle w:val="Normal"/>
        <w:numPr>
          <w:ilvl w:val="0"/>
          <w:numId w:val="9"/>
        </w:numPr>
        <w:rPr/>
      </w:pPr>
      <w:r>
        <w:rPr/>
        <w:t>802.1AS-2020 - IEEE Standard for Local and Metropolitan Area Networks--Timing and Synchronization for Time-Sensitive Applications</w:t>
      </w:r>
    </w:p>
    <w:p>
      <w:pPr>
        <w:pStyle w:val="Normal"/>
        <w:numPr>
          <w:ilvl w:val="0"/>
          <w:numId w:val="9"/>
        </w:numPr>
        <w:rPr/>
      </w:pPr>
      <w:r>
        <w:rPr/>
        <w:t>802.1AX-2020 - IEEE Standard for Local and Metropolitan Area Networks--Link Aggregation</w:t>
      </w:r>
    </w:p>
    <w:p>
      <w:pPr>
        <w:pStyle w:val="Normal"/>
        <w:numPr>
          <w:ilvl w:val="0"/>
          <w:numId w:val="9"/>
        </w:numPr>
        <w:rPr/>
      </w:pPr>
      <w:r>
        <w:rPr/>
        <w:t>802.1BA-802.1BA-2011/Cor 1-2016 - IEEE Standard for Local and metropolitan area networks-- Audio Video Bridging (AVB) Systems-- Corrigendum 1: Technical and Editorial Corrections</w:t>
      </w:r>
    </w:p>
    <w:p>
      <w:pPr>
        <w:pStyle w:val="Normal"/>
        <w:numPr>
          <w:ilvl w:val="0"/>
          <w:numId w:val="9"/>
        </w:numPr>
        <w:rPr/>
      </w:pPr>
      <w:r>
        <w:rPr/>
        <w:t>802.1BR-802.1BR-2012 - IEEE Standard for Local and metropolitan area networks--Virtual Bridged Local Area Networks--Bridge Port Extension</w:t>
      </w:r>
    </w:p>
    <w:p>
      <w:pPr>
        <w:pStyle w:val="Normal"/>
        <w:numPr>
          <w:ilvl w:val="0"/>
          <w:numId w:val="9"/>
        </w:numPr>
        <w:rPr/>
      </w:pPr>
      <w:r>
        <w:rPr/>
        <w:t>802.1CB-802.1CB-2017 - IEEE Standard for Local and metropolitan area networks--Frame Replication and Elimination for Reliability</w:t>
      </w:r>
    </w:p>
    <w:p>
      <w:pPr>
        <w:pStyle w:val="Normal"/>
        <w:numPr>
          <w:ilvl w:val="0"/>
          <w:numId w:val="9"/>
        </w:numPr>
        <w:rPr/>
      </w:pPr>
      <w:r>
        <w:rPr/>
        <w:t>802.1CF-802.1CF-2019 - IEEE Recommended Practice for Network Reference Model and Functional Description of IEEE 802(R) Access Network</w:t>
      </w:r>
    </w:p>
    <w:p>
      <w:pPr>
        <w:pStyle w:val="Normal"/>
        <w:numPr>
          <w:ilvl w:val="0"/>
          <w:numId w:val="9"/>
        </w:numPr>
        <w:rPr/>
      </w:pPr>
      <w:r>
        <w:rPr/>
        <w:t>802.1CM-2018 - IEEE Standard for Local and metropolitan area networks -- Time-Sensitive Networking for Fronthaul</w:t>
      </w:r>
    </w:p>
    <w:p>
      <w:pPr>
        <w:pStyle w:val="Normal"/>
        <w:numPr>
          <w:ilvl w:val="0"/>
          <w:numId w:val="9"/>
        </w:numPr>
        <w:rPr/>
      </w:pPr>
      <w:r>
        <w:rPr/>
        <w:t>802.1CMde-802.1CMde-2020 - IEEE Standard for Local and metropolitan area networks -- Time-Sensitive Networking for Fronthaul - Amendment 1: Enhancements to Fronthaul Profiles to Support New Fronthaul Interface, Synchronization, and Syntonization Standards</w:t>
      </w:r>
    </w:p>
    <w:p>
      <w:pPr>
        <w:pStyle w:val="Normal"/>
        <w:numPr>
          <w:ilvl w:val="0"/>
          <w:numId w:val="9"/>
        </w:numPr>
        <w:rPr/>
      </w:pPr>
      <w:r>
        <w:rPr/>
        <w:t>2018 - IEEE Standard for Local and metropolitan area networks -- Time-Sensitive Networking for Fronthaul802.1CS-2020 - IEEE Standard for Local and Metropolitan Area Networks--Link-local Registration Protocol</w:t>
      </w:r>
    </w:p>
    <w:p>
      <w:pPr>
        <w:pStyle w:val="Normal"/>
        <w:numPr>
          <w:ilvl w:val="0"/>
          <w:numId w:val="9"/>
        </w:numPr>
        <w:rPr/>
      </w:pPr>
      <w:r>
        <w:rPr/>
        <w:t>802.1Q-2018 - IEEE Standard for Local and Metropolitan Area Network--Bridges and Bridged Networks</w:t>
      </w:r>
    </w:p>
    <w:p>
      <w:pPr>
        <w:pStyle w:val="Normal"/>
        <w:numPr>
          <w:ilvl w:val="0"/>
          <w:numId w:val="9"/>
        </w:numPr>
        <w:rPr/>
      </w:pPr>
      <w:r>
        <w:rPr/>
        <w:t>802.1Qcr-802.1Qcr-2020 - IEEE Standard for Local and Metropolitan Area Networks--Bridges and Bridged Networks - Amendment 34:Asynchronous Traffic Shaping</w:t>
      </w:r>
    </w:p>
    <w:p>
      <w:pPr>
        <w:pStyle w:val="Normal"/>
        <w:numPr>
          <w:ilvl w:val="0"/>
          <w:numId w:val="9"/>
        </w:numPr>
        <w:rPr/>
      </w:pPr>
      <w:r>
        <w:rPr/>
        <w:t>802.1Qcx-802.1Qcx-2020 - IEEE Standard for Local and Metropolitan Area Networks--Bridges and Bridged Networks Amendment 33: YANG Data Model for Connectivity Fault Management</w:t>
      </w:r>
    </w:p>
    <w:p>
      <w:pPr>
        <w:pStyle w:val="Normal"/>
        <w:numPr>
          <w:ilvl w:val="0"/>
          <w:numId w:val="9"/>
        </w:numPr>
        <w:rPr/>
      </w:pPr>
      <w:r>
        <w:rPr/>
        <w:t>802.1Qcy-802.1Qcy-2019 - IEEE Standard for Local and Metropolitan Area Networks--Bridges and Bridged Networks Amendment 32: Virtual Station Interface (VSI) Discovery and Configuration Protocol (VDP) Extension to Support Network Virtualization Overlays Over Layer 3 (NVO3)</w:t>
      </w:r>
    </w:p>
    <w:p>
      <w:pPr>
        <w:pStyle w:val="Normal"/>
        <w:numPr>
          <w:ilvl w:val="0"/>
          <w:numId w:val="9"/>
        </w:numPr>
        <w:rPr/>
      </w:pPr>
      <w:r>
        <w:rPr/>
        <w:t>802.1Qcc-802.1Qcc-2018 - IEEE Standard for Local and Metropolitan Area Networks--Bridges and Bridged Networks -- Amendment 31: Stream Reservation Protocol (SRP) Enhancements and Performance Improvements</w:t>
      </w:r>
    </w:p>
    <w:p>
      <w:pPr>
        <w:pStyle w:val="Normal"/>
        <w:numPr>
          <w:ilvl w:val="0"/>
          <w:numId w:val="9"/>
        </w:numPr>
        <w:rPr/>
      </w:pPr>
      <w:r>
        <w:rPr/>
        <w:t>802.1Qcp-2018 - IEEE Standard for Local and metropolitan area networks--Bridges and Bridged Networks--Amendment 30: YANG Data Model</w:t>
      </w:r>
    </w:p>
    <w:p>
      <w:pPr>
        <w:pStyle w:val="Normal"/>
        <w:numPr>
          <w:ilvl w:val="0"/>
          <w:numId w:val="9"/>
        </w:numPr>
        <w:rPr/>
      </w:pPr>
      <w:r>
        <w:rPr/>
        <w:t>802.1X-2020 - IEEE Standard for Local and Metropolitan Area Networks--Port-Based Network Access Control</w:t>
      </w:r>
    </w:p>
    <w:p>
      <w:pPr>
        <w:pStyle w:val="Heading2"/>
        <w:numPr>
          <w:ilvl w:val="1"/>
          <w:numId w:val="2"/>
        </w:numPr>
        <w:rPr/>
      </w:pPr>
      <w:r>
        <w:rPr/>
        <w:t>IEEE 802.3: Ethernet</w:t>
      </w:r>
    </w:p>
    <w:p>
      <w:pPr>
        <w:pStyle w:val="Normal"/>
        <w:numPr>
          <w:ilvl w:val="0"/>
          <w:numId w:val="10"/>
        </w:numPr>
        <w:rPr/>
      </w:pPr>
      <w:r>
        <w:rPr/>
        <w:t>802.3-2018 - IEEE Standard for Ethernet</w:t>
      </w:r>
    </w:p>
    <w:p>
      <w:pPr>
        <w:pStyle w:val="Normal"/>
        <w:numPr>
          <w:ilvl w:val="0"/>
          <w:numId w:val="10"/>
        </w:numPr>
        <w:rPr/>
      </w:pPr>
      <w:r>
        <w:rPr/>
        <w:t>802.3cp-802.3cp-2021 - IEEE Standard for Ethernet -- Amendment 14: Bidirectional 10 Gb/s, 25 Gb/s, and 50 Gb/s Optical Access PHYs</w:t>
      </w:r>
    </w:p>
    <w:p>
      <w:pPr>
        <w:pStyle w:val="Normal"/>
        <w:numPr>
          <w:ilvl w:val="0"/>
          <w:numId w:val="10"/>
        </w:numPr>
        <w:rPr/>
      </w:pPr>
      <w:r>
        <w:rPr/>
        <w:t>802.3cv-802.3cv-2021 - IEEE Standard for Ethernet Amendment 12: Maintenance #15: Power over Ethernet</w:t>
      </w:r>
    </w:p>
    <w:p>
      <w:pPr>
        <w:pStyle w:val="Normal"/>
        <w:numPr>
          <w:ilvl w:val="0"/>
          <w:numId w:val="10"/>
        </w:numPr>
        <w:rPr/>
      </w:pPr>
      <w:r>
        <w:rPr/>
        <w:t>802.3cu-2021 - IEEE Standard for Ethernet - Amendment 11: Physical Layers and Management Parameters for 100 Gb/s and 400 Gb/s Operation over Single-Mode Fiber at 100 Gb/s per Wavelength</w:t>
      </w:r>
    </w:p>
    <w:p>
      <w:pPr>
        <w:pStyle w:val="Normal"/>
        <w:numPr>
          <w:ilvl w:val="0"/>
          <w:numId w:val="10"/>
        </w:numPr>
        <w:rPr/>
      </w:pPr>
      <w:r>
        <w:rPr/>
        <w:t>802.3cr-2021 - IEEE Standard for Ethernet Amendment 10: Maintenance #14: Isolation</w:t>
      </w:r>
    </w:p>
    <w:p>
      <w:pPr>
        <w:pStyle w:val="Normal"/>
        <w:numPr>
          <w:ilvl w:val="0"/>
          <w:numId w:val="10"/>
        </w:numPr>
        <w:rPr/>
      </w:pPr>
      <w:r>
        <w:rPr/>
        <w:t>802.3ch-2020 - IEEE Standard for Ethernet--Amendment 8:Physical Layer Specifications and Management Parameters for 2.5 Gb/s, 5 Gb/s, and 10 Gb/s Automotive Electrical Ethernet</w:t>
      </w:r>
    </w:p>
    <w:p>
      <w:pPr>
        <w:pStyle w:val="Normal"/>
        <w:numPr>
          <w:ilvl w:val="0"/>
          <w:numId w:val="10"/>
        </w:numPr>
        <w:rPr/>
      </w:pPr>
      <w:r>
        <w:rPr/>
        <w:t>802.3ca-2020 - IEEE Standard for Ethernet Amendment 9: Physical Layer Specifications and Management Parameters for 25 Gb/s and 50 Gb/s Passive Optical Networks</w:t>
      </w:r>
    </w:p>
    <w:p>
      <w:pPr>
        <w:pStyle w:val="Normal"/>
        <w:numPr>
          <w:ilvl w:val="0"/>
          <w:numId w:val="10"/>
        </w:numPr>
        <w:rPr/>
      </w:pPr>
      <w:r>
        <w:rPr/>
        <w:t>802.3cq-2020 - IEEE Standard for Ethernet Amendment 6: Maintenance #13: Power over Ethernet over 2 pairs</w:t>
      </w:r>
    </w:p>
    <w:p>
      <w:pPr>
        <w:pStyle w:val="Normal"/>
        <w:numPr>
          <w:ilvl w:val="0"/>
          <w:numId w:val="10"/>
        </w:numPr>
        <w:rPr/>
      </w:pPr>
      <w:r>
        <w:rPr/>
        <w:t>802.3cq-802.3cq-2020 - IEEE Standard for Ethernet Amendment 6: Maintenance #13: Power over Ethernet over 2 pairs</w:t>
      </w:r>
    </w:p>
    <w:p>
      <w:pPr>
        <w:pStyle w:val="Normal"/>
        <w:numPr>
          <w:ilvl w:val="0"/>
          <w:numId w:val="10"/>
        </w:numPr>
        <w:rPr/>
      </w:pPr>
      <w:r>
        <w:rPr/>
        <w:t>802.3cg-802.3cg-2019 - IEEE Standard for Ethernet - Amendment 5: Physical Layer Specifications and Management Parameters for 10 Mb/s Operation and Associated Power Delivery over a Single Balanced Pair of Conductors</w:t>
      </w:r>
    </w:p>
    <w:p>
      <w:pPr>
        <w:pStyle w:val="Normal"/>
        <w:numPr>
          <w:ilvl w:val="0"/>
          <w:numId w:val="10"/>
        </w:numPr>
        <w:rPr/>
      </w:pPr>
      <w:r>
        <w:rPr/>
        <w:t>802.3cm-2020 - IEEE Standard for Ethernet -- Amendment 7: Physical Layer and Management Parameters for 400 Gb/s over Multimode Fiber</w:t>
      </w:r>
    </w:p>
    <w:p>
      <w:pPr>
        <w:pStyle w:val="Normal"/>
        <w:numPr>
          <w:ilvl w:val="0"/>
          <w:numId w:val="10"/>
        </w:numPr>
        <w:rPr/>
      </w:pPr>
      <w:r>
        <w:rPr/>
        <w:t>802.3cn-2019 - IEEE Standard for Ethernet - Amendment 4: Physical Layers and Management Parameters for 50Gb/s, 200Gb/s, and 400Gb/s Operation over Single-Mode Fiber</w:t>
      </w:r>
    </w:p>
    <w:p>
      <w:pPr>
        <w:pStyle w:val="Normal"/>
        <w:numPr>
          <w:ilvl w:val="0"/>
          <w:numId w:val="10"/>
        </w:numPr>
        <w:rPr/>
      </w:pPr>
      <w:r>
        <w:rPr/>
        <w:t>802.3cd-2018 - IEEE Standard for Ethernet - Amendment 3: Media Access Control Parameters for 50 Gb/s and Physical Layers and Management Parameters for 50 Gb/s, 100 Gb/s, and 200 Gb/s Operation</w:t>
      </w:r>
    </w:p>
    <w:p>
      <w:pPr>
        <w:pStyle w:val="Normal"/>
        <w:numPr>
          <w:ilvl w:val="0"/>
          <w:numId w:val="10"/>
        </w:numPr>
        <w:rPr/>
      </w:pPr>
      <w:r>
        <w:rPr/>
        <w:t>802.3bt-802.3bt-2018 - IEEE Standard for Ethernet Amendment 2: Physical Layer and Management Parameters for Power over Ethernet over 4 pairs</w:t>
      </w:r>
    </w:p>
    <w:p>
      <w:pPr>
        <w:pStyle w:val="Normal"/>
        <w:numPr>
          <w:ilvl w:val="0"/>
          <w:numId w:val="10"/>
        </w:numPr>
        <w:rPr/>
      </w:pPr>
      <w:r>
        <w:rPr/>
        <w:t>802.3cb-802.3cb-2018 - IEEE Standard for Ethernet - Amendment 1: Physical Layer Specifications and Management Parameters for 2.5 Gb/s and 5 Gb/s Operation over Backplane</w:t>
      </w:r>
    </w:p>
    <w:p>
      <w:pPr>
        <w:pStyle w:val="Normal"/>
        <w:numPr>
          <w:ilvl w:val="0"/>
          <w:numId w:val="10"/>
        </w:numPr>
        <w:rPr/>
      </w:pPr>
      <w:r>
        <w:rPr/>
        <w:t>802.3cc-802.3cc-2017 - IEEE Standard for Ethernet - Amendment 11: Physical Layer and Management Parameters for Serial 25 Gb/s Ethernet Operation Over Single-Mode Fiber</w:t>
      </w:r>
    </w:p>
    <w:p>
      <w:pPr>
        <w:pStyle w:val="Normal"/>
        <w:numPr>
          <w:ilvl w:val="0"/>
          <w:numId w:val="10"/>
        </w:numPr>
        <w:rPr/>
      </w:pPr>
      <w:r>
        <w:rPr/>
        <w:t>802.3.1-802.3.1-2013 - IEEE Standard for Management Information Base (MIB) Definitions for Ethernet</w:t>
      </w:r>
    </w:p>
    <w:p>
      <w:pPr>
        <w:pStyle w:val="Normal"/>
        <w:numPr>
          <w:ilvl w:val="0"/>
          <w:numId w:val="10"/>
        </w:numPr>
        <w:rPr/>
      </w:pPr>
      <w:r>
        <w:rPr/>
        <w:t>802.3.2-2019 - IEEE Standard for Ethernet - YANG Data Model Definitions</w:t>
      </w:r>
    </w:p>
    <w:p>
      <w:pPr>
        <w:pStyle w:val="Heading2"/>
        <w:numPr>
          <w:ilvl w:val="1"/>
          <w:numId w:val="2"/>
        </w:numPr>
        <w:rPr/>
      </w:pPr>
      <w:r>
        <w:rPr/>
        <w:t>IEEE 802.11: Wireless LAN</w:t>
      </w:r>
    </w:p>
    <w:p>
      <w:pPr>
        <w:pStyle w:val="Normal"/>
        <w:numPr>
          <w:ilvl w:val="0"/>
          <w:numId w:val="11"/>
        </w:numPr>
        <w:rPr/>
      </w:pPr>
      <w:r>
        <w:rPr/>
        <w:t>802.11-2020 - IEEE Standard for Information Technology--Telecommunications and Information Exchange between Systems - Local and Metropolitan Area Networks--Specific Requirements - Part 11: Wireless LAN Medium Access Control (MAC) and Physical Layer (PHY) Specifications</w:t>
      </w:r>
    </w:p>
    <w:p>
      <w:pPr>
        <w:pStyle w:val="Normal"/>
        <w:numPr>
          <w:ilvl w:val="0"/>
          <w:numId w:val="11"/>
        </w:numPr>
        <w:rPr/>
      </w:pPr>
      <w:r>
        <w:rPr/>
        <w:t>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pPr>
        <w:pStyle w:val="Normal"/>
        <w:numPr>
          <w:ilvl w:val="0"/>
          <w:numId w:val="11"/>
        </w:numPr>
        <w:rPr/>
      </w:pPr>
      <w:r>
        <w:rPr/>
        <w:t>802.11ay-802.11ay-2021 -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pPr>
        <w:pStyle w:val="Normal"/>
        <w:numPr>
          <w:ilvl w:val="0"/>
          <w:numId w:val="11"/>
        </w:numPr>
        <w:rPr/>
      </w:pPr>
      <w:r>
        <w:rPr/>
        <w:t>802.11ba-802.11ba-2021 -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pPr>
        <w:pStyle w:val="Heading2"/>
        <w:numPr>
          <w:ilvl w:val="1"/>
          <w:numId w:val="2"/>
        </w:numPr>
        <w:rPr/>
      </w:pPr>
      <w:r>
        <w:rPr/>
        <w:t>IEEE 802.15: Wireless Specialty Networks</w:t>
      </w:r>
    </w:p>
    <w:p>
      <w:pPr>
        <w:pStyle w:val="Normal"/>
        <w:numPr>
          <w:ilvl w:val="0"/>
          <w:numId w:val="13"/>
        </w:numPr>
        <w:rPr/>
      </w:pPr>
      <w:r>
        <w:rPr/>
        <w:t>802.15.3-2016 - IEEE Standard for High Data Rate Wireless Multi-Media Networks</w:t>
      </w:r>
    </w:p>
    <w:p>
      <w:pPr>
        <w:pStyle w:val="Normal"/>
        <w:numPr>
          <w:ilvl w:val="0"/>
          <w:numId w:val="12"/>
        </w:numPr>
        <w:rPr/>
      </w:pPr>
      <w:r>
        <w:rPr/>
        <w:t>802.15.3f-2017 - IEEE Standard for High Data Rate Wireless Multi-Media Networks Amendment 3: Extending the Physical Layer (PHY) Specification for Millimeter Wave to Operate from 57.0 GHz to 71 GHz</w:t>
      </w:r>
    </w:p>
    <w:p>
      <w:pPr>
        <w:pStyle w:val="Normal"/>
        <w:numPr>
          <w:ilvl w:val="0"/>
          <w:numId w:val="12"/>
        </w:numPr>
        <w:rPr/>
      </w:pPr>
      <w:r>
        <w:rPr/>
        <w:t>802.15.3d-2017 - IEEE Standard for High Data Rate Wireless Multi-Media Networks--Amendment 2: 100 Gb/s Wireless Switched Point-to-Point Physical Layer</w:t>
      </w:r>
    </w:p>
    <w:p>
      <w:pPr>
        <w:pStyle w:val="Normal"/>
        <w:numPr>
          <w:ilvl w:val="0"/>
          <w:numId w:val="12"/>
        </w:numPr>
        <w:rPr/>
      </w:pPr>
      <w:r>
        <w:rPr/>
        <w:t>802.15.3e-2017 - IEEE Standard for High Data Rate Wireless Multi-Media Networks--Amendment 1: High-Rate Close Proximity Point-to-Point Communications</w:t>
      </w:r>
    </w:p>
    <w:p>
      <w:pPr>
        <w:pStyle w:val="Normal"/>
        <w:numPr>
          <w:ilvl w:val="0"/>
          <w:numId w:val="12"/>
        </w:numPr>
        <w:rPr/>
      </w:pPr>
      <w:r>
        <w:rPr/>
        <w:t>802.15.4-2020 - IEEE Standard for Low-Rate Wireless Networks</w:t>
      </w:r>
    </w:p>
    <w:p>
      <w:pPr>
        <w:pStyle w:val="Normal"/>
        <w:numPr>
          <w:ilvl w:val="0"/>
          <w:numId w:val="12"/>
        </w:numPr>
        <w:rPr/>
      </w:pPr>
      <w:r>
        <w:rPr/>
        <w:t>802.15.4y-802.15.4y-2021 - IEEE Standard for Low-Rate Wireless Networks Amendment 3: Advanced Encryption Standard (AES)-256 Encryption and Security Extensions</w:t>
      </w:r>
    </w:p>
    <w:p>
      <w:pPr>
        <w:pStyle w:val="Normal"/>
        <w:numPr>
          <w:ilvl w:val="0"/>
          <w:numId w:val="12"/>
        </w:numPr>
        <w:rPr/>
      </w:pPr>
      <w:r>
        <w:rPr/>
        <w:t>802.15.4w-802.15.4w-2020 - IEEE Standard for Low-Rate Wireless Networks--Amendment 2: Low Power Wide Area Network (LPWAN) Extension to the Low-Energy Critical Infrastructure Monitoring (LECIM) Physical Layer (PHY)</w:t>
      </w:r>
    </w:p>
    <w:p>
      <w:pPr>
        <w:pStyle w:val="Normal"/>
        <w:numPr>
          <w:ilvl w:val="0"/>
          <w:numId w:val="12"/>
        </w:numPr>
        <w:rPr/>
      </w:pPr>
      <w:r>
        <w:rPr/>
        <w:t>802.15.4z-2020 - IEEE Standard for Low-Rate Wireless Networks--Amendment 1: Enhanced Ultra Wideband (UWB) Physical Layers (PHYs) and Associated Ranging Techniques</w:t>
      </w:r>
    </w:p>
    <w:p>
      <w:pPr>
        <w:pStyle w:val="Normal"/>
        <w:numPr>
          <w:ilvl w:val="0"/>
          <w:numId w:val="12"/>
        </w:numPr>
        <w:rPr/>
      </w:pPr>
      <w:r>
        <w:rPr/>
        <w:t>802.15.6-802.15.6-2012 - IEEE Standard for Local and metropolitan area networks - Part 15.6: Wireless Body Area Networks</w:t>
      </w:r>
    </w:p>
    <w:p>
      <w:pPr>
        <w:pStyle w:val="Normal"/>
        <w:numPr>
          <w:ilvl w:val="0"/>
          <w:numId w:val="12"/>
        </w:numPr>
        <w:rPr/>
      </w:pPr>
      <w:r>
        <w:rPr/>
        <w:t>802.15.7-2018 - IEEE Standard for Local and metropolitan area networks--Part 15.7: Short-Range Optical Wireless Communications</w:t>
      </w:r>
    </w:p>
    <w:p>
      <w:pPr>
        <w:pStyle w:val="Normal"/>
        <w:numPr>
          <w:ilvl w:val="0"/>
          <w:numId w:val="12"/>
        </w:numPr>
        <w:rPr/>
      </w:pPr>
      <w:r>
        <w:rPr/>
        <w:t>802.15.8-2017 - IEEE Standard for Wireless Medium Access Control (MAC) and Physical Layer (PHY) Specifications for Peer Aware Communications (PAC)</w:t>
      </w:r>
    </w:p>
    <w:p>
      <w:pPr>
        <w:pStyle w:val="Normal"/>
        <w:numPr>
          <w:ilvl w:val="0"/>
          <w:numId w:val="12"/>
        </w:numPr>
        <w:rPr/>
      </w:pPr>
      <w:r>
        <w:rPr/>
        <w:t>802.15.9-2021 - IEEE Standard for Transport of Key Management Protocol (KMP) Datagrams</w:t>
      </w:r>
    </w:p>
    <w:p>
      <w:pPr>
        <w:pStyle w:val="Normal"/>
        <w:numPr>
          <w:ilvl w:val="0"/>
          <w:numId w:val="12"/>
        </w:numPr>
        <w:rPr/>
      </w:pPr>
      <w:r>
        <w:rPr/>
        <w:t>802.15.10-802.15.10-2017 - IEEE Recommended Practice for Routing Packets in IEEE 802.15.4 Dynamically Changing Wireless Networks</w:t>
      </w:r>
    </w:p>
    <w:p>
      <w:pPr>
        <w:pStyle w:val="Normal"/>
        <w:numPr>
          <w:ilvl w:val="0"/>
          <w:numId w:val="12"/>
        </w:numPr>
        <w:rPr/>
      </w:pPr>
      <w:r>
        <w:rPr/>
        <w:t>802.15.10a-802.15.10a-2019 - IEEE Recommended Practice for Routing Packets in IEEE 802.15.4(TM) Dynamically Changing Wireless Networks - Amendment 1: Fully Defined Use of Addressing and Route Information Currently in IEEE Std 802.15.10</w:t>
      </w:r>
    </w:p>
    <w:p>
      <w:pPr>
        <w:pStyle w:val="Heading2"/>
        <w:numPr>
          <w:ilvl w:val="1"/>
          <w:numId w:val="2"/>
        </w:numPr>
        <w:rPr/>
      </w:pPr>
      <w:r>
        <w:rPr/>
        <w:t>IEEE 802.16: Broadband Wireless MANs</w:t>
      </w:r>
    </w:p>
    <w:p>
      <w:pPr>
        <w:pStyle w:val="Normal"/>
        <w:numPr>
          <w:ilvl w:val="0"/>
          <w:numId w:val="12"/>
        </w:numPr>
        <w:rPr/>
      </w:pPr>
      <w:r>
        <w:rPr/>
        <w:t>802.16-2017 - IEEE Standard for Air Interface for Broadband Wireless Access Systems</w:t>
      </w:r>
    </w:p>
    <w:p>
      <w:pPr>
        <w:pStyle w:val="Normal"/>
        <w:ind w:left="720" w:hanging="0"/>
        <w:rPr/>
      </w:pPr>
      <w:r>
        <w:rPr/>
      </w:r>
    </w:p>
    <w:p>
      <w:pPr>
        <w:pStyle w:val="Heading2"/>
        <w:numPr>
          <w:ilvl w:val="1"/>
          <w:numId w:val="2"/>
        </w:numPr>
        <w:rPr/>
      </w:pPr>
      <w:r>
        <w:rPr/>
        <w:t xml:space="preserve">IEEE 802.19: Wireless Coexistence </w:t>
      </w:r>
    </w:p>
    <w:p>
      <w:pPr>
        <w:pStyle w:val="Normal"/>
        <w:numPr>
          <w:ilvl w:val="0"/>
          <w:numId w:val="14"/>
        </w:numPr>
        <w:rPr/>
      </w:pPr>
      <w:r>
        <w:rPr/>
        <w:t>802.19.1-2018 - IEEE Standard for Information technology--Telecommunications and information exchange between systems--Local and metropolitan area networks--Specific requirements--Part 19: Wireless Network Coexistence Methods</w:t>
      </w:r>
    </w:p>
    <w:p>
      <w:pPr>
        <w:pStyle w:val="Normal"/>
        <w:numPr>
          <w:ilvl w:val="0"/>
          <w:numId w:val="14"/>
        </w:numPr>
        <w:rPr/>
      </w:pPr>
      <w:r>
        <w:rPr/>
        <w:t>802.19.3-2021 - IEEE Recommended Practice for Local and Metropolitan Area Networks--Part 19: Coexistence Methods for IEEE 802.11 and IEEE 802.15.4 Based Systems Operating in the Sub-1 GHz Frequency Bands</w:t>
      </w:r>
    </w:p>
    <w:p>
      <w:pPr>
        <w:pStyle w:val="Normal"/>
        <w:rPr/>
      </w:pPr>
      <w:r>
        <w:rPr/>
      </w:r>
    </w:p>
    <w:p>
      <w:pPr>
        <w:pStyle w:val="Heading2"/>
        <w:numPr>
          <w:ilvl w:val="1"/>
          <w:numId w:val="2"/>
        </w:numPr>
        <w:rPr/>
      </w:pPr>
      <w:r>
        <w:rPr/>
        <w:t>IEEE 802.21: Media Independent Handover Services</w:t>
      </w:r>
    </w:p>
    <w:p>
      <w:pPr>
        <w:pStyle w:val="Normal"/>
        <w:numPr>
          <w:ilvl w:val="0"/>
          <w:numId w:val="15"/>
        </w:numPr>
        <w:rPr/>
      </w:pPr>
      <w:r>
        <w:rPr/>
        <w:t>802.21-802.21-2017 - IEEE Standard for Local and metropolitan area networks--Part 21: Media Independent Services Framework</w:t>
      </w:r>
    </w:p>
    <w:p>
      <w:pPr>
        <w:pStyle w:val="Normal"/>
        <w:numPr>
          <w:ilvl w:val="0"/>
          <w:numId w:val="15"/>
        </w:numPr>
        <w:rPr/>
      </w:pPr>
      <w:r>
        <w:rPr/>
        <w:t>802.21-802.21-2017/Cor 1-2017 - IEEE Standard for Local and metropolitan area networks--Part 21: Media Independent Services Framework--Corrigendum 1: Clarification of Parameter Definition in Group Session Key Derivation</w:t>
      </w:r>
    </w:p>
    <w:p>
      <w:pPr>
        <w:pStyle w:val="Normal"/>
        <w:numPr>
          <w:ilvl w:val="0"/>
          <w:numId w:val="15"/>
        </w:numPr>
        <w:rPr/>
      </w:pPr>
      <w:r>
        <w:rPr/>
        <w:t>802.21.1-2017 - IEEE Standard for Local and metropolitan area networks--Part 21.1: Media Independent Services</w:t>
      </w:r>
    </w:p>
    <w:p>
      <w:pPr>
        <w:pStyle w:val="Heading2"/>
        <w:numPr>
          <w:ilvl w:val="1"/>
          <w:numId w:val="2"/>
        </w:numPr>
        <w:rPr/>
      </w:pPr>
      <w:r>
        <w:rPr/>
        <w:t>IEEE 802.22: Wireless Regional Area Networks</w:t>
      </w:r>
    </w:p>
    <w:p>
      <w:pPr>
        <w:pStyle w:val="Normal"/>
        <w:numPr>
          <w:ilvl w:val="0"/>
          <w:numId w:val="16"/>
        </w:numPr>
        <w:rPr/>
      </w:pPr>
      <w:r>
        <w:rP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pPr>
        <w:pStyle w:val="Normal"/>
        <w:numPr>
          <w:ilvl w:val="0"/>
          <w:numId w:val="16"/>
        </w:numPr>
        <w:rPr/>
      </w:pPr>
      <w:r>
        <w:rPr/>
        <w:t>802.22.2-2012 - IEEE Recommended Practice for Information Technology - Telecommunications and information exchange between systems Wireless Regional Area Networks (WRAN) - Specific requirements - Part 22.2: Installation and Deployment of IEEE 802.22 Systems</w:t>
      </w:r>
    </w:p>
    <w:p>
      <w:pPr>
        <w:pStyle w:val="Normal"/>
        <w:numPr>
          <w:ilvl w:val="0"/>
          <w:numId w:val="12"/>
        </w:numPr>
        <w:rPr/>
      </w:pPr>
      <w:r>
        <w:rPr/>
        <w:t>802.15.22.3-2020 - IEEE Standard for Spectrum Characterization and Occupancy Sensing</w:t>
      </w:r>
    </w:p>
    <w:p>
      <w:pPr>
        <w:pStyle w:val="Normal"/>
        <w:rPr/>
      </w:pPr>
      <w:r>
        <w:rPr/>
      </w:r>
    </w:p>
    <w:p>
      <w:pPr>
        <w:pStyle w:val="Normal"/>
        <w:rPr/>
      </w:pPr>
      <w:r>
        <w:rPr/>
      </w:r>
    </w:p>
    <w:p>
      <w:pPr>
        <w:pStyle w:val="Heading1"/>
        <w:numPr>
          <w:ilvl w:val="0"/>
          <w:numId w:val="2"/>
        </w:numPr>
        <w:rPr/>
      </w:pPr>
      <w:r>
        <w:rPr/>
        <w:t xml:space="preserve">Common </w:t>
      </w:r>
      <w:r>
        <w:rPr/>
        <w:t>network</w:t>
      </w:r>
      <w:r>
        <w:rPr/>
        <w:t xml:space="preserve"> model for vertical application networks</w:t>
      </w:r>
    </w:p>
    <w:p>
      <w:pPr>
        <w:pStyle w:val="Normal"/>
        <w:rPr/>
      </w:pPr>
      <w:r>
        <w:rPr/>
      </w:r>
    </w:p>
    <w:p>
      <w:pPr>
        <w:pStyle w:val="Normal"/>
        <w:rPr/>
      </w:pPr>
      <w:r>
        <w:rPr/>
        <w:t xml:space="preserve">A common foundation of the network architecture for a variety of vertical applications is provided by the IEEE Std 802.1CF-2019 IEEE Recommended Practice for Network Reference Model and Functional Description of IEEE 802 Access Network. </w:t>
      </w:r>
    </w:p>
    <w:p>
      <w:pPr>
        <w:pStyle w:val="Normal"/>
        <w:rPr/>
      </w:pPr>
      <w:r>
        <w:rP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pPr>
        <w:pStyle w:val="Heading2"/>
        <w:numPr>
          <w:ilvl w:val="1"/>
          <w:numId w:val="2"/>
        </w:numPr>
        <w:rPr/>
      </w:pPr>
      <w:r>
        <w:rPr/>
        <w:t>Network Reference Model</w:t>
      </w:r>
    </w:p>
    <w:p>
      <w:pPr>
        <w:pStyle w:val="Normal"/>
        <w:rPr/>
      </w:pPr>
      <w:r>
        <w:rPr/>
        <w:t xml:space="preserve">Figure </w:t>
      </w:r>
      <w:r>
        <w:rPr/>
        <w:fldChar w:fldCharType="begin"/>
      </w:r>
      <w:r>
        <w:rPr/>
        <w:instrText xml:space="preserve"> REF Ref_Figure0_number_only \h </w:instrText>
      </w:r>
      <w:r>
        <w:rPr/>
        <w:fldChar w:fldCharType="separate"/>
      </w:r>
      <w:r>
        <w:rPr/>
        <w:t>1</w:t>
      </w:r>
      <w:r>
        <w:rPr/>
        <w:fldChar w:fldCharType="end"/>
      </w:r>
      <w:r>
        <w:rP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pPr>
        <w:pStyle w:val="Normal"/>
        <w:rPr>
          <w:highlight w:val="yellow"/>
        </w:rPr>
      </w:pPr>
      <w:r>
        <w:rPr>
          <w:highlight w:val="yellow"/>
        </w:rPr>
      </w:r>
    </w:p>
    <w:p>
      <w:pPr>
        <w:pStyle w:val="Normal"/>
        <w:rPr>
          <w:highlight w:val="yellow"/>
        </w:rPr>
      </w:pPr>
      <w:r>
        <w:rPr>
          <w:highlight w:val="yellow"/>
        </w:rPr>
        <mc:AlternateContent>
          <mc:Choice Requires="wps">
            <w:drawing>
              <wp:anchor behindDoc="0" distT="0" distB="0" distL="0" distR="0" simplePos="0" locked="0" layoutInCell="0" allowOverlap="1" relativeHeight="3" wp14:anchorId="0032122F">
                <wp:simplePos x="0" y="0"/>
                <wp:positionH relativeFrom="column">
                  <wp:align>center</wp:align>
                </wp:positionH>
                <wp:positionV relativeFrom="paragraph">
                  <wp:posOffset>635</wp:posOffset>
                </wp:positionV>
                <wp:extent cx="4143375" cy="2587625"/>
                <wp:effectExtent l="0" t="0" r="0" b="0"/>
                <wp:wrapTopAndBottom/>
                <wp:docPr id="1" name="Frame1"/>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0" w:name="Ref_Figure0_number_only"/>
                            <w:r>
                              <w:rPr/>
                              <w:fldChar w:fldCharType="begin"/>
                            </w:r>
                            <w:r>
                              <w:rPr/>
                              <w:instrText xml:space="preserve"> SEQ Figure \* ARABIC </w:instrText>
                            </w:r>
                            <w:r>
                              <w:rPr/>
                              <w:fldChar w:fldCharType="separate"/>
                            </w:r>
                            <w:r>
                              <w:rPr/>
                              <w:t>1</w:t>
                            </w:r>
                            <w:r>
                              <w:rPr/>
                              <w:fldChar w:fldCharType="end"/>
                            </w:r>
                            <w:bookmarkEnd w:id="0"/>
                            <w:r>
                              <w:rPr>
                                <w:color w:val="000000"/>
                              </w:rPr>
                              <w:t>: Network reference model design</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70.85pt;margin-top:0.05pt;width:326.2pt;height:203.7pt;mso-wrap-style:square;v-text-anchor:top;mso-position-horizontal:center" wp14:anchorId="0032122F">
                <v:fill o:detectmouseclick="t" on="false"/>
                <v:stroke color="#3465a4" joinstyle="round" endcap="flat"/>
                <v:textbox>
                  <w:txbxContent>
                    <w:p>
                      <w:pPr>
                        <w:pStyle w:val="Figure"/>
                        <w:spacing w:before="120" w:after="120"/>
                        <w:rPr>
                          <w:color w:val="000000"/>
                        </w:rPr>
                      </w:pPr>
                      <w:r>
                        <w:rPr/>
                        <w:drawing>
                          <wp:inline distT="0" distB="0" distL="0" distR="0">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1" w:name="Ref_Figure0_number_only"/>
                      <w:r>
                        <w:rPr/>
                        <w:fldChar w:fldCharType="begin"/>
                      </w:r>
                      <w:r>
                        <w:rPr/>
                        <w:instrText xml:space="preserve"> SEQ Figure \* ARABIC </w:instrText>
                      </w:r>
                      <w:r>
                        <w:rPr/>
                        <w:fldChar w:fldCharType="separate"/>
                      </w:r>
                      <w:r>
                        <w:rPr/>
                        <w:t>1</w:t>
                      </w:r>
                      <w:r>
                        <w:rPr/>
                        <w:fldChar w:fldCharType="end"/>
                      </w:r>
                      <w:bookmarkEnd w:id="1"/>
                      <w:r>
                        <w:rPr>
                          <w:color w:val="000000"/>
                        </w:rPr>
                        <w:t>: Network reference model design</w:t>
                      </w:r>
                    </w:p>
                  </w:txbxContent>
                </v:textbox>
                <w10:wrap type="topAndBottom"/>
              </v:rect>
            </w:pict>
          </mc:Fallback>
        </mc:AlternateContent>
      </w:r>
    </w:p>
    <w:p>
      <w:pPr>
        <w:pStyle w:val="Normal"/>
        <w:rPr/>
      </w:pPr>
      <w:r>
        <w:rPr/>
      </w:r>
    </w:p>
    <w:p>
      <w:pPr>
        <w:pStyle w:val="Normal"/>
        <w:rPr/>
      </w:pPr>
      <w:r>
        <w:rP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pPr>
        <w:pStyle w:val="Normal"/>
        <w:rPr/>
      </w:pPr>
      <w:r>
        <w:rPr/>
        <w:t xml:space="preserve">Subscription Service is a general term that can mean any function from a traditional operator subscription service, to a private network’s authentication and device policy control function. </w:t>
      </w:r>
    </w:p>
    <w:p>
      <w:pPr>
        <w:pStyle w:val="Normal"/>
        <w:rPr/>
      </w:pPr>
      <w:r>
        <w:rPr/>
        <w:t xml:space="preserve">Figure </w:t>
      </w:r>
      <w:r>
        <w:rPr/>
        <w:fldChar w:fldCharType="begin"/>
      </w:r>
      <w:r>
        <w:rPr/>
        <w:instrText xml:space="preserve"> REF Ref_Figure1_number_only \h </w:instrText>
      </w:r>
      <w:r>
        <w:rPr/>
        <w:fldChar w:fldCharType="separate"/>
      </w:r>
      <w:r>
        <w:rPr/>
        <w:t>2</w:t>
      </w:r>
      <w:r>
        <w:rPr/>
        <w:fldChar w:fldCharType="end"/>
      </w:r>
      <w:r>
        <w:rP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pPr>
        <w:pStyle w:val="Normal"/>
        <w:rPr/>
      </w:pPr>
      <w:r>
        <w:rPr/>
        <mc:AlternateContent>
          <mc:Choice Requires="wps">
            <w:drawing>
              <wp:anchor behindDoc="0" distT="0" distB="0" distL="0" distR="0" simplePos="0" locked="0" layoutInCell="0" allowOverlap="1" relativeHeight="5" wp14:anchorId="6CA614B0">
                <wp:simplePos x="0" y="0"/>
                <wp:positionH relativeFrom="column">
                  <wp:align>center</wp:align>
                </wp:positionH>
                <wp:positionV relativeFrom="paragraph">
                  <wp:posOffset>635</wp:posOffset>
                </wp:positionV>
                <wp:extent cx="3736340" cy="2568575"/>
                <wp:effectExtent l="0" t="0" r="0" b="0"/>
                <wp:wrapTopAndBottom/>
                <wp:docPr id="5" name="Frame2"/>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2" w:name="Ref_Figure1_number_only"/>
                            <w:r>
                              <w:rPr/>
                              <w:fldChar w:fldCharType="begin"/>
                            </w:r>
                            <w:r>
                              <w:rPr/>
                              <w:instrText xml:space="preserve"> SEQ Figure \* ARABIC </w:instrText>
                            </w:r>
                            <w:r>
                              <w:rPr/>
                              <w:fldChar w:fldCharType="separate"/>
                            </w:r>
                            <w:r>
                              <w:rPr/>
                              <w:t>2</w:t>
                            </w:r>
                            <w:r>
                              <w:rPr/>
                              <w:fldChar w:fldCharType="end"/>
                            </w:r>
                            <w:bookmarkEnd w:id="2"/>
                            <w:r>
                              <w:rPr>
                                <w:color w:val="000000"/>
                              </w:rPr>
                              <w:t>: IEEE 802 Network Reference Model</w:t>
                            </w:r>
                          </w:p>
                        </w:txbxContent>
                      </wps:txbx>
                      <wps:bodyPr lIns="0" rIns="0" tIns="0" bIns="0" anchor="t">
                        <a:noAutofit/>
                      </wps:bodyPr>
                    </wps:wsp>
                  </a:graphicData>
                </a:graphic>
              </wp:anchor>
            </w:drawing>
          </mc:Choice>
          <mc:Fallback>
            <w:pict>
              <v:rect id="shape_0" ID="Frame2" path="m0,0l-2147483645,0l-2147483645,-2147483646l0,-2147483646xe" stroked="f" o:allowincell="f" style="position:absolute;margin-left:86.9pt;margin-top:0.05pt;width:294.15pt;height:202.2pt;mso-wrap-style:square;v-text-anchor:top;mso-position-horizontal:center" wp14:anchorId="6CA614B0">
                <v:fill o:detectmouseclick="t" on="false"/>
                <v:stroke color="#3465a4" joinstyle="round" endcap="flat"/>
                <v:textbox>
                  <w:txbxContent>
                    <w:p>
                      <w:pPr>
                        <w:pStyle w:val="Figure"/>
                        <w:spacing w:before="120" w:after="120"/>
                        <w:rPr>
                          <w:color w:val="000000"/>
                        </w:rPr>
                      </w:pPr>
                      <w:r>
                        <w:rPr/>
                        <w:drawing>
                          <wp:inline distT="0" distB="0" distL="0" distR="0">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5"/>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3" w:name="Ref_Figure1_number_only"/>
                      <w:r>
                        <w:rPr/>
                        <w:fldChar w:fldCharType="begin"/>
                      </w:r>
                      <w:r>
                        <w:rPr/>
                        <w:instrText xml:space="preserve"> SEQ Figure \* ARABIC </w:instrText>
                      </w:r>
                      <w:r>
                        <w:rPr/>
                        <w:fldChar w:fldCharType="separate"/>
                      </w:r>
                      <w:r>
                        <w:rPr/>
                        <w:t>2</w:t>
                      </w:r>
                      <w:r>
                        <w:rPr/>
                        <w:fldChar w:fldCharType="end"/>
                      </w:r>
                      <w:bookmarkEnd w:id="3"/>
                      <w:r>
                        <w:rPr>
                          <w:color w:val="000000"/>
                        </w:rPr>
                        <w:t>: IEEE 802 Network Reference Model</w:t>
                      </w:r>
                    </w:p>
                  </w:txbxContent>
                </v:textbox>
                <w10:wrap type="topAndBottom"/>
              </v:rect>
            </w:pict>
          </mc:Fallback>
        </mc:AlternateContent>
      </w:r>
    </w:p>
    <w:p>
      <w:pPr>
        <w:pStyle w:val="Normal"/>
        <w:rPr/>
      </w:pPr>
      <w:r>
        <w:rPr/>
        <w:t>The IEEE 802 NRM is a conceptual model allowing many different implementations to leverage the same foundation and network functions, but it is not not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pPr>
        <w:pStyle w:val="Normal"/>
        <w:rPr/>
      </w:pPr>
      <w:r>
        <w:rP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pPr>
        <w:pStyle w:val="Heading2"/>
        <w:numPr>
          <w:ilvl w:val="1"/>
          <w:numId w:val="2"/>
        </w:numPr>
        <w:rPr/>
      </w:pPr>
      <w:r>
        <w:rPr/>
        <w:t>Generic IEEE 802 access network functional behavior</w:t>
      </w:r>
    </w:p>
    <w:p>
      <w:pPr>
        <w:pStyle w:val="Normal"/>
        <w:rPr/>
      </w:pPr>
      <w:r>
        <w:rPr/>
      </w:r>
    </w:p>
    <w:p>
      <w:pPr>
        <w:pStyle w:val="Normal"/>
        <w:rPr/>
      </w:pPr>
      <w:r>
        <w:rPr/>
        <w:t xml:space="preserve">In addition to a common network reference model introduced above, the specification also provides  generic functional description of the operation of an access network build through IEEE 802 technologies. Figure </w:t>
      </w:r>
      <w:r>
        <w:rPr/>
        <w:fldChar w:fldCharType="begin"/>
      </w:r>
      <w:r>
        <w:rPr/>
        <w:instrText xml:space="preserve"> REF Ref_Figure2_number_only \h </w:instrText>
      </w:r>
      <w:r>
        <w:rPr/>
        <w:fldChar w:fldCharType="separate"/>
      </w:r>
      <w:r>
        <w:rPr/>
        <w:t>3</w:t>
      </w:r>
      <w:r>
        <w:rPr/>
        <w:fldChar w:fldCharType="end"/>
      </w:r>
      <w:r>
        <w:rP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pPr>
        <w:pStyle w:val="Normal"/>
        <w:rPr/>
      </w:pPr>
      <w:r>
        <w:rPr/>
      </w:r>
    </w:p>
    <w:p>
      <w:pPr>
        <w:pStyle w:val="Normal"/>
        <w:rPr/>
      </w:pPr>
      <w:r>
        <w:rPr/>
        <mc:AlternateContent>
          <mc:Choice Requires="wps">
            <w:drawing>
              <wp:anchor behindDoc="0" distT="0" distB="0" distL="0" distR="0" simplePos="0" locked="0" layoutInCell="0" allowOverlap="1" relativeHeight="7" wp14:anchorId="233ABF55">
                <wp:simplePos x="0" y="0"/>
                <wp:positionH relativeFrom="column">
                  <wp:align>center</wp:align>
                </wp:positionH>
                <wp:positionV relativeFrom="paragraph">
                  <wp:posOffset>635</wp:posOffset>
                </wp:positionV>
                <wp:extent cx="4191635" cy="3212465"/>
                <wp:effectExtent l="0" t="0" r="0" b="0"/>
                <wp:wrapTopAndBottom/>
                <wp:docPr id="9" name="Frame3"/>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fillRef idx="0"/>
                        <a:effectRef idx="0"/>
                        <a:fontRef idx="minor"/>
                      </wps:style>
                      <wps:txbx>
                        <w:txbxContent>
                          <w:p>
                            <w:pPr>
                              <w:pStyle w:val="Figure"/>
                              <w:spacing w:before="120" w:after="120"/>
                              <w:rPr>
                                <w:color w:val="000000"/>
                              </w:rPr>
                            </w:pPr>
                            <w:r>
                              <w:rPr/>
                              <w:drawing>
                                <wp:inline distT="0" distB="0" distL="0" distR="0">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6"/>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4"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4"/>
                            <w:r>
                              <w:rPr>
                                <w:color w:val="000000"/>
                              </w:rPr>
                              <w:t>: Lifecycle of a user session</w:t>
                            </w:r>
                          </w:p>
                        </w:txbxContent>
                      </wps:txbx>
                      <wps:bodyPr lIns="0" rIns="0" tIns="0" bIns="0" anchor="t">
                        <a:noAutofit/>
                      </wps:bodyPr>
                    </wps:wsp>
                  </a:graphicData>
                </a:graphic>
              </wp:anchor>
            </w:drawing>
          </mc:Choice>
          <mc:Fallback>
            <w:pict>
              <v:rect id="shape_0" ID="Frame3" path="m0,0l-2147483645,0l-2147483645,-2147483646l0,-2147483646xe" stroked="f" o:allowincell="f" style="position:absolute;margin-left:68.95pt;margin-top:0.05pt;width:330pt;height:252.9pt;mso-wrap-style:square;v-text-anchor:top;mso-position-horizontal:center" wp14:anchorId="233ABF55">
                <v:fill o:detectmouseclick="t" on="false"/>
                <v:stroke color="#3465a4" joinstyle="round" endcap="flat"/>
                <v:textbox>
                  <w:txbxContent>
                    <w:p>
                      <w:pPr>
                        <w:pStyle w:val="Figure"/>
                        <w:spacing w:before="120" w:after="120"/>
                        <w:rPr>
                          <w:color w:val="000000"/>
                        </w:rPr>
                      </w:pPr>
                      <w:r>
                        <w:rPr/>
                        <w:drawing>
                          <wp:inline distT="0" distB="0" distL="0" distR="0">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5"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5"/>
                      <w:r>
                        <w:rPr>
                          <w:color w:val="000000"/>
                        </w:rPr>
                        <w:t>: Lifecycle of a user session</w:t>
                      </w:r>
                    </w:p>
                  </w:txbxContent>
                </v:textbox>
                <w10:wrap type="topAndBottom"/>
              </v:rect>
            </w:pict>
          </mc:Fallback>
        </mc:AlternateContent>
      </w:r>
    </w:p>
    <w:p>
      <w:pPr>
        <w:pStyle w:val="Normal"/>
        <w:rPr/>
      </w:pPr>
      <w:r>
        <w:rPr/>
        <w:t xml:space="preserve">There are many network functions invoked between the begin and the end of a session, and the figure </w:t>
      </w:r>
      <w:r>
        <w:rPr/>
        <w:fldChar w:fldCharType="begin"/>
      </w:r>
      <w:r>
        <w:rPr/>
        <w:instrText xml:space="preserve"> REF Ref_Figure2_number_only \h </w:instrText>
      </w:r>
      <w:r>
        <w:rPr/>
        <w:fldChar w:fldCharType="separate"/>
      </w:r>
      <w:r>
        <w:rPr/>
        <w:t>3</w:t>
      </w:r>
      <w:r>
        <w:rPr/>
        <w:fldChar w:fldCharType="end"/>
      </w:r>
      <w:r>
        <w:rP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pPr>
        <w:pStyle w:val="Heading2"/>
        <w:numPr>
          <w:ilvl w:val="1"/>
          <w:numId w:val="2"/>
        </w:numPr>
        <w:rPr/>
      </w:pPr>
      <w:r>
        <w:rPr/>
        <w:t>Network virtualization, instantiation, and slicing</w:t>
      </w:r>
    </w:p>
    <w:p>
      <w:pPr>
        <w:pStyle w:val="Normal"/>
        <w:rPr/>
      </w:pPr>
      <w:r>
        <w:rPr/>
      </w:r>
    </w:p>
    <w:p>
      <w:pPr>
        <w:pStyle w:val="Normal"/>
        <w:rPr/>
      </w:pPr>
      <w:r>
        <w:rP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pPr>
        <w:pStyle w:val="Normal"/>
        <w:rPr/>
      </w:pPr>
      <w:r>
        <w:rPr/>
        <w:t xml:space="preserve">Figure </w:t>
      </w:r>
      <w:r>
        <w:rPr/>
        <w:t>4</w:t>
      </w:r>
      <w:r>
        <w:rPr/>
        <w:t xml:space="preserve">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pPr>
        <w:pStyle w:val="Normal"/>
        <w:rPr/>
      </w:pPr>
      <w:r>
        <w:rPr/>
      </w:r>
    </w:p>
    <w:p>
      <w:pPr>
        <w:pStyle w:val="Normal"/>
        <w:rPr/>
      </w:pPr>
      <w:r>
        <mc:AlternateContent>
          <mc:Choice Requires="wps">
            <w:drawing>
              <wp:anchor behindDoc="0" distT="0" distB="5715" distL="0" distR="2540" simplePos="0" locked="0" layoutInCell="0" allowOverlap="1" relativeHeight="10" wp14:anchorId="479BC7DF">
                <wp:simplePos x="0" y="0"/>
                <wp:positionH relativeFrom="column">
                  <wp:posOffset>1113155</wp:posOffset>
                </wp:positionH>
                <wp:positionV relativeFrom="paragraph">
                  <wp:posOffset>1055370</wp:posOffset>
                </wp:positionV>
                <wp:extent cx="4056380" cy="5177155"/>
                <wp:effectExtent l="0" t="635" r="0" b="0"/>
                <wp:wrapTopAndBottom/>
                <wp:docPr id="13" name="Frame4"/>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3714115" cy="4901565"/>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descr=""/>
                                          <pic:cNvPicPr>
                                            <a:picLocks noChangeAspect="1" noChangeArrowheads="1"/>
                                          </pic:cNvPicPr>
                                        </pic:nvPicPr>
                                        <pic:blipFill>
                                          <a:blip r:embed="rId8"/>
                                          <a:stretch>
                                            <a:fillRect/>
                                          </a:stretch>
                                        </pic:blipFill>
                                        <pic:spPr bwMode="auto">
                                          <a:xfrm>
                                            <a:off x="0" y="0"/>
                                            <a:ext cx="3714115" cy="4901565"/>
                                          </a:xfrm>
                                          <a:prstGeom prst="rect">
                                            <a:avLst/>
                                          </a:prstGeom>
                                        </pic:spPr>
                                      </pic:pic>
                                    </a:graphicData>
                                  </a:graphic>
                                </wp:inline>
                              </w:drawing>
                            </w:r>
                          </w:p>
                          <w:p>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wps:txbx>
                      <wps:bodyPr lIns="0" rIns="0" tIns="0" bIns="0" anchor="t">
                        <a:noAutofit/>
                      </wps:bodyPr>
                    </wps:wsp>
                  </a:graphicData>
                </a:graphic>
              </wp:anchor>
            </w:drawing>
          </mc:Choice>
          <mc:Fallback>
            <w:pict>
              <v:rect id="shape_0" ID="Frame4" path="m0,0l-2147483645,0l-2147483645,-2147483646l0,-2147483646xe" stroked="f" o:allowincell="f" style="position:absolute;margin-left:87.65pt;margin-top:83.1pt;width:319.35pt;height:407.6pt;mso-wrap-style:square;v-text-anchor:top" wp14:anchorId="479BC7DF">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3714115" cy="4901565"/>
                            <wp:effectExtent l="0" t="0" r="0" b="0"/>
                            <wp:docPr id="1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
                                    <pic:cNvPicPr>
                                      <a:picLocks noChangeAspect="1" noChangeArrowheads="1"/>
                                    </pic:cNvPicPr>
                                  </pic:nvPicPr>
                                  <pic:blipFill>
                                    <a:blip r:embed="rId9"/>
                                    <a:stretch>
                                      <a:fillRect/>
                                    </a:stretch>
                                  </pic:blipFill>
                                  <pic:spPr bwMode="auto">
                                    <a:xfrm>
                                      <a:off x="0" y="0"/>
                                      <a:ext cx="3714115" cy="4901565"/>
                                    </a:xfrm>
                                    <a:prstGeom prst="rect">
                                      <a:avLst/>
                                    </a:prstGeom>
                                  </pic:spPr>
                                </pic:pic>
                              </a:graphicData>
                            </a:graphic>
                          </wp:inline>
                        </w:drawing>
                      </w:r>
                    </w:p>
                    <w:p>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v:textbox>
                <w10:wrap type="topAndBottom"/>
              </v:rect>
            </w:pict>
          </mc:Fallback>
        </mc:AlternateContent>
      </w:r>
      <w:r>
        <w:rP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pPr>
        <w:pStyle w:val="Normal"/>
        <w:rPr/>
      </w:pPr>
      <w:r>
        <w:rPr/>
      </w:r>
    </w:p>
    <w:p>
      <w:pPr>
        <w:pStyle w:val="Normal"/>
        <w:rPr>
          <w:highlight w:val="yellow"/>
        </w:rPr>
      </w:pPr>
      <w:r>
        <w:rPr/>
      </w:r>
    </w:p>
    <w:p>
      <w:pPr>
        <w:pStyle w:val="Normal"/>
        <w:rPr/>
      </w:pPr>
      <w:r>
        <w:rPr/>
      </w:r>
    </w:p>
    <w:p>
      <w:pPr>
        <w:pStyle w:val="Heading1"/>
        <w:numPr>
          <w:ilvl w:val="0"/>
          <w:numId w:val="2"/>
        </w:numPr>
        <w:rPr/>
      </w:pPr>
      <w:r>
        <w:rPr/>
        <w:t xml:space="preserve">Higher layer functions </w:t>
      </w:r>
      <w:commentRangeStart w:id="0"/>
      <w:commentRangeStart w:id="1"/>
      <w:r>
        <w:rPr/>
        <w:t>and service discovery in vertical application networks</w:t>
      </w:r>
      <w:r>
        <w:rPr/>
      </w:r>
      <w:commentRangeEnd w:id="1"/>
      <w:r>
        <w:commentReference w:id="1"/>
      </w:r>
      <w:commentRangeEnd w:id="0"/>
      <w:r>
        <w:commentReference w:id="0"/>
      </w:r>
      <w:r>
        <w:rPr/>
      </w:r>
    </w:p>
    <w:p>
      <w:pPr>
        <w:pStyle w:val="Normal"/>
        <w:rPr/>
      </w:pPr>
      <w:commentRangeStart w:id="2"/>
      <w:r>
        <w:rPr/>
        <w:t xml:space="preserve">Is there a need for an IEEE 802 activity for improving provisioning? </w:t>
      </w:r>
      <w:r>
        <w:rPr/>
      </w:r>
      <w:commentRangeEnd w:id="2"/>
      <w:r>
        <w:commentReference w:id="2"/>
      </w:r>
      <w:r>
        <w:rPr/>
        <w:t xml:space="preserve"> Can IEEE 802 offer a provisioning solution as flexible as the SIM?  Can the SIM be adopted into IEEE 802? </w:t>
      </w:r>
    </w:p>
    <w:p>
      <w:pPr>
        <w:pStyle w:val="Normal"/>
        <w:rPr/>
      </w:pPr>
      <w:r>
        <w:rPr/>
        <w:t>Security, Network Health, Better sharing and coexistence in spectrum</w:t>
      </w:r>
    </w:p>
    <w:p>
      <w:pPr>
        <w:pStyle w:val="Normal"/>
        <w:rPr/>
      </w:pPr>
      <w:commentRangeStart w:id="3"/>
      <w:r>
        <w:rPr/>
        <w:t xml:space="preserve">What can IEEE 802 do to enable “SD-WAN” types of services for the heterogeneous network in a vertical? </w:t>
      </w:r>
      <w:commentRangeEnd w:id="3"/>
      <w:r>
        <w:commentReference w:id="3"/>
      </w:r>
      <w:r>
        <w:rPr/>
      </w:r>
    </w:p>
    <w:p>
      <w:pPr>
        <w:pStyle w:val="ListParagraph"/>
        <w:numPr>
          <w:ilvl w:val="0"/>
          <w:numId w:val="3"/>
        </w:numPr>
        <w:rPr/>
      </w:pPr>
      <w:r>
        <w:rPr/>
        <w:t xml:space="preserve">Application-sensitive provisioning? </w:t>
      </w:r>
    </w:p>
    <w:p>
      <w:pPr>
        <w:pStyle w:val="ListParagraph"/>
        <w:numPr>
          <w:ilvl w:val="0"/>
          <w:numId w:val="3"/>
        </w:numPr>
        <w:rPr/>
      </w:pPr>
      <w:r>
        <w:rPr/>
        <w:t>What is the role of edge computing?</w:t>
      </w:r>
    </w:p>
    <w:p>
      <w:pPr>
        <w:pStyle w:val="ListParagraph"/>
        <w:numPr>
          <w:ilvl w:val="0"/>
          <w:numId w:val="3"/>
        </w:numPr>
        <w:rPr/>
      </w:pPr>
      <w:commentRangeStart w:id="4"/>
      <w:commentRangeStart w:id="5"/>
      <w:r>
        <w:rPr/>
        <w:t xml:space="preserve">What is the IEEE 802 analogy for 5G Network Slices?  </w:t>
      </w:r>
      <w:commentRangeEnd w:id="5"/>
      <w:r>
        <w:commentReference w:id="5"/>
      </w:r>
      <w:r>
        <w:rPr/>
      </w:r>
    </w:p>
    <w:p>
      <w:pPr>
        <w:pStyle w:val="ListParagraph"/>
        <w:numPr>
          <w:ilvl w:val="1"/>
          <w:numId w:val="3"/>
        </w:numPr>
        <w:rPr/>
      </w:pPr>
      <w:r>
        <w:rPr/>
        <w:t xml:space="preserve">OmniRAN has done this with Virtual LANs. OmniRAN took it one step further. A Network Slice is a separated user plane, with a common control plane. Traffic classes are separated by tags. </w:t>
      </w:r>
    </w:p>
    <w:p>
      <w:pPr>
        <w:pStyle w:val="ListParagraph"/>
        <w:numPr>
          <w:ilvl w:val="1"/>
          <w:numId w:val="3"/>
        </w:numPr>
        <w:rPr/>
      </w:pPr>
      <w:r>
        <w:rPr/>
        <w:t xml:space="preserve">The VLAN as defined today provides the network slice capability. It can provide service differentiation, and forwarding differentiation.  </w:t>
      </w:r>
    </w:p>
    <w:p>
      <w:pPr>
        <w:pStyle w:val="ListParagraph"/>
        <w:numPr>
          <w:ilvl w:val="1"/>
          <w:numId w:val="3"/>
        </w:numPr>
        <w:rPr/>
      </w:pPr>
      <w:r>
        <w:rPr/>
        <w:t>There is nothing in 5G network slicing that is not covered by a VLAN.</w:t>
      </w:r>
    </w:p>
    <w:p>
      <w:pPr>
        <w:pStyle w:val="ListParagraph"/>
        <w:numPr>
          <w:ilvl w:val="1"/>
          <w:numId w:val="3"/>
        </w:numPr>
        <w:rPr/>
      </w:pPr>
      <w:r>
        <w:rPr/>
        <w:t xml:space="preserve">OmniRAN went further to virtualize and separate control planes. This capability is not available in 3GPP – the operator is assumed to control everything. </w:t>
      </w:r>
    </w:p>
    <w:p>
      <w:pPr>
        <w:pStyle w:val="Normal"/>
        <w:rPr/>
      </w:pPr>
      <w:r>
        <w:rPr/>
        <w:t>Slices to be adapted to the set of application requirement</w:t>
      </w:r>
      <w:commentRangeEnd w:id="4"/>
      <w:r>
        <w:commentReference w:id="4"/>
      </w:r>
      <w:r>
        <w:rPr/>
      </w:r>
    </w:p>
    <w:p>
      <w:pPr>
        <w:pStyle w:val="Heading3"/>
        <w:keepNext w:val="true"/>
        <w:widowControl/>
        <w:numPr>
          <w:ilvl w:val="0"/>
          <w:numId w:val="0"/>
        </w:numPr>
        <w:suppressAutoHyphens w:val="true"/>
        <w:bidi w:val="0"/>
        <w:spacing w:before="240" w:after="60"/>
        <w:ind w:left="720" w:hanging="0"/>
        <w:jc w:val="left"/>
        <w:rPr/>
      </w:pPr>
      <w:r>
        <w:rPr/>
      </w:r>
      <w:bookmarkStart w:id="6" w:name="move977405111"/>
      <w:bookmarkStart w:id="7" w:name="move977405111"/>
      <w:bookmarkEnd w:id="7"/>
    </w:p>
    <w:p>
      <w:pPr>
        <w:pStyle w:val="Heading1"/>
        <w:numPr>
          <w:ilvl w:val="0"/>
          <w:numId w:val="2"/>
        </w:numPr>
        <w:rPr/>
      </w:pPr>
      <w:r>
        <w:rPr/>
        <w:t>The building block/stone heap and the castle – why IEEE 802 is somewhat different.</w:t>
      </w:r>
    </w:p>
    <w:p>
      <w:pPr>
        <w:pStyle w:val="Normal"/>
        <w:rPr/>
      </w:pPr>
      <w:r>
        <w:rPr/>
      </w:r>
    </w:p>
    <w:tbl>
      <w:tblPr>
        <w:tblW w:w="936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398"/>
        <w:gridCol w:w="3627"/>
        <w:gridCol w:w="3335"/>
      </w:tblGrid>
      <w:tr>
        <w:trPr>
          <w:tblHeader w:val="true"/>
        </w:trPr>
        <w:tc>
          <w:tcPr>
            <w:tcW w:w="2398" w:type="dxa"/>
            <w:tcBorders>
              <w:top w:val="single" w:sz="4" w:space="0" w:color="000000"/>
              <w:bottom w:val="single" w:sz="4" w:space="0" w:color="000000"/>
            </w:tcBorders>
          </w:tcPr>
          <w:p>
            <w:pPr>
              <w:pStyle w:val="TableHeading"/>
              <w:widowControl w:val="false"/>
              <w:rPr>
                <w:rFonts w:ascii="Liberation Serif" w:hAnsi="Liberation Serif"/>
                <w:b w:val="false"/>
                <w:b w:val="false"/>
                <w:bCs w:val="false"/>
                <w:color w:val="000000"/>
                <w:szCs w:val="24"/>
              </w:rPr>
            </w:pPr>
            <w:r>
              <w:rPr>
                <w:rFonts w:ascii="Liberation Serif" w:hAnsi="Liberation Serif"/>
                <w:b w:val="false"/>
                <w:bCs w:val="false"/>
                <w:color w:val="000000"/>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Heading"/>
              <w:widowControl w:val="false"/>
              <w:rPr/>
            </w:pPr>
            <w:r>
              <w:rPr/>
              <w:t>IEEE 802</w:t>
            </w:r>
          </w:p>
        </w:tc>
        <w:tc>
          <w:tcPr>
            <w:tcW w:w="3335" w:type="dxa"/>
            <w:tcBorders>
              <w:top w:val="single" w:sz="4" w:space="0" w:color="000000"/>
              <w:bottom w:val="single" w:sz="4" w:space="0" w:color="000000"/>
            </w:tcBorders>
          </w:tcPr>
          <w:p>
            <w:pPr>
              <w:pStyle w:val="TableHeading"/>
              <w:widowControl w:val="false"/>
              <w:rPr/>
            </w:pPr>
            <w:r>
              <w:rPr/>
              <w:t>Others e.g. 3GPP</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Open architecture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Defined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drawing>
                <wp:inline distT="0" distB="0" distL="0" distR="0">
                  <wp:extent cx="1510665" cy="698500"/>
                  <wp:effectExtent l="0" t="0" r="0" b="0"/>
                  <wp:docPr id="17"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56" descr=""/>
                          <pic:cNvPicPr>
                            <a:picLocks noChangeAspect="1" noChangeArrowheads="1"/>
                          </pic:cNvPicPr>
                        </pic:nvPicPr>
                        <pic:blipFill>
                          <a:blip r:embed="rId10"/>
                          <a:stretch>
                            <a:fillRect/>
                          </a:stretch>
                        </pic:blipFill>
                        <pic:spPr bwMode="auto">
                          <a:xfrm>
                            <a:off x="0" y="0"/>
                            <a:ext cx="1510665" cy="698500"/>
                          </a:xfrm>
                          <a:prstGeom prst="rect">
                            <a:avLst/>
                          </a:prstGeom>
                        </pic:spPr>
                      </pic:pic>
                    </a:graphicData>
                  </a:graphic>
                </wp:inline>
              </w:drawing>
            </w:r>
          </w:p>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drawing>
                <wp:anchor behindDoc="0" distT="0" distB="0" distL="0" distR="0" simplePos="0" locked="0" layoutInCell="1" allowOverlap="1" relativeHeight="12">
                  <wp:simplePos x="0" y="0"/>
                  <wp:positionH relativeFrom="column">
                    <wp:posOffset>288290</wp:posOffset>
                  </wp:positionH>
                  <wp:positionV relativeFrom="paragraph">
                    <wp:posOffset>146685</wp:posOffset>
                  </wp:positionV>
                  <wp:extent cx="1678940" cy="1049655"/>
                  <wp:effectExtent l="0" t="0" r="0" b="0"/>
                  <wp:wrapNone/>
                  <wp:docPr id="18" name="Shap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ape6" descr=""/>
                          <pic:cNvPicPr>
                            <a:picLocks noChangeAspect="1" noChangeArrowheads="1"/>
                          </pic:cNvPicPr>
                        </pic:nvPicPr>
                        <pic:blipFill>
                          <a:blip r:embed="rId11"/>
                          <a:stretch>
                            <a:fillRect/>
                          </a:stretch>
                        </pic:blipFill>
                        <pic:spPr bwMode="auto">
                          <a:xfrm>
                            <a:off x="0" y="0"/>
                            <a:ext cx="1678940" cy="1049655"/>
                          </a:xfrm>
                          <a:prstGeom prst="rect">
                            <a:avLst/>
                          </a:prstGeom>
                        </pic:spPr>
                      </pic:pic>
                    </a:graphicData>
                  </a:graphic>
                </wp:anchor>
              </w:drawing>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pPr>
            <w:r>
              <w:rPr/>
              <w:t>General paradigms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first</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Perfect solutions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Divide and conquer</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Strictly hierarchical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Common solutions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Extreme optimization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Purpose</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Specifically defined network structure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unlicensed</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licensed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Anybody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Often bound to some authorization</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Provisioning (Planning and installation)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Nationwide services network</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Small set of functions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Link layer connectivity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End2end service delivery</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Set of individual standards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Suite of related standards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Layered interoperability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Service interoperability</w:t>
            </w:r>
          </w:p>
        </w:tc>
      </w:tr>
      <w:tr>
        <w:trPr>
          <w:trHeight w:val="271" w:hRule="atLeast"/>
        </w:trPr>
        <w:tc>
          <w:tcPr>
            <w:tcW w:w="2398" w:type="dxa"/>
            <w:tcBorders>
              <w:bottom w:val="single" w:sz="4" w:space="0" w:color="000000"/>
            </w:tcBorders>
          </w:tcPr>
          <w:p>
            <w:pPr>
              <w:pStyle w:val="TableContents"/>
              <w:widowControl w:val="false"/>
              <w:jc w:val="center"/>
              <w:rPr/>
            </w:pPr>
            <w:r>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pPr>
            <w:r>
              <w:rPr/>
              <w:t>Easy entry</w:t>
            </w:r>
          </w:p>
        </w:tc>
        <w:tc>
          <w:tcPr>
            <w:tcW w:w="3335" w:type="dxa"/>
            <w:tcBorders>
              <w:bottom w:val="single" w:sz="4" w:space="0" w:color="000000"/>
            </w:tcBorders>
          </w:tcPr>
          <w:p>
            <w:pPr>
              <w:pStyle w:val="TableContents"/>
              <w:widowControl w:val="false"/>
              <w:jc w:val="center"/>
              <w:rPr/>
            </w:pPr>
            <w:r>
              <w:rPr/>
              <w:t>Comprehensive knowledge required</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Administration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Centrally controlled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Use of simple security means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Complex security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Flat-fee services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SLAs and contracts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Better suited to standard deployments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Fully specified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Operation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Usually over-provisioning used to avoid operational complexity and expenses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monitoring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and automation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 control and deep insights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Keep bits flowing</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Generate value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play</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configure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Switch it on and let it run</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Operations center</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Maintenance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Introduce a next generation end-to-end network for the next level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replacements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Foster and grow</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Revolutionize the network</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Harmonized infrastructure renewal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suites of standards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interworking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One piece at a time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Regular swap of complete infrastructure</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Troubleshooting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It depends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Count and measure everything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network management suite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Base functions for proprietary solutions and common sense</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Ensure detection of any malfunction and quick recovery</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Enable basic commonality</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Unique skill-sets and workforce</w:t>
            </w:r>
          </w:p>
        </w:tc>
      </w:tr>
    </w:tbl>
    <w:p>
      <w:pPr>
        <w:pStyle w:val="Normal"/>
        <w:rPr/>
      </w:pPr>
      <w:r>
        <w:rPr/>
      </w:r>
    </w:p>
    <w:p>
      <w:pPr>
        <w:pStyle w:val="Heading1"/>
        <w:numPr>
          <w:ilvl w:val="0"/>
          <w:numId w:val="2"/>
        </w:numPr>
        <w:rPr/>
      </w:pPr>
      <w:r>
        <w:rPr/>
        <w:t xml:space="preserve">Conclusion </w:t>
      </w:r>
    </w:p>
    <w:p>
      <w:pPr>
        <w:pStyle w:val="Normal"/>
        <w:rPr/>
      </w:pPr>
      <w:r>
        <w:rPr/>
        <w:t xml:space="preserve">Future perspectives – how can IEEE 802 evolve to better serve vertical markets? (e.g. troubleshooting is less mature.  IEEE 802 provides less explicit guidance and documentation for certain aspects of deployment and troubleshooting. </w:t>
      </w:r>
    </w:p>
    <w:p>
      <w:pPr>
        <w:pStyle w:val="Normal"/>
        <w:rPr/>
      </w:pPr>
      <w:r>
        <w:rPr/>
      </w:r>
    </w:p>
    <w:p>
      <w:pPr>
        <w:pStyle w:val="Heading"/>
        <w:rPr/>
      </w:pPr>
      <w:r>
        <w:rPr/>
      </w:r>
      <w:r>
        <w:br w:type="page"/>
      </w:r>
    </w:p>
    <w:p>
      <w:pPr>
        <w:pStyle w:val="Heading"/>
        <w:rPr/>
      </w:pPr>
      <w:r>
        <w:rPr/>
        <w:t>References</w:t>
      </w:r>
    </w:p>
    <w:p>
      <w:pPr>
        <w:pStyle w:val="Normal"/>
        <w:rPr/>
      </w:pPr>
      <w:r>
        <w:rPr/>
      </w:r>
    </w:p>
    <w:p>
      <w:pPr>
        <w:pStyle w:val="Normal"/>
        <w:rPr/>
      </w:pPr>
      <w:r>
        <w:rPr/>
      </w:r>
    </w:p>
    <w:p>
      <w:pPr>
        <w:pStyle w:val="Heading"/>
        <w:rPr/>
      </w:pPr>
      <w:r>
        <w:rPr/>
      </w:r>
      <w:r>
        <w:br w:type="page"/>
      </w:r>
    </w:p>
    <w:p>
      <w:pPr>
        <w:pStyle w:val="Heading"/>
        <w:rPr/>
      </w:pPr>
      <w:r>
        <w:rPr/>
        <w:t xml:space="preserve">For further discussions: </w:t>
        <w:br/>
        <w:t>Backup section for removed material:</w:t>
      </w:r>
    </w:p>
    <w:p>
      <w:pPr>
        <w:pStyle w:val="Heading1"/>
        <w:numPr>
          <w:ilvl w:val="0"/>
          <w:numId w:val="2"/>
        </w:numPr>
        <w:rPr/>
      </w:pPr>
      <w:r>
        <w:rPr/>
        <w:t>IEEE 802 compared to other IoT Networking Technologies</w:t>
      </w:r>
    </w:p>
    <w:p>
      <w:pPr>
        <w:pStyle w:val="ListParagraph"/>
        <w:numPr>
          <w:ilvl w:val="0"/>
          <w:numId w:val="5"/>
        </w:numPr>
        <w:rPr/>
      </w:pPr>
      <w:r>
        <w:rPr/>
        <w:t>Commercial, proprietary IoT LPWAN services</w:t>
      </w:r>
    </w:p>
    <w:p>
      <w:pPr>
        <w:pStyle w:val="ListParagraph"/>
        <w:numPr>
          <w:ilvl w:val="1"/>
          <w:numId w:val="5"/>
        </w:numPr>
        <w:rPr/>
      </w:pPr>
      <w:r>
        <w:rPr/>
        <w:t xml:space="preserve">They don’t have an “Ethernet-like” L2. The system does not have the concept of a LAN.  It is terminal to central “gateway” only. Star topology only. </w:t>
      </w:r>
    </w:p>
    <w:p>
      <w:pPr>
        <w:pStyle w:val="ListParagraph"/>
        <w:numPr>
          <w:ilvl w:val="1"/>
          <w:numId w:val="5"/>
        </w:numPr>
        <w:rPr/>
      </w:pPr>
      <w:r>
        <w:rPr/>
        <w:t>Similar to LTE UE to UE traffic that must route through core.  (DTD Proximity services have addressed that to some extent in LTE)</w:t>
      </w:r>
    </w:p>
    <w:p>
      <w:pPr>
        <w:pStyle w:val="ListParagraph"/>
        <w:numPr>
          <w:ilvl w:val="0"/>
          <w:numId w:val="5"/>
        </w:numPr>
        <w:rPr/>
      </w:pPr>
      <w:r>
        <w:rPr/>
        <w:t xml:space="preserve">5G URLLC, and MMTC. </w:t>
      </w:r>
    </w:p>
    <w:p>
      <w:pPr>
        <w:pStyle w:val="ListParagraph"/>
        <w:numPr>
          <w:ilvl w:val="1"/>
          <w:numId w:val="5"/>
        </w:numPr>
        <w:rPr/>
      </w:pPr>
      <w:r>
        <w:rPr/>
        <w:t xml:space="preserve">IEEE 802 has already developed TSN in wired standards (802.1 and 802.3), </w:t>
      </w:r>
    </w:p>
    <w:p>
      <w:pPr>
        <w:pStyle w:val="ListParagraph"/>
        <w:numPr>
          <w:ilvl w:val="1"/>
          <w:numId w:val="5"/>
        </w:numPr>
        <w:rPr/>
      </w:pPr>
      <w:r>
        <w:rPr/>
        <w:t>IEEE 802.16 and 802.22 standards operate in licensed spectrum and offer scheduled MAC operation and services for bounded low latency</w:t>
      </w:r>
    </w:p>
    <w:p>
      <w:pPr>
        <w:pStyle w:val="ListParagraph"/>
        <w:numPr>
          <w:ilvl w:val="1"/>
          <w:numId w:val="5"/>
        </w:numPr>
        <w:rPr/>
      </w:pPr>
      <w:r>
        <w:rPr/>
        <w:t>Latency is impossible to guarantee in unlicensed, shared spectrum. However, it can be highly optimized by the MAC layer. Low latency capabilities are part of the scope IEEE 802.11be amendment.</w:t>
      </w:r>
    </w:p>
    <w:p>
      <w:pPr>
        <w:pStyle w:val="ListParagraph"/>
        <w:numPr>
          <w:ilvl w:val="1"/>
          <w:numId w:val="5"/>
        </w:numPr>
        <w:rPr/>
      </w:pPr>
      <w:r>
        <w:rP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Pr>
          <w:rStyle w:val="FootnoteAnchor"/>
        </w:rPr>
        <w:footnoteReference w:id="2"/>
      </w:r>
      <w:r>
        <w:rPr/>
        <w:t xml:space="preserve"> </w:t>
      </w:r>
    </w:p>
    <w:p>
      <w:pPr>
        <w:pStyle w:val="ListParagraph"/>
        <w:numPr>
          <w:ilvl w:val="0"/>
          <w:numId w:val="5"/>
        </w:numPr>
        <w:rPr/>
      </w:pPr>
      <w:r>
        <w:rPr/>
        <w:t>3GPP has a common strategy for the three primary use cases identified for 5G (eMBB, mMTC, URLLC). IEEE 802 has a common architecture, but not a common business strategy.</w:t>
      </w:r>
    </w:p>
    <w:p>
      <w:pPr>
        <w:pStyle w:val="ListParagraph"/>
        <w:numPr>
          <w:ilvl w:val="0"/>
          <w:numId w:val="5"/>
        </w:numPr>
        <w:ind w:left="1080" w:hanging="360"/>
        <w:rPr/>
      </w:pPr>
      <w:r>
        <w:rPr/>
        <w:t xml:space="preserve">License exempt can provide higher economic value per MHz of spectrum. </w:t>
      </w:r>
    </w:p>
    <w:p>
      <w:pPr>
        <w:pStyle w:val="ListParagraph"/>
        <w:numPr>
          <w:ilvl w:val="1"/>
          <w:numId w:val="5"/>
        </w:numPr>
        <w:rPr/>
      </w:pPr>
      <w:r>
        <w:rPr/>
        <w:t>See Wi-Fi Alliance 2018 study on economic value of WI-Fi</w:t>
      </w:r>
      <w:r>
        <w:rPr>
          <w:rStyle w:val="FootnoteAnchor"/>
        </w:rPr>
        <w:footnoteReference w:id="3"/>
      </w:r>
      <w:r>
        <w:rPr/>
        <w:t xml:space="preserve">. </w:t>
      </w:r>
    </w:p>
    <w:p>
      <w:pPr>
        <w:pStyle w:val="ListParagraph"/>
        <w:numPr>
          <w:ilvl w:val="1"/>
          <w:numId w:val="5"/>
        </w:numPr>
        <w:rPr/>
      </w:pPr>
      <w:r>
        <w:rPr/>
        <w:t>See Cisco Visual Networking Index</w:t>
      </w:r>
      <w:r>
        <w:rPr>
          <w:rStyle w:val="FootnoteAnchor"/>
        </w:rPr>
        <w:footnoteReference w:id="4"/>
      </w:r>
      <w:r>
        <w:rPr/>
        <w:t>. Wi-Fi carries more data than all cellular spectrum</w:t>
      </w:r>
    </w:p>
    <w:p>
      <w:pPr>
        <w:pStyle w:val="ListParagraph"/>
        <w:numPr>
          <w:ilvl w:val="0"/>
          <w:numId w:val="5"/>
        </w:numPr>
        <w:ind w:left="1080" w:hanging="360"/>
        <w:rPr/>
      </w:pPr>
      <w:r>
        <w:rPr/>
        <w:t>Wi-Fi created the expectation of broadband wireless that led to the development of LTE</w:t>
      </w:r>
    </w:p>
    <w:p>
      <w:pPr>
        <w:pStyle w:val="ListParagraph"/>
        <w:keepNext w:val="true"/>
        <w:keepLines/>
        <w:numPr>
          <w:ilvl w:val="0"/>
          <w:numId w:val="5"/>
        </w:numPr>
        <w:rPr/>
      </w:pPr>
      <w:r>
        <w:rPr/>
        <w:t xml:space="preserve">What would it look like to combine multiple IEEE 802 standards into a single offering? </w:t>
      </w:r>
    </w:p>
    <w:p>
      <w:pPr>
        <w:pStyle w:val="ListParagraph"/>
        <w:numPr>
          <w:ilvl w:val="1"/>
          <w:numId w:val="5"/>
        </w:numPr>
        <w:rPr/>
      </w:pPr>
      <w:r>
        <w:rPr/>
        <w:t>Some vendors already do that – integrating 802 technologies into systems.</w:t>
      </w:r>
    </w:p>
    <w:p>
      <w:pPr>
        <w:pStyle w:val="ListParagraph"/>
        <w:numPr>
          <w:ilvl w:val="1"/>
          <w:numId w:val="5"/>
        </w:numPr>
        <w:rPr/>
      </w:pPr>
      <w:r>
        <w:rPr/>
        <w:t xml:space="preserve">The “Package” offered by the “5G” ecosystem is clearly articulated. </w:t>
      </w:r>
    </w:p>
    <w:p>
      <w:pPr>
        <w:pStyle w:val="ListParagraph"/>
        <w:numPr>
          <w:ilvl w:val="1"/>
          <w:numId w:val="5"/>
        </w:numPr>
        <w:rPr/>
      </w:pPr>
      <w:r>
        <w:rPr/>
        <w:t>What is the comparable offering from IEEE 802?</w:t>
      </w:r>
    </w:p>
    <w:p>
      <w:pPr>
        <w:pStyle w:val="Normal"/>
        <w:rPr>
          <w:highlight w:val="yellow"/>
        </w:rPr>
      </w:pPr>
      <w:r>
        <w:rPr>
          <w:highlight w:val="yellow"/>
        </w:rPr>
      </w:r>
    </w:p>
    <w:p>
      <w:pPr>
        <w:pStyle w:val="Normal"/>
        <w:rPr>
          <w:highlight w:val="yellow"/>
        </w:rPr>
      </w:pPr>
      <w:r>
        <w:rPr>
          <w:highlight w:val="yellow"/>
        </w:rPr>
        <w:t xml:space="preserve">What’s missing – a picture of 802 as a peer to 5G. 5G promises they will do “everything”. </w:t>
      </w:r>
    </w:p>
    <w:p>
      <w:pPr>
        <w:pStyle w:val="Normal"/>
        <w:rPr>
          <w:highlight w:val="yellow"/>
        </w:rPr>
      </w:pPr>
      <w:r>
        <w:rPr>
          <w:highlight w:val="yellow"/>
        </w:rPr>
        <w:t>But, they don’t define any wired standards, but they support them.</w:t>
      </w:r>
    </w:p>
    <w:p>
      <w:pPr>
        <w:pStyle w:val="Normal"/>
        <w:rPr>
          <w:highlight w:val="yellow"/>
        </w:rPr>
      </w:pPr>
      <w:r>
        <w:rPr>
          <w:highlight w:val="yellow"/>
        </w:rPr>
        <w:t xml:space="preserve">5G requires an extensive PLMN to support it. </w:t>
      </w:r>
    </w:p>
    <w:p>
      <w:pPr>
        <w:pStyle w:val="Normal"/>
        <w:rPr/>
      </w:pPr>
      <w:r>
        <w:rPr>
          <w:highlight w:val="yellow"/>
        </w:rPr>
        <w:t>It is designed to help the cellular operator grow their market.</w:t>
      </w:r>
    </w:p>
    <w:p>
      <w:pPr>
        <w:pStyle w:val="Normal"/>
        <w:rPr/>
      </w:pPr>
      <w:r>
        <w:rPr/>
      </w:r>
    </w:p>
    <w:p>
      <w:pPr>
        <w:pStyle w:val="Normal"/>
        <w:rPr/>
      </w:pPr>
      <w:r>
        <w:rPr/>
        <w:t>Verticals might not want an operator in the middle of their network.</w:t>
      </w:r>
    </w:p>
    <w:p>
      <w:pPr>
        <w:pStyle w:val="Normal"/>
        <w:rPr/>
      </w:pPr>
      <w:r>
        <w:rPr/>
        <w:t>However, private 4G or 5G networks are possible.</w:t>
      </w:r>
    </w:p>
    <w:p>
      <w:pPr>
        <w:pStyle w:val="Normal"/>
        <w:rPr/>
      </w:pPr>
      <w:r>
        <w:rPr/>
        <w:t xml:space="preserve">Value proposition: 802 networks are customer-owned.  May be simpler than a full 3GPP PLMN network to install, operate, and manage. </w:t>
      </w:r>
    </w:p>
    <w:p>
      <w:pPr>
        <w:pStyle w:val="Normal"/>
        <w:ind w:firstLine="360"/>
        <w:rPr/>
      </w:pPr>
      <w:r>
        <w:rPr/>
        <w:t>Example – Santa Clara Emergency services issues</w:t>
      </w:r>
      <w:bookmarkStart w:id="8" w:name="move977402041"/>
      <w:bookmarkEnd w:id="8"/>
    </w:p>
    <w:p>
      <w:pPr>
        <w:pStyle w:val="Normal"/>
        <w:rPr/>
      </w:pPr>
      <w:r>
        <w:rPr/>
      </w:r>
    </w:p>
    <w:p>
      <w:pPr>
        <w:pStyle w:val="Normal"/>
        <w:rPr/>
      </w:pPr>
      <w:r>
        <w:rPr/>
      </w:r>
    </w:p>
    <w:sectPr>
      <w:headerReference w:type="default" r:id="rId12"/>
      <w:footerReference w:type="default" r:id="rId13"/>
      <w:footnotePr>
        <w:numFmt w:val="decimal"/>
      </w:footnotePr>
      <w:type w:val="nextPage"/>
      <w:pgSz w:w="12240" w:h="15840"/>
      <w:pgMar w:left="1440" w:right="1440" w:gutter="0" w:header="1296" w:top="1800" w:footer="1296" w:bottom="180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Riegel, Maximilian (Nokia - DE/Munich)" w:date="2022-03-09T17:50:00Z" w:initials="RM(-D">
    <w:p>
      <w:r>
        <w:rPr>
          <w:rFonts w:ascii="Liberation Serif" w:hAnsi="Liberation Serif" w:eastAsia="Tahoma" w:cs="Tahoma"/>
          <w:szCs w:val="24"/>
          <w:lang w:val="en-US" w:eastAsia="en-US" w:bidi="en-US"/>
        </w:rPr>
        <w:t>Should we call the chapter “Higher layer functions in vertical applications networks”?</w:t>
      </w:r>
    </w:p>
  </w:comment>
  <w:comment w:id="0" w:author="Godfrey, Tim" w:date="2022-03-09T14:44:00Z" w:initials="GT">
    <w:p>
      <w:r>
        <w:rPr>
          <w:rFonts w:ascii="Liberation Serif" w:hAnsi="Liberation Serif" w:eastAsia="Tahoma" w:cs="Tahoma"/>
          <w:szCs w:val="24"/>
          <w:lang w:val="en-US" w:eastAsia="en-US" w:bidi="en-US"/>
        </w:rPr>
        <w:t xml:space="preserve">Compromise proposed.  Still need to work on this section and answer the questions. </w:t>
      </w:r>
    </w:p>
  </w:comment>
  <w:comment w:id="2" w:author="Maximilian Riegel" w:date="2022-05-10T14:47:36Z" w:initials="MR">
    <w:p>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At least for Wi-Fi, there is plenty of information in Wi-Fi Alliance and Wireless Broadband Alliance, e.g.:OpenRoaming initiative and technical specifications of WBA based on WFA Passpoint (</w:t>
      </w:r>
      <w:hyperlink r:id="rId1">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https://www.wi-fi.org/discover-wi-fi/passpoint</w:t>
        </w:r>
      </w:hyperlink>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w:t>
      </w:r>
    </w:p>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or Wi-Fi Easy Connect (https://www.wi-fi.org/discover-wi-fi/wi-fi-easy-connect)</w:t>
      </w:r>
    </w:p>
  </w:comment>
  <w:comment w:id="3" w:author="Maximilian Riegel" w:date="2022-05-10T15:04:50Z" w:initials="MR">
    <w:p>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Probably, a 2016 WBA whitepaper on ‘Software defined networking (SDN) and network function virtualization (NFV) for Wi-Fi networks’ (</w:t>
      </w:r>
      <w:hyperlink r:id="rId2">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https://wballiance.com/resource/software-defined-networking-sdn-and-network-function-virtualization-nfv-for-wi-fi-networks/</w:t>
        </w:r>
      </w:hyperlink>
      <w:r>
        <w:rPr>
          <w:rFonts w:cs="Times New Roman" w:eastAsia="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 could provide background information.</w:t>
      </w:r>
    </w:p>
  </w:comment>
  <w:comment w:id="5" w:author="Maximilian Riegel" w:date="2022-05-10T14:43:05Z" w:initials="MR">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There is a 2018 WBA whitepaper that provides good overview:”Network Slicing – Understanding Wi-Fi Capabilities”In this article, the WBA explains how Carrier Wi-Fi operators can embrace the slicing concepts being defined by 3GPP and leverage already existing capabilities to deliver sliced Wi-Fi networks today. It also demonstrates how the key network slicing requirements associated with the access network can be addressed using commercial Wi-Fi capabilities.</w:t>
      </w:r>
    </w:p>
    <w:p>
      <w:r>
        <w:rPr>
          <w:rFonts w:ascii="New York" w:hAnsi="New York"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en-US" w:bidi="ar-SA"/>
        </w:rPr>
        <w:t>https://wballiance.com/wp-content/uploads/2018/03/Network-Slicing-Understanding-Wi-Fi-Capabilities.pdf</w:t>
      </w:r>
    </w:p>
  </w:comment>
  <w:comment w:id="4" w:author="Max Riegel" w:date="2022-07-13T11:42:03Z" w:initials="mr">
    <w:p>
      <w:r>
        <w:rPr>
          <w:rFonts w:eastAsia="Times New Roman" w:cs="Times New Roman" w:ascii="New York" w:hAnsi="New York"/>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US" w:val="en-US"/>
        </w:rPr>
        <w:t>Sufficiently covered through section 6.3 above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swiss"/>
    <w:pitch w:val="default"/>
  </w:font>
  <w:font w:name="Times New Roman">
    <w:charset w:val="01"/>
    <w:family w:val="swiss"/>
    <w:pitch w:val="default"/>
  </w:font>
  <w:font w:name="Arial">
    <w:charset w:val="01"/>
    <w:family w:val="swiss"/>
    <w:pitch w:val="default"/>
  </w:font>
  <w:font w:name="Times">
    <w:altName w:val="Times New Roman"/>
    <w:charset w:val="01"/>
    <w:family w:val="swiss"/>
    <w:pitch w:val="default"/>
  </w:font>
  <w:font w:name="Segoe UI">
    <w:charset w:val="01"/>
    <w:family w:val="swiss"/>
    <w:pitch w:val="default"/>
  </w:font>
  <w:font w:name="OpenSymbol">
    <w:altName w:val="Arial Unicode MS"/>
    <w:charset w:val="01"/>
    <w:family w:val="swiss"/>
    <w:pitch w:val="default"/>
  </w:font>
  <w:font w:name="Palatino">
    <w:charset w:val="01"/>
    <w:family w:val="swiss"/>
    <w:pitch w:val="default"/>
  </w:font>
  <w:font w:name="New Century Schlbk">
    <w:charset w:val="01"/>
    <w:family w:val="swiss"/>
    <w:pitch w:val="default"/>
  </w:font>
  <w:font w:name="Tahoma">
    <w:charset w:val="01"/>
    <w:family w:val="swiss"/>
    <w:pitch w:val="default"/>
  </w:font>
  <w:font w:name="Liberation Serif">
    <w:altName w:val="Times New Roman"/>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w:t>
    </w:r>
    <w:r>
      <w:rPr/>
      <w:fldChar w:fldCharType="end"/>
    </w:r>
    <w:r>
      <w:rPr/>
      <w:tab/>
      <w:t xml:space="preserve">802.24 TAG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http://grouper.ieee.org/groups/802/11/Workshops/2019-July-Coex/workshop.htm</w:t>
      </w:r>
    </w:p>
  </w:footnote>
  <w:footnote w:id="3">
    <w:p>
      <w:pPr>
        <w:pStyle w:val="Footnote"/>
        <w:rPr/>
      </w:pPr>
      <w:r>
        <w:rPr>
          <w:rStyle w:val="FootnoteCharacters"/>
        </w:rPr>
        <w:footnoteRef/>
      </w:r>
      <w:r>
        <w:rPr/>
        <w:t xml:space="preserve"> </w:t>
      </w:r>
      <w:r>
        <w:rPr/>
        <w:t>https://www.wi-fi.org/news-events/newsroom/wi-fi-global-economic-value-reaches-196-trillion-in-2018</w:t>
      </w:r>
    </w:p>
  </w:footnote>
  <w:footnote w:id="4">
    <w:p>
      <w:pPr>
        <w:pStyle w:val="Footnote"/>
        <w:rPr/>
      </w:pPr>
      <w:r>
        <w:rPr>
          <w:rStyle w:val="FootnoteCharacters"/>
        </w:rPr>
        <w:footnoteRef/>
      </w:r>
      <w:r>
        <w:rPr/>
        <w:t xml:space="preserve"> </w:t>
      </w:r>
      <w:r>
        <w:rPr/>
        <w:t>https://www.cisco.com/c/en/us/solutions/service-provider/visual-networking-index-vni/index.html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March 2022</w:t>
      <w:tab/>
      <w:t xml:space="preserve"> IEEE P802.24-22-0012-00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b/>
        <w:rFonts w:ascii="Liberation Serif" w:hAnsi="Liberation Serif" w:cs="Arial"/>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b w:val="false"/>
        <w:rFonts w:cs="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0"/>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3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492146"/>
    <w:pPr>
      <w:keepNext w:val="true"/>
      <w:numPr>
        <w:ilvl w:val="0"/>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Id w:val="1"/>
      </w:numPr>
      <w:outlineLvl w:val="1"/>
    </w:pPr>
    <w:rPr>
      <w:b w:val="false"/>
      <w:sz w:val="28"/>
      <w:u w:val="wave"/>
    </w:rPr>
  </w:style>
  <w:style w:type="paragraph" w:styleId="Heading3">
    <w:name w:val="Heading 3"/>
    <w:basedOn w:val="Normal"/>
    <w:next w:val="Normal"/>
    <w:link w:val="Heading3Char"/>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uiPriority w:val="99"/>
    <w:unhideWhenUsed/>
    <w:rsid w:val="00c575f1"/>
    <w:rPr>
      <w:color w:val="0563C1"/>
      <w:u w:val="single"/>
    </w:rPr>
  </w:style>
  <w:style w:type="character" w:styleId="UnresolvedMention1" w:customStyle="1">
    <w:name w:val="Unresolved Mention1"/>
    <w:uiPriority w:val="99"/>
    <w:semiHidden/>
    <w:unhideWhenUsed/>
    <w:qFormat/>
    <w:rsid w:val="00c575f1"/>
    <w:rPr>
      <w:color w:val="605E5C"/>
      <w:shd w:fill="E1DFDD" w:val="clear"/>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uiPriority w:val="99"/>
    <w:semiHidden/>
    <w:qFormat/>
    <w:rsid w:val="00587d1d"/>
    <w:rPr>
      <w:rFonts w:ascii="Times New Roman" w:hAnsi="Times New Roman"/>
    </w:rPr>
  </w:style>
  <w:style w:type="character" w:styleId="CommentSubjectChar" w:customStyle="1">
    <w:name w:val="Comment Subject Char"/>
    <w:uiPriority w:val="99"/>
    <w:semiHidden/>
    <w:qFormat/>
    <w:rsid w:val="00587d1d"/>
    <w:rPr>
      <w:rFonts w:ascii="Times New Roman" w:hAnsi="Times New Roman"/>
      <w:b/>
      <w:bCs/>
    </w:rPr>
  </w:style>
  <w:style w:type="character" w:styleId="FootnoteTextChar" w:customStyle="1">
    <w:name w:val="Footnote Text Char"/>
    <w:basedOn w:val="DefaultParagraphFont"/>
    <w:uiPriority w:val="99"/>
    <w:semiHidden/>
    <w:qFormat/>
    <w:rsid w:val="00c20828"/>
    <w:rPr>
      <w:rFonts w:ascii="Times New Roman" w:hAnsi="Times New Roman"/>
    </w:rPr>
  </w:style>
  <w:style w:type="character" w:styleId="FootnoteCharacters" w:customStyle="1">
    <w:name w:val="Footnote Characters"/>
    <w:basedOn w:val="DefaultParagraphFont"/>
    <w:uiPriority w:val="99"/>
    <w:semiHidden/>
    <w:unhideWhenUsed/>
    <w:qFormat/>
    <w:rsid w:val="00c20828"/>
    <w:rPr>
      <w:vertAlign w:val="superscript"/>
    </w:rPr>
  </w:style>
  <w:style w:type="character" w:styleId="FootnoteAnchor" w:customStyle="1">
    <w:name w:val="Footnote Anchor"/>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ullets" w:customStyle="1">
    <w:name w:val="Bullets"/>
    <w:qFormat/>
    <w:rPr>
      <w:rFonts w:ascii="OpenSymbol" w:hAnsi="OpenSymbol" w:eastAsia="OpenSymbol" w:cs="OpenSymbol"/>
    </w:rPr>
  </w:style>
  <w:style w:type="character" w:styleId="LineNumbering">
    <w:name w:val="Line Numbering"/>
    <w:rPr/>
  </w:style>
  <w:style w:type="paragraph" w:styleId="Heading" w:customStyle="1">
    <w:name w:val="Heading"/>
    <w:basedOn w:val="Normal"/>
    <w:next w:val="Normal"/>
    <w:qFormat/>
    <w:rsid w:val="009f5167"/>
    <w:pPr>
      <w:keepNext w:val="true"/>
      <w:spacing w:before="240" w:after="120"/>
    </w:pPr>
    <w:rPr>
      <w:rFonts w:ascii="Arial" w:hAnsi="Arial" w:eastAsia="Noto Sans CJK SC" w:cs="Lohit Devanagari"/>
      <w:b/>
      <w:sz w:val="32"/>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rPr>
  </w:style>
  <w:style w:type="paragraph" w:styleId="Caption1">
    <w:name w:val="caption"/>
    <w:basedOn w:val="Normal"/>
    <w:next w:val="Normal"/>
    <w:uiPriority w:val="35"/>
    <w:semiHidden/>
    <w:unhideWhenUsed/>
    <w:qFormat/>
    <w:rsid w:val="00e04861"/>
    <w:pPr>
      <w:spacing w:before="0" w:after="200"/>
    </w:pPr>
    <w:rPr>
      <w:i/>
      <w:iCs/>
      <w:color w:val="44546A" w:themeColor="text2"/>
      <w:sz w:val="18"/>
      <w:szCs w:val="18"/>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customStyle="1">
    <w:name w:val="Figure"/>
    <w:basedOn w:val="Caption1"/>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Default" w:customStyle="1">
    <w:name w:val="Default"/>
    <w:qFormat/>
    <w:rsid w:val="00fc2726"/>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c34c9d"/>
    <w:pPr>
      <w:jc w:val="center"/>
    </w:pPr>
    <w:rPr>
      <w:rFonts w:ascii="Arial" w:hAnsi="Arial"/>
      <w:b/>
      <w:bCs/>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wi-fi.org/discover-wi-fi/passpoint" TargetMode="External"/><Relationship Id="rId2" Type="http://schemas.openxmlformats.org/officeDocument/2006/relationships/hyperlink" Target="https://wballiance.com/resource/software-defined-networking-sdn-and-network-function-virtualization-nfv-for-wi-fi-networks/"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w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Relationship Id="rId23" Type="http://schemas.openxmlformats.org/officeDocument/2006/relationships/customXml" Target="../customXml/item4.xml"/><Relationship Id="rId24" Type="http://schemas.openxmlformats.org/officeDocument/2006/relationships/customXml" Target="../customXml/item5.xml"/><Relationship Id="rId25"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LibreOffice/7.3.4.2$Linux_X86_64 LibreOffice_project/30$Build-2</Application>
  <AppVersion>15.0000</AppVersion>
  <Pages>21</Pages>
  <Words>5354</Words>
  <Characters>31440</Characters>
  <CharactersWithSpaces>36297</CharactersWithSpaces>
  <Paragraphs>367</Paragraphs>
  <Company>Advanced Wireless Technology Group,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2022-03-09T20:51:00Z</dcterms:created>
  <dc:creator>tgodfrey@epri.com</dc:creator>
  <dc:description/>
  <dc:language>en-US</dc:language>
  <cp:lastModifiedBy>Max Riegel</cp:lastModifiedBy>
  <cp:lastPrinted>1900-01-01T07:00:00Z</cp:lastPrinted>
  <dcterms:modified xsi:type="dcterms:W3CDTF">2022-07-13T11:51:08Z</dcterms:modified>
  <cp:revision>17</cp:revision>
  <dc:subject/>
  <dc:title>IEEE 802 Architecture and Vertical Markets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y fmtid="{D5CDD505-2E9C-101B-9397-08002B2CF9AE}" pid="7" name="category">
    <vt:lpwstr>&lt;doc#&gt;</vt:lpwstr>
  </property>
</Properties>
</file>