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F14524">
            <w:pPr>
              <w:pStyle w:val="covertext"/>
              <w:spacing w:before="0" w:after="0"/>
            </w:pPr>
            <w:r>
              <w:fldChar w:fldCharType="begin"/>
            </w:r>
            <w:r>
              <w:instrText xml:space="preserve"> AUTHOR  \* MERGEFORMAT </w:instrText>
            </w:r>
            <w:r>
              <w:fldChar w:fldCharType="separate"/>
            </w:r>
            <w:r w:rsidR="00185A63" w:rsidRPr="00A04E84">
              <w:t>Oliver Holland</w:t>
            </w:r>
            <w:r>
              <w:fldChar w:fldCharType="end"/>
            </w:r>
            <w:r w:rsidR="00EC6F92" w:rsidRPr="00976961">
              <w:br/>
            </w:r>
            <w:r>
              <w:fldChar w:fldCharType="begin"/>
            </w:r>
            <w:r>
              <w:instrText xml:space="preserve"> DOCPROPERTY "Company"  \* MERGEFORMAT </w:instrText>
            </w:r>
            <w:r>
              <w:fldChar w:fldCharType="separate"/>
            </w:r>
            <w:r w:rsidR="00185A63" w:rsidRPr="00976961">
              <w:t>Advanced Wireless Technology Group, Ltd.</w:t>
            </w:r>
            <w:r>
              <w:fldChar w:fldCharType="end"/>
            </w:r>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1E3A1379" w14:textId="4F5547EA" w:rsidR="004B5845" w:rsidRDefault="004B5845" w:rsidP="004B180B">
      <w:pPr>
        <w:rPr>
          <w:i/>
        </w:rPr>
      </w:pPr>
      <w:r>
        <w:rPr>
          <w:i/>
        </w:rPr>
        <w:t xml:space="preserve">TO be considered – low latency for power control in EV Charging? </w:t>
      </w: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  TBD if this can be done as of Nov 2021</w:t>
      </w:r>
      <w:r w:rsidR="00E20CF8" w:rsidRPr="00A04E84">
        <w:rPr>
          <w:i/>
          <w:highlight w:val="yellow"/>
        </w:rPr>
        <w:t>)</w:t>
      </w:r>
    </w:p>
    <w:p w14:paraId="26C4BA0B" w14:textId="049696E3" w:rsidR="00AA4891" w:rsidRPr="00976961" w:rsidRDefault="00AA4891" w:rsidP="00AA4891">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The mobile game can connect multiple players together in a single game session and exchange data messages between game server and connected players. Real-time means the feedback should present on screen as users operate in game. For good game experience, the end to end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Wireless Console Gaming</w:t>
      </w:r>
      <w:bookmarkEnd w:id="13"/>
      <w:bookmarkEnd w:id="14"/>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In multiplayer FPS game, more than one person can play in the same game environment at the same time either locally or over the internet. Multiplayer games allow players interact with other individuals in partnership, competition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Cloud gaming is another type of video game potentially played on light-weight devices at users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enough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With cloud gaming experience, users can play large amount of game titles as they will be provided and hosted by the cloud server. Users can pick up game title from the library on the cloud server. Another benefit of the cloud gaming is that the user device could be light-weight in terms of hardware footprint. The user devices only need to decode and display received picture/video content. This way, users can enjoy realistic and immersive game experience without requiring heavy computation at user devices. The light-</w:t>
      </w:r>
      <w:r w:rsidRPr="00976961">
        <w:rPr>
          <w:rFonts w:ascii="Times New Roman" w:eastAsia="Times New Roman" w:hAnsi="Times New Roman"/>
        </w:rPr>
        <w:lastRenderedPageBreak/>
        <w: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r w:rsidRPr="00A04E84">
        <w:rPr>
          <w:rFonts w:ascii="Helvetica Neue" w:hAnsi="Helvetica Neue"/>
          <w:color w:val="333333"/>
          <w:sz w:val="21"/>
          <w:szCs w:val="21"/>
          <w:lang w:val="en-US"/>
        </w:rPr>
        <w:t>);</w:t>
      </w:r>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(e.g.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Today, many devices handle video streaming via 802.11 wireless LAN. Most of them are not latency sensitive. However, some video applications require low latency capability, when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r w:rsidR="00F14524">
        <w:fldChar w:fldCharType="begin"/>
      </w:r>
      <w:r w:rsidR="00F14524">
        <w:instrText xml:space="preserve"> STYLEREF 1 \s </w:instrText>
      </w:r>
      <w:r w:rsidR="00F14524">
        <w:fldChar w:fldCharType="separate"/>
      </w:r>
      <w:r w:rsidRPr="00A04E84">
        <w:t>4</w:t>
      </w:r>
      <w:r w:rsidR="00F14524">
        <w:fldChar w:fldCharType="end"/>
      </w:r>
      <w:r w:rsidRPr="00976961">
        <w:noBreakHyphen/>
      </w:r>
      <w:r w:rsidR="00F14524">
        <w:fldChar w:fldCharType="begin"/>
      </w:r>
      <w:r w:rsidR="00F14524">
        <w:instrText xml:space="preserve"> SEQ Figure \* ARABIC \s 1 </w:instrText>
      </w:r>
      <w:r w:rsidR="00F14524">
        <w:fldChar w:fldCharType="separate"/>
      </w:r>
      <w:r w:rsidRPr="00A04E84">
        <w:t>14</w:t>
      </w:r>
      <w:r w:rsidR="00F14524">
        <w:fldChar w:fldCharType="end"/>
      </w:r>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E.G.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Network sharing to optimize communication path;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   (more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22"/>
      <w:commentRangeStart w:id="23"/>
      <w:r w:rsidRPr="00976961">
        <w:t>802.15.3 support low latency, isochronous streaming. Two</w:t>
      </w:r>
      <w:r w:rsidR="00976961">
        <w:t>-</w:t>
      </w:r>
      <w:r w:rsidRPr="00976961">
        <w:t xml:space="preserve">way streaming.  802.15.3e specifies fast link setup and teardown. </w:t>
      </w:r>
      <w:commentRangeEnd w:id="22"/>
      <w:r w:rsidR="008C0092" w:rsidRPr="00976961">
        <w:rPr>
          <w:rStyle w:val="CommentReference"/>
        </w:rPr>
        <w:commentReference w:id="22"/>
      </w:r>
      <w:commentRangeEnd w:id="23"/>
      <w:r w:rsidR="006C65CA">
        <w:rPr>
          <w:rStyle w:val="CommentReference"/>
        </w:rPr>
        <w:commentReference w:id="23"/>
      </w:r>
      <w:r w:rsidR="00D7405E">
        <w:t>(and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24"/>
      <w:r w:rsidRPr="00A04E84">
        <w:rPr>
          <w:rFonts w:ascii="Times New Roman" w:hAnsi="Times New Roman"/>
          <w:sz w:val="24"/>
          <w:szCs w:val="24"/>
          <w:highlight w:val="yellow"/>
          <w:lang w:val="en-US"/>
        </w:rPr>
        <w:lastRenderedPageBreak/>
        <w:t>&lt;TBD&gt; need a brief paragraph on the current state of TGbe regarding low latency</w:t>
      </w:r>
      <w:r w:rsidR="00E20CF8">
        <w:rPr>
          <w:rFonts w:ascii="Times New Roman" w:hAnsi="Times New Roman"/>
          <w:sz w:val="24"/>
          <w:szCs w:val="24"/>
          <w:lang w:val="en-US"/>
        </w:rPr>
        <w:t xml:space="preserve"> – </w:t>
      </w:r>
      <w:commentRangeEnd w:id="24"/>
      <w:r w:rsidR="00A04E84">
        <w:rPr>
          <w:rStyle w:val="CommentReference"/>
          <w:rFonts w:ascii="Times New Roman" w:eastAsia="Times New Roman" w:hAnsi="Times New Roman"/>
          <w:lang w:val="en-US"/>
        </w:rPr>
        <w:commentReference w:id="24"/>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5"/>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25"/>
      <w:r w:rsidR="00A04E84">
        <w:rPr>
          <w:rStyle w:val="CommentReference"/>
          <w:rFonts w:ascii="Times New Roman" w:eastAsia="Times New Roman" w:hAnsi="Times New Roman"/>
          <w:lang w:val="en-US"/>
        </w:rPr>
        <w:commentReference w:id="25"/>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26"/>
      <w:r w:rsidRPr="00976961">
        <w:t>Adaptions and Recommendations for IEEE 802 Standards to Enhance Low Latency Communications Support</w:t>
      </w:r>
      <w:commentRangeEnd w:id="26"/>
      <w:r w:rsidR="008549F5">
        <w:rPr>
          <w:rStyle w:val="CommentReference"/>
          <w:rFonts w:ascii="Times New Roman" w:hAnsi="Times New Roman"/>
          <w:b w:val="0"/>
          <w:kern w:val="0"/>
        </w:rPr>
        <w:commentReference w:id="26"/>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Real-time applications have been evolving, so do their communication requirements. While voice and video accounted for most of the real-time traffic in the past, new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27" w:name="_Ref532893657"/>
      <w:bookmarkStart w:id="28" w:name="_Toc3325546"/>
      <w:r w:rsidRPr="00976961">
        <w:t xml:space="preserve">Table </w:t>
      </w:r>
      <w:r w:rsidR="00F14524">
        <w:fldChar w:fldCharType="begin"/>
      </w:r>
      <w:r w:rsidR="00F14524">
        <w:instrText xml:space="preserve"> STYLEREF 1 \s </w:instrText>
      </w:r>
      <w:r w:rsidR="00F14524">
        <w:fldChar w:fldCharType="separate"/>
      </w:r>
      <w:r w:rsidRPr="00A04E84">
        <w:t>6</w:t>
      </w:r>
      <w:r w:rsidR="00F14524">
        <w:fldChar w:fldCharType="end"/>
      </w:r>
      <w:r w:rsidRPr="00976961">
        <w:noBreakHyphen/>
      </w:r>
      <w:r w:rsidR="00F14524">
        <w:fldChar w:fldCharType="begin"/>
      </w:r>
      <w:r w:rsidR="00F14524">
        <w:instrText xml:space="preserve"> SEQ Table \* ARABIC \s 1 </w:instrText>
      </w:r>
      <w:r w:rsidR="00F14524">
        <w:fldChar w:fldCharType="separate"/>
      </w:r>
      <w:r w:rsidRPr="00A04E84">
        <w:t>1</w:t>
      </w:r>
      <w:r w:rsidR="00F14524">
        <w:fldChar w:fldCharType="end"/>
      </w:r>
      <w:bookmarkEnd w:id="27"/>
      <w:r w:rsidRPr="00976961">
        <w:t xml:space="preserve"> </w:t>
      </w:r>
      <w:r w:rsidRPr="00A04E84">
        <w:t xml:space="preserve"> Requirements metrics of RTA use cases</w:t>
      </w:r>
      <w:bookmarkEnd w:id="28"/>
    </w:p>
    <w:p w14:paraId="2113ADEF" w14:textId="77777777" w:rsidR="007E7A3D" w:rsidRPr="00976961" w:rsidRDefault="007E7A3D" w:rsidP="007E7A3D">
      <w:pPr>
        <w:pStyle w:val="Heading2"/>
        <w:rPr>
          <w:lang w:eastAsia="zh-CN"/>
        </w:rPr>
      </w:pPr>
      <w:bookmarkStart w:id="29" w:name="_Toc3325534"/>
      <w:r w:rsidRPr="00976961">
        <w:rPr>
          <w:lang w:eastAsia="zh-CN"/>
        </w:rPr>
        <w:t>New capabilities to support real time applications</w:t>
      </w:r>
      <w:bookmarkEnd w:id="29"/>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worst case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Potential areas for further enhancements include: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lastRenderedPageBreak/>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12887D37" w:rsidR="003F2706" w:rsidRDefault="003F2706" w:rsidP="004F4E70">
      <w:pPr>
        <w:rPr>
          <w:i/>
          <w:iCs/>
        </w:rPr>
      </w:pPr>
      <w:r w:rsidRPr="00A04E84">
        <w:rPr>
          <w:i/>
          <w:iCs/>
          <w:highlight w:val="yellow"/>
        </w:rPr>
        <w:t>Identify any gaps at the architecture level for consideration by 802.1 TSN</w:t>
      </w:r>
    </w:p>
    <w:p w14:paraId="19386267" w14:textId="4CE13946" w:rsidR="00651B20" w:rsidRPr="00A04E84" w:rsidRDefault="00651B20" w:rsidP="004F4E70">
      <w:pPr>
        <w:rPr>
          <w:i/>
          <w:iCs/>
        </w:rPr>
      </w:pPr>
      <w:r>
        <w:rPr>
          <w:i/>
          <w:iCs/>
        </w:rPr>
        <w:t xml:space="preserve">Discuss other ways to manage latency – predictive channel access – multiple spatial streams, idea put forward for UHR SG, and streaming audio in 802.15.4ab. </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Report :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77777777" w:rsidR="00E025F2" w:rsidRPr="00A04E84" w:rsidRDefault="00E025F2"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3"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24" w:author="Godfrey, Tim" w:date="2021-09-16T14:56:00Z" w:initials="GT">
    <w:p w14:paraId="62E4BD6D" w14:textId="2030CAF8" w:rsidR="00A04E84" w:rsidRDefault="00A04E84">
      <w:pPr>
        <w:pStyle w:val="CommentText"/>
      </w:pPr>
      <w:r>
        <w:rPr>
          <w:rStyle w:val="CommentReference"/>
        </w:rPr>
        <w:annotationRef/>
      </w:r>
      <w:r>
        <w:t>Contribution needed on current status of low-latency features in 802.11be</w:t>
      </w:r>
    </w:p>
  </w:comment>
  <w:comment w:id="25"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26"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526C90F4" w15:paraIdParent="024BB608" w15:done="0"/>
  <w15:commentEx w15:paraId="62E4BD6D" w15:done="0"/>
  <w15:commentEx w15:paraId="0AE75407" w15:done="0"/>
  <w15:commentEx w15:paraId="71A00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DC8E" w14:textId="77777777" w:rsidR="00F14524" w:rsidRDefault="00F14524">
      <w:r>
        <w:separator/>
      </w:r>
    </w:p>
  </w:endnote>
  <w:endnote w:type="continuationSeparator" w:id="0">
    <w:p w14:paraId="30F9ECB0" w14:textId="77777777" w:rsidR="00F14524" w:rsidRDefault="00F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A29C" w14:textId="77777777" w:rsidR="00C84210" w:rsidRDefault="00C8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36A64E80"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8588" w14:textId="77777777" w:rsidR="00F14524" w:rsidRDefault="00F14524">
      <w:r>
        <w:separator/>
      </w:r>
    </w:p>
  </w:footnote>
  <w:footnote w:type="continuationSeparator" w:id="0">
    <w:p w14:paraId="1ACFAB7E" w14:textId="77777777" w:rsidR="00F14524" w:rsidRDefault="00F14524">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DABD" w14:textId="77777777" w:rsidR="00C84210" w:rsidRDefault="00C84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725550EC"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P802.24-19-0003-</w:t>
    </w:r>
    <w:r w:rsidR="00860CD4">
      <w:rPr>
        <w:b/>
        <w:sz w:val="28"/>
      </w:rPr>
      <w:t>1</w:t>
    </w:r>
    <w:r w:rsidR="00C84210">
      <w:rPr>
        <w:b/>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8"/>
  </w:num>
  <w:num w:numId="5">
    <w:abstractNumId w:val="37"/>
  </w:num>
  <w:num w:numId="6">
    <w:abstractNumId w:val="13"/>
  </w:num>
  <w:num w:numId="7">
    <w:abstractNumId w:val="16"/>
    <w:lvlOverride w:ilvl="0">
      <w:lvl w:ilvl="0" w:tplc="F28A5C62">
        <w:start w:val="1"/>
        <w:numFmt w:val="decimal"/>
        <w:lvlText w:val="%1)"/>
        <w:lvlJc w:val="left"/>
        <w:pPr>
          <w:ind w:left="360" w:hanging="360"/>
        </w:pPr>
      </w:lvl>
    </w:lvlOverride>
    <w:lvlOverride w:ilvl="1">
      <w:lvl w:ilvl="1" w:tplc="A1E08D5C" w:tentative="1">
        <w:start w:val="1"/>
        <w:numFmt w:val="lowerLetter"/>
        <w:lvlText w:val="%2."/>
        <w:lvlJc w:val="left"/>
        <w:pPr>
          <w:ind w:left="1080" w:hanging="360"/>
        </w:pPr>
      </w:lvl>
    </w:lvlOverride>
    <w:lvlOverride w:ilvl="2">
      <w:lvl w:ilvl="2" w:tplc="9CF83F70" w:tentative="1">
        <w:start w:val="1"/>
        <w:numFmt w:val="lowerRoman"/>
        <w:lvlText w:val="%3."/>
        <w:lvlJc w:val="right"/>
        <w:pPr>
          <w:ind w:left="1800" w:hanging="180"/>
        </w:pPr>
      </w:lvl>
    </w:lvlOverride>
    <w:lvlOverride w:ilvl="3">
      <w:lvl w:ilvl="3" w:tplc="0EECDD2C" w:tentative="1">
        <w:start w:val="1"/>
        <w:numFmt w:val="decimal"/>
        <w:lvlText w:val="%4."/>
        <w:lvlJc w:val="left"/>
        <w:pPr>
          <w:ind w:left="2520" w:hanging="360"/>
        </w:pPr>
      </w:lvl>
    </w:lvlOverride>
    <w:lvlOverride w:ilvl="4">
      <w:lvl w:ilvl="4" w:tplc="812E5E4C" w:tentative="1">
        <w:start w:val="1"/>
        <w:numFmt w:val="lowerLetter"/>
        <w:lvlText w:val="%5."/>
        <w:lvlJc w:val="left"/>
        <w:pPr>
          <w:ind w:left="3240" w:hanging="360"/>
        </w:pPr>
      </w:lvl>
    </w:lvlOverride>
    <w:lvlOverride w:ilvl="5">
      <w:lvl w:ilvl="5" w:tplc="0F98938C" w:tentative="1">
        <w:start w:val="1"/>
        <w:numFmt w:val="lowerRoman"/>
        <w:lvlText w:val="%6."/>
        <w:lvlJc w:val="right"/>
        <w:pPr>
          <w:ind w:left="3960" w:hanging="180"/>
        </w:pPr>
      </w:lvl>
    </w:lvlOverride>
    <w:lvlOverride w:ilvl="6">
      <w:lvl w:ilvl="6" w:tplc="02D883EE" w:tentative="1">
        <w:start w:val="1"/>
        <w:numFmt w:val="decimal"/>
        <w:lvlText w:val="%7."/>
        <w:lvlJc w:val="left"/>
        <w:pPr>
          <w:ind w:left="4680" w:hanging="360"/>
        </w:pPr>
      </w:lvl>
    </w:lvlOverride>
    <w:lvlOverride w:ilvl="7">
      <w:lvl w:ilvl="7" w:tplc="ACEA3EFA" w:tentative="1">
        <w:start w:val="1"/>
        <w:numFmt w:val="lowerLetter"/>
        <w:lvlText w:val="%8."/>
        <w:lvlJc w:val="left"/>
        <w:pPr>
          <w:ind w:left="5400" w:hanging="360"/>
        </w:pPr>
      </w:lvl>
    </w:lvlOverride>
    <w:lvlOverride w:ilvl="8">
      <w:lvl w:ilvl="8" w:tplc="53763A02" w:tentative="1">
        <w:start w:val="1"/>
        <w:numFmt w:val="lowerRoman"/>
        <w:lvlText w:val="%9."/>
        <w:lvlJc w:val="right"/>
        <w:pPr>
          <w:ind w:left="6120" w:hanging="180"/>
        </w:pPr>
      </w:lvl>
    </w:lvlOverride>
  </w:num>
  <w:num w:numId="8">
    <w:abstractNumId w:val="4"/>
  </w:num>
  <w:num w:numId="9">
    <w:abstractNumId w:val="30"/>
  </w:num>
  <w:num w:numId="10">
    <w:abstractNumId w:val="12"/>
  </w:num>
  <w:num w:numId="11">
    <w:abstractNumId w:val="28"/>
  </w:num>
  <w:num w:numId="12">
    <w:abstractNumId w:val="10"/>
  </w:num>
  <w:num w:numId="13">
    <w:abstractNumId w:val="33"/>
  </w:num>
  <w:num w:numId="14">
    <w:abstractNumId w:val="26"/>
  </w:num>
  <w:num w:numId="15">
    <w:abstractNumId w:val="40"/>
  </w:num>
  <w:num w:numId="16">
    <w:abstractNumId w:val="25"/>
  </w:num>
  <w:num w:numId="17">
    <w:abstractNumId w:val="21"/>
  </w:num>
  <w:num w:numId="18">
    <w:abstractNumId w:val="20"/>
  </w:num>
  <w:num w:numId="19">
    <w:abstractNumId w:val="15"/>
  </w:num>
  <w:num w:numId="20">
    <w:abstractNumId w:val="22"/>
  </w:num>
  <w:num w:numId="21">
    <w:abstractNumId w:val="1"/>
  </w:num>
  <w:num w:numId="22">
    <w:abstractNumId w:val="29"/>
  </w:num>
  <w:num w:numId="23">
    <w:abstractNumId w:val="0"/>
  </w:num>
  <w:num w:numId="24">
    <w:abstractNumId w:val="24"/>
  </w:num>
  <w:num w:numId="25">
    <w:abstractNumId w:val="3"/>
  </w:num>
  <w:num w:numId="26">
    <w:abstractNumId w:val="11"/>
  </w:num>
  <w:num w:numId="27">
    <w:abstractNumId w:val="38"/>
  </w:num>
  <w:num w:numId="28">
    <w:abstractNumId w:val="17"/>
  </w:num>
  <w:num w:numId="29">
    <w:abstractNumId w:val="2"/>
  </w:num>
  <w:num w:numId="30">
    <w:abstractNumId w:val="14"/>
  </w:num>
  <w:num w:numId="31">
    <w:abstractNumId w:val="18"/>
  </w:num>
  <w:num w:numId="32">
    <w:abstractNumId w:val="32"/>
  </w:num>
  <w:num w:numId="33">
    <w:abstractNumId w:val="6"/>
  </w:num>
  <w:num w:numId="34">
    <w:abstractNumId w:val="23"/>
  </w:num>
  <w:num w:numId="35">
    <w:abstractNumId w:val="9"/>
  </w:num>
  <w:num w:numId="36">
    <w:abstractNumId w:val="5"/>
  </w:num>
  <w:num w:numId="37">
    <w:abstractNumId w:val="36"/>
  </w:num>
  <w:num w:numId="38">
    <w:abstractNumId w:val="39"/>
  </w:num>
  <w:num w:numId="39">
    <w:abstractNumId w:val="7"/>
  </w:num>
  <w:num w:numId="40">
    <w:abstractNumId w:val="19"/>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31915"/>
    <w:rsid w:val="0006041C"/>
    <w:rsid w:val="000A4425"/>
    <w:rsid w:val="000C38B9"/>
    <w:rsid w:val="00110A37"/>
    <w:rsid w:val="00110E1C"/>
    <w:rsid w:val="00111C1A"/>
    <w:rsid w:val="00164C20"/>
    <w:rsid w:val="00175A46"/>
    <w:rsid w:val="00185A63"/>
    <w:rsid w:val="001B54AD"/>
    <w:rsid w:val="001E0CC7"/>
    <w:rsid w:val="00216914"/>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B5845"/>
    <w:rsid w:val="004D32FA"/>
    <w:rsid w:val="004D4811"/>
    <w:rsid w:val="004E2079"/>
    <w:rsid w:val="004F3AE6"/>
    <w:rsid w:val="004F4E70"/>
    <w:rsid w:val="00547580"/>
    <w:rsid w:val="00564549"/>
    <w:rsid w:val="00583F3E"/>
    <w:rsid w:val="00587D1D"/>
    <w:rsid w:val="005E1F4F"/>
    <w:rsid w:val="006058AF"/>
    <w:rsid w:val="006108DE"/>
    <w:rsid w:val="00651B20"/>
    <w:rsid w:val="00676F3A"/>
    <w:rsid w:val="006C02E9"/>
    <w:rsid w:val="006C65CA"/>
    <w:rsid w:val="00717E1D"/>
    <w:rsid w:val="00743D7B"/>
    <w:rsid w:val="007478C9"/>
    <w:rsid w:val="007522F3"/>
    <w:rsid w:val="007566DD"/>
    <w:rsid w:val="00760692"/>
    <w:rsid w:val="0076145D"/>
    <w:rsid w:val="007A7234"/>
    <w:rsid w:val="007C14DC"/>
    <w:rsid w:val="007C27B8"/>
    <w:rsid w:val="007D0D08"/>
    <w:rsid w:val="007E60C0"/>
    <w:rsid w:val="007E7A3D"/>
    <w:rsid w:val="007F3AAC"/>
    <w:rsid w:val="0081144B"/>
    <w:rsid w:val="008143E2"/>
    <w:rsid w:val="00820EFA"/>
    <w:rsid w:val="008549F5"/>
    <w:rsid w:val="00860CD4"/>
    <w:rsid w:val="00867D3B"/>
    <w:rsid w:val="008C0092"/>
    <w:rsid w:val="008D6F19"/>
    <w:rsid w:val="008F4251"/>
    <w:rsid w:val="009077D6"/>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15C8A"/>
    <w:rsid w:val="00C228D7"/>
    <w:rsid w:val="00C3202E"/>
    <w:rsid w:val="00C542A3"/>
    <w:rsid w:val="00C575F1"/>
    <w:rsid w:val="00C81CFA"/>
    <w:rsid w:val="00C84210"/>
    <w:rsid w:val="00CB1D36"/>
    <w:rsid w:val="00CF7BD6"/>
    <w:rsid w:val="00D049BE"/>
    <w:rsid w:val="00D7405E"/>
    <w:rsid w:val="00D96D9E"/>
    <w:rsid w:val="00DC6E7F"/>
    <w:rsid w:val="00DD4BFA"/>
    <w:rsid w:val="00DE370E"/>
    <w:rsid w:val="00E025F2"/>
    <w:rsid w:val="00E20CF8"/>
    <w:rsid w:val="00E77E55"/>
    <w:rsid w:val="00E9277E"/>
    <w:rsid w:val="00EB5FA1"/>
    <w:rsid w:val="00EC2EF9"/>
    <w:rsid w:val="00EC6F92"/>
    <w:rsid w:val="00EF7A2A"/>
    <w:rsid w:val="00F023AF"/>
    <w:rsid w:val="00F14524"/>
    <w:rsid w:val="00F55E04"/>
    <w:rsid w:val="00F77143"/>
    <w:rsid w:val="00F87DED"/>
    <w:rsid w:val="00FA11EE"/>
    <w:rsid w:val="00FA6654"/>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14</TotalTime>
  <Pages>1</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1900-01-01T10:00:00Z</cp:lastPrinted>
  <dcterms:created xsi:type="dcterms:W3CDTF">2022-09-14T02:40:00Z</dcterms:created>
  <dcterms:modified xsi:type="dcterms:W3CDTF">2022-09-14T02:44:00Z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