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C66622B" w:rsidR="00EC6F92" w:rsidRPr="00976961" w:rsidRDefault="00387CD7" w:rsidP="007C14DC">
            <w:pPr>
              <w:pStyle w:val="covertext"/>
            </w:pPr>
            <w:r>
              <w:t>2021-11-10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2A4580">
            <w:pPr>
              <w:pStyle w:val="covertext"/>
              <w:spacing w:before="0" w:after="0"/>
            </w:pPr>
            <w:r>
              <w:fldChar w:fldCharType="begin"/>
            </w:r>
            <w:r>
              <w:instrText xml:space="preserve"> AUTHOR  \* MERGEFORMAT </w:instrText>
            </w:r>
            <w:r>
              <w:fldChar w:fldCharType="separate"/>
            </w:r>
            <w:r w:rsidR="00185A63" w:rsidRPr="00A04E84">
              <w:t>Oliver Holland</w:t>
            </w:r>
            <w:r>
              <w:fldChar w:fldCharType="end"/>
            </w:r>
            <w:r w:rsidR="00EC6F92" w:rsidRPr="00976961">
              <w:br/>
            </w:r>
            <w:r>
              <w:fldChar w:fldCharType="begin"/>
            </w:r>
            <w:r>
              <w:instrText xml:space="preserve"> DOCPROPERTY "Company"  \* MERGEFORMAT </w:instrText>
            </w:r>
            <w:r>
              <w:fldChar w:fldCharType="separate"/>
            </w:r>
            <w:r w:rsidR="00185A63" w:rsidRPr="00976961">
              <w:t>Advanced Wireless Technology Group, Ltd.</w:t>
            </w:r>
            <w:r>
              <w:fldChar w:fldCharType="end"/>
            </w:r>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77777777" w:rsidR="00FA6654" w:rsidRDefault="00FA6654" w:rsidP="004B180B">
      <w:pPr>
        <w:rPr>
          <w:i/>
        </w:rPr>
      </w:pP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w:t>
      </w:r>
      <w:proofErr w:type="gramStart"/>
      <w:r w:rsidR="009077D6">
        <w:rPr>
          <w:i/>
          <w:highlight w:val="yellow"/>
        </w:rPr>
        <w:t>-  TBD</w:t>
      </w:r>
      <w:proofErr w:type="gramEnd"/>
      <w:r w:rsidR="009077D6">
        <w:rPr>
          <w:i/>
          <w:highlight w:val="yellow"/>
        </w:rPr>
        <w:t xml:space="preserve"> if this can be done as of Nov 2021</w:t>
      </w:r>
      <w:r w:rsidR="00E20CF8" w:rsidRPr="00A04E84">
        <w:rPr>
          <w:i/>
          <w:highlight w:val="yellow"/>
        </w:rPr>
        <w:t>)</w:t>
      </w:r>
    </w:p>
    <w:p w14:paraId="26C4BA0B" w14:textId="049696E3" w:rsidR="00AA4891" w:rsidRPr="00976961" w:rsidRDefault="00AA4891" w:rsidP="00AA4891">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 xml:space="preserve">Wireless Console </w:t>
      </w:r>
      <w:proofErr w:type="gramStart"/>
      <w:r w:rsidRPr="00976961">
        <w:t>Gaming</w:t>
      </w:r>
      <w:bookmarkEnd w:id="13"/>
      <w:bookmarkEnd w:id="1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t>
      </w:r>
      <w:r w:rsidRPr="00976961">
        <w:rPr>
          <w:rFonts w:ascii="Times New Roman" w:eastAsia="Times New Roman" w:hAnsi="Times New Roman"/>
        </w:rPr>
        <w:lastRenderedPageBreak/>
        <w: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roofErr w:type="gramStart"/>
      <w:r w:rsidRPr="00A04E84">
        <w:rPr>
          <w:b/>
          <w:lang w:val="en-US" w:eastAsia="zh-CN"/>
        </w:rPr>
        <w:t>);</w:t>
      </w:r>
      <w:proofErr w:type="gramEnd"/>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r w:rsidR="002A4580">
        <w:fldChar w:fldCharType="begin"/>
      </w:r>
      <w:r w:rsidR="002A4580">
        <w:instrText xml:space="preserve"> STYLEREF 1 \s </w:instrText>
      </w:r>
      <w:r w:rsidR="002A4580">
        <w:fldChar w:fldCharType="separate"/>
      </w:r>
      <w:r w:rsidRPr="00A04E84">
        <w:t>4</w:t>
      </w:r>
      <w:r w:rsidR="002A4580">
        <w:fldChar w:fldCharType="end"/>
      </w:r>
      <w:r w:rsidRPr="00976961">
        <w:noBreakHyphen/>
      </w:r>
      <w:r w:rsidR="002A4580">
        <w:fldChar w:fldCharType="begin"/>
      </w:r>
      <w:r w:rsidR="002A4580">
        <w:instrText xml:space="preserve"> SEQ Figure \* ARABIC \s 1 </w:instrText>
      </w:r>
      <w:r w:rsidR="002A4580">
        <w:fldChar w:fldCharType="separate"/>
      </w:r>
      <w:r w:rsidRPr="00A04E84">
        <w:t>14</w:t>
      </w:r>
      <w:r w:rsidR="002A4580">
        <w:fldChar w:fldCharType="end"/>
      </w:r>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 xml:space="preserve">Use Cases: There are </w:t>
      </w:r>
      <w:proofErr w:type="gramStart"/>
      <w:r w:rsidRPr="00976961">
        <w:t>a number of</w:t>
      </w:r>
      <w:proofErr w:type="gramEnd"/>
      <w:r w:rsidRPr="00976961">
        <w:t xml:space="preserve">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proofErr w:type="gramStart"/>
      <w:r w:rsidR="00DD4BFA" w:rsidRPr="00976961">
        <w:t>and also</w:t>
      </w:r>
      <w:proofErr w:type="gramEnd"/>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 xml:space="preserve">Summarizing those technologies that </w:t>
      </w:r>
      <w:proofErr w:type="gramStart"/>
      <w:r w:rsidRPr="00976961">
        <w:t>have to</w:t>
      </w:r>
      <w:proofErr w:type="gramEnd"/>
      <w:r w:rsidRPr="00976961">
        <w:t xml:space="preserve">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Multi-connectivity (</w:t>
      </w:r>
      <w:proofErr w:type="gramStart"/>
      <w:r w:rsidRPr="00976961">
        <w:t>as a means to</w:t>
      </w:r>
      <w:proofErr w:type="gramEnd"/>
      <w:r w:rsidRPr="00976961">
        <w:t xml:space="preserve">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w:t>
      </w:r>
      <w:proofErr w:type="gramStart"/>
      <w:r>
        <w:rPr>
          <w:szCs w:val="24"/>
        </w:rPr>
        <w:t>through the use of</w:t>
      </w:r>
      <w:proofErr w:type="gramEnd"/>
      <w:r>
        <w:rPr>
          <w:szCs w:val="24"/>
        </w:rPr>
        <w:t xml:space="preserve">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w:t>
      </w:r>
      <w:proofErr w:type="gramStart"/>
      <w:r w:rsidRPr="00976961">
        <w:t xml:space="preserve">   (</w:t>
      </w:r>
      <w:proofErr w:type="gramEnd"/>
      <w:r w:rsidRPr="00976961">
        <w:t>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22"/>
      <w:r w:rsidRPr="00976961">
        <w:t>802.15.3 support low latency, isochronous streaming. Two</w:t>
      </w:r>
      <w:r w:rsidR="00976961">
        <w:t>-</w:t>
      </w:r>
      <w:r w:rsidRPr="00976961">
        <w:t xml:space="preserve">way streaming.  802.15.3e specifies fast link setup and teardown. </w:t>
      </w:r>
      <w:commentRangeEnd w:id="22"/>
      <w:r w:rsidR="008C0092" w:rsidRPr="00976961">
        <w:rPr>
          <w:rStyle w:val="CommentReference"/>
        </w:rPr>
        <w:commentReference w:id="22"/>
      </w:r>
      <w:r w:rsidR="00D7405E">
        <w:t>(and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23"/>
      <w:r w:rsidRPr="00A04E84">
        <w:rPr>
          <w:rFonts w:ascii="Times New Roman" w:hAnsi="Times New Roman"/>
          <w:sz w:val="24"/>
          <w:szCs w:val="24"/>
          <w:highlight w:val="yellow"/>
          <w:lang w:val="en-US"/>
        </w:rPr>
        <w:lastRenderedPageBreak/>
        <w:t>&lt;TBD&gt; need a brief paragraph on the current state of TGbe regarding low latency</w:t>
      </w:r>
      <w:r w:rsidR="00E20CF8">
        <w:rPr>
          <w:rFonts w:ascii="Times New Roman" w:hAnsi="Times New Roman"/>
          <w:sz w:val="24"/>
          <w:szCs w:val="24"/>
          <w:lang w:val="en-US"/>
        </w:rPr>
        <w:t xml:space="preserve"> – </w:t>
      </w:r>
      <w:commentRangeEnd w:id="23"/>
      <w:r w:rsidR="00A04E84">
        <w:rPr>
          <w:rStyle w:val="CommentReference"/>
          <w:rFonts w:ascii="Times New Roman" w:eastAsia="Times New Roman" w:hAnsi="Times New Roman"/>
          <w:lang w:val="en-US"/>
        </w:rPr>
        <w:commentReference w:id="23"/>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4"/>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24"/>
      <w:r w:rsidR="00A04E84">
        <w:rPr>
          <w:rStyle w:val="CommentReference"/>
          <w:rFonts w:ascii="Times New Roman" w:eastAsia="Times New Roman" w:hAnsi="Times New Roman"/>
          <w:lang w:val="en-US"/>
        </w:rPr>
        <w:commentReference w:id="24"/>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25" w:name="_Ref532893657"/>
      <w:bookmarkStart w:id="26" w:name="_Toc3325546"/>
      <w:r w:rsidRPr="00976961">
        <w:t xml:space="preserve">Table </w:t>
      </w:r>
      <w:r w:rsidR="002A4580">
        <w:fldChar w:fldCharType="begin"/>
      </w:r>
      <w:r w:rsidR="002A4580">
        <w:instrText xml:space="preserve"> STYLEREF 1 \s </w:instrText>
      </w:r>
      <w:r w:rsidR="002A4580">
        <w:fldChar w:fldCharType="separate"/>
      </w:r>
      <w:r w:rsidRPr="00A04E84">
        <w:t>6</w:t>
      </w:r>
      <w:r w:rsidR="002A4580">
        <w:fldChar w:fldCharType="end"/>
      </w:r>
      <w:r w:rsidRPr="00976961">
        <w:noBreakHyphen/>
      </w:r>
      <w:r w:rsidR="002A4580">
        <w:fldChar w:fldCharType="begin"/>
      </w:r>
      <w:r w:rsidR="002A4580">
        <w:instrText xml:space="preserve"> SEQ Table \* ARABIC \s 1 </w:instrText>
      </w:r>
      <w:r w:rsidR="002A4580">
        <w:fldChar w:fldCharType="separate"/>
      </w:r>
      <w:r w:rsidRPr="00A04E84">
        <w:t>1</w:t>
      </w:r>
      <w:r w:rsidR="002A4580">
        <w:fldChar w:fldCharType="end"/>
      </w:r>
      <w:bookmarkEnd w:id="25"/>
      <w:r w:rsidRPr="00976961">
        <w:t xml:space="preserve"> </w:t>
      </w:r>
      <w:r w:rsidRPr="00A04E84">
        <w:t xml:space="preserve"> </w:t>
      </w:r>
      <w:proofErr w:type="gramStart"/>
      <w:r w:rsidRPr="00A04E84">
        <w:t>Requirements</w:t>
      </w:r>
      <w:proofErr w:type="gramEnd"/>
      <w:r w:rsidRPr="00A04E84">
        <w:t xml:space="preserve"> metrics of RTA use cases</w:t>
      </w:r>
      <w:bookmarkEnd w:id="26"/>
    </w:p>
    <w:p w14:paraId="2113ADEF" w14:textId="77777777" w:rsidR="007E7A3D" w:rsidRPr="00976961" w:rsidRDefault="007E7A3D" w:rsidP="007E7A3D">
      <w:pPr>
        <w:pStyle w:val="Heading2"/>
        <w:rPr>
          <w:lang w:eastAsia="zh-CN"/>
        </w:rPr>
      </w:pPr>
      <w:bookmarkStart w:id="27" w:name="_Toc3325534"/>
      <w:r w:rsidRPr="00976961">
        <w:rPr>
          <w:lang w:eastAsia="zh-CN"/>
        </w:rPr>
        <w:t>New capabilities to support real time applications</w:t>
      </w:r>
      <w:bookmarkEnd w:id="27"/>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t>
      </w:r>
      <w:proofErr w:type="gramStart"/>
      <w:r w:rsidRPr="00976961">
        <w:t>worst case</w:t>
      </w:r>
      <w:proofErr w:type="gramEnd"/>
      <w:r w:rsidRPr="00976961">
        <w:t xml:space="preserv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4A681F2F" w:rsidR="005E1F4F" w:rsidRPr="00976961" w:rsidRDefault="00EF7A2A" w:rsidP="00B6708E">
      <w:pPr>
        <w:pStyle w:val="Heading1"/>
      </w:pPr>
      <w:commentRangeStart w:id="28"/>
      <w:r w:rsidRPr="00976961">
        <w:lastRenderedPageBreak/>
        <w:t>Conclusion and Future Work</w:t>
      </w:r>
      <w:r w:rsidR="00A04E84">
        <w:t xml:space="preserve"> </w:t>
      </w:r>
      <w:r w:rsidRPr="00976961">
        <w:t>/</w:t>
      </w:r>
      <w:r w:rsidR="00A04E84">
        <w:t xml:space="preserve"> </w:t>
      </w:r>
      <w:proofErr w:type="spellStart"/>
      <w:r w:rsidR="00AF546B" w:rsidRPr="00976961">
        <w:t>Timeplan</w:t>
      </w:r>
      <w:commentRangeEnd w:id="28"/>
      <w:proofErr w:type="spellEnd"/>
      <w:r w:rsidR="00A04E84">
        <w:rPr>
          <w:rStyle w:val="CommentReference"/>
          <w:rFonts w:ascii="Times New Roman" w:hAnsi="Times New Roman"/>
          <w:b w:val="0"/>
          <w:kern w:val="0"/>
        </w:rPr>
        <w:commentReference w:id="28"/>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w:t>
      </w:r>
      <w:proofErr w:type="spellStart"/>
      <w:r w:rsidRPr="00A04E84">
        <w:rPr>
          <w:i/>
          <w:iCs/>
          <w:highlight w:val="yellow"/>
        </w:rPr>
        <w:t>timeplan</w:t>
      </w:r>
      <w:proofErr w:type="spellEnd"/>
      <w:r w:rsidRPr="00A04E84">
        <w:rPr>
          <w:i/>
          <w:iCs/>
          <w:highlight w:val="yellow"/>
        </w:rPr>
        <w:t xml:space="preserve">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5FEC1B2E" w:rsidR="003F2706" w:rsidRDefault="003F2706" w:rsidP="004F4E70">
      <w:pPr>
        <w:rPr>
          <w:i/>
          <w:iCs/>
          <w:highlight w:val="yellow"/>
        </w:rPr>
      </w:pPr>
      <w:r w:rsidRPr="00A04E84">
        <w:rPr>
          <w:i/>
          <w:iCs/>
          <w:highlight w:val="yellow"/>
        </w:rPr>
        <w:t>Develop a roadmap for all 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367FA162" w:rsidR="003F2706" w:rsidRPr="00A04E84" w:rsidRDefault="003F2706" w:rsidP="004F4E70">
      <w:pPr>
        <w:rPr>
          <w:i/>
          <w:iCs/>
        </w:rPr>
      </w:pPr>
      <w:r w:rsidRPr="00A04E84">
        <w:rPr>
          <w:i/>
          <w:iCs/>
          <w:highlight w:val="yellow"/>
        </w:rPr>
        <w:t>Identify any gaps at the architecture level for consideration by 802.1 TSN</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77777777" w:rsidR="00E025F2" w:rsidRPr="00A04E84" w:rsidRDefault="00E025F2"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3" w:author="Godfrey, Tim [2]" w:date="2021-09-16T14:56:00Z" w:initials="GT">
    <w:p w14:paraId="62E4BD6D" w14:textId="2030CAF8" w:rsidR="00A04E84" w:rsidRDefault="00A04E84">
      <w:pPr>
        <w:pStyle w:val="CommentText"/>
      </w:pPr>
      <w:r>
        <w:rPr>
          <w:rStyle w:val="CommentReference"/>
        </w:rPr>
        <w:annotationRef/>
      </w:r>
      <w:r>
        <w:t xml:space="preserve">Contribution needed on </w:t>
      </w:r>
      <w:proofErr w:type="gramStart"/>
      <w:r>
        <w:t>current status</w:t>
      </w:r>
      <w:proofErr w:type="gramEnd"/>
      <w:r>
        <w:t xml:space="preserve"> of low-latency features in 802.11be</w:t>
      </w:r>
    </w:p>
  </w:comment>
  <w:comment w:id="24" w:author="Godfrey, Tim [2]"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28" w:author="Godfrey, Tim [2]" w:date="2021-09-16T14:58:00Z" w:initials="GT">
    <w:p w14:paraId="1781369A" w14:textId="5685C7F2" w:rsidR="00A04E84" w:rsidRDefault="00A04E84">
      <w:pPr>
        <w:pStyle w:val="CommentText"/>
      </w:pPr>
      <w:r>
        <w:rPr>
          <w:rStyle w:val="CommentReference"/>
        </w:rPr>
        <w:annotationRef/>
      </w:r>
      <w:r>
        <w:t>Contributions needed for future work and roadmap on these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BB608" w15:done="0"/>
  <w15:commentEx w15:paraId="62E4BD6D" w15:done="0"/>
  <w15:commentEx w15:paraId="0AE75407" w15:done="0"/>
  <w15:commentEx w15:paraId="178136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DD99E" w16cex:dateUtc="2021-09-16T19:56:00Z"/>
  <w16cex:commentExtensible w16cex:durableId="24EDD9B9" w16cex:dateUtc="2021-09-16T19:56:00Z"/>
  <w16cex:commentExtensible w16cex:durableId="24EDDA0A" w16cex:dateUtc="2021-09-1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BB608" w16cid:durableId="20DAC4D9"/>
  <w16cid:commentId w16cid:paraId="62E4BD6D" w16cid:durableId="24EDD99E"/>
  <w16cid:commentId w16cid:paraId="0AE75407" w16cid:durableId="24EDD9B9"/>
  <w16cid:commentId w16cid:paraId="1781369A" w16cid:durableId="24EDD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D878B" w14:textId="77777777" w:rsidR="002A4580" w:rsidRDefault="002A4580">
      <w:r>
        <w:separator/>
      </w:r>
    </w:p>
  </w:endnote>
  <w:endnote w:type="continuationSeparator" w:id="0">
    <w:p w14:paraId="44409E38" w14:textId="77777777" w:rsidR="002A4580" w:rsidRDefault="002A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pitch w:val="variable"/>
    <w:sig w:usb0="00000003" w:usb1="00000000" w:usb2="00000000" w:usb3="00000000" w:csb0="00000001" w:csb1="00000000"/>
  </w:font>
  <w:font w:name="Arial Bold">
    <w:altName w:val="Arial"/>
    <w:panose1 w:val="020B0704020202020204"/>
    <w:charset w:val="59"/>
    <w:family w:val="auto"/>
    <w:pitch w:val="variable"/>
    <w:sig w:usb0="00000201" w:usb1="00000000" w:usb2="00000000" w:usb3="00000000" w:csb0="00000004" w:csb1="00000000"/>
  </w:font>
  <w:font w:name="Times">
    <w:altName w:val="Times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D5A4" w14:textId="77777777" w:rsidR="00E77E55" w:rsidRDefault="00E7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65F6" w14:textId="36A64E80"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2604" w14:textId="77777777" w:rsidR="002A4580" w:rsidRDefault="002A4580">
      <w:r>
        <w:separator/>
      </w:r>
    </w:p>
  </w:footnote>
  <w:footnote w:type="continuationSeparator" w:id="0">
    <w:p w14:paraId="71D72208" w14:textId="77777777" w:rsidR="002A4580" w:rsidRDefault="002A4580">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7D5A1" w14:textId="77777777" w:rsidR="00E77E55" w:rsidRDefault="00E77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592F" w14:textId="67B52F41" w:rsidR="00336C03" w:rsidRDefault="00E77E5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336C03">
      <w:rPr>
        <w:b/>
        <w:sz w:val="28"/>
      </w:rPr>
      <w:t xml:space="preserve"> 2021</w:t>
    </w:r>
    <w:r w:rsidR="00336C03">
      <w:rPr>
        <w:b/>
        <w:sz w:val="28"/>
      </w:rPr>
      <w:tab/>
      <w:t xml:space="preserve"> IEEE P802.24-19-0003-</w:t>
    </w:r>
    <w:r w:rsidR="00860CD4">
      <w:rPr>
        <w:b/>
        <w:sz w:val="28"/>
      </w:rPr>
      <w:t>1</w:t>
    </w:r>
    <w:r w:rsidR="00564549">
      <w:rPr>
        <w:b/>
        <w:sz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8"/>
  </w:num>
  <w:num w:numId="5">
    <w:abstractNumId w:val="37"/>
  </w:num>
  <w:num w:numId="6">
    <w:abstractNumId w:val="13"/>
  </w:num>
  <w:num w:numId="7">
    <w:abstractNumId w:val="16"/>
    <w:lvlOverride w:ilvl="0">
      <w:lvl w:ilvl="0" w:tplc="BC98926C">
        <w:start w:val="1"/>
        <w:numFmt w:val="decimal"/>
        <w:lvlText w:val="%1)"/>
        <w:lvlJc w:val="left"/>
        <w:pPr>
          <w:ind w:left="360" w:hanging="360"/>
        </w:pPr>
      </w:lvl>
    </w:lvlOverride>
    <w:lvlOverride w:ilvl="1">
      <w:lvl w:ilvl="1" w:tplc="C700FDF4" w:tentative="1">
        <w:start w:val="1"/>
        <w:numFmt w:val="lowerLetter"/>
        <w:lvlText w:val="%2."/>
        <w:lvlJc w:val="left"/>
        <w:pPr>
          <w:ind w:left="1080" w:hanging="360"/>
        </w:pPr>
      </w:lvl>
    </w:lvlOverride>
    <w:lvlOverride w:ilvl="2">
      <w:lvl w:ilvl="2" w:tplc="2F26208C" w:tentative="1">
        <w:start w:val="1"/>
        <w:numFmt w:val="lowerRoman"/>
        <w:lvlText w:val="%3."/>
        <w:lvlJc w:val="right"/>
        <w:pPr>
          <w:ind w:left="1800" w:hanging="180"/>
        </w:pPr>
      </w:lvl>
    </w:lvlOverride>
    <w:lvlOverride w:ilvl="3">
      <w:lvl w:ilvl="3" w:tplc="E2F6BC58" w:tentative="1">
        <w:start w:val="1"/>
        <w:numFmt w:val="decimal"/>
        <w:lvlText w:val="%4."/>
        <w:lvlJc w:val="left"/>
        <w:pPr>
          <w:ind w:left="2520" w:hanging="360"/>
        </w:pPr>
      </w:lvl>
    </w:lvlOverride>
    <w:lvlOverride w:ilvl="4">
      <w:lvl w:ilvl="4" w:tplc="F1C82946" w:tentative="1">
        <w:start w:val="1"/>
        <w:numFmt w:val="lowerLetter"/>
        <w:lvlText w:val="%5."/>
        <w:lvlJc w:val="left"/>
        <w:pPr>
          <w:ind w:left="3240" w:hanging="360"/>
        </w:pPr>
      </w:lvl>
    </w:lvlOverride>
    <w:lvlOverride w:ilvl="5">
      <w:lvl w:ilvl="5" w:tplc="B7C80C24" w:tentative="1">
        <w:start w:val="1"/>
        <w:numFmt w:val="lowerRoman"/>
        <w:lvlText w:val="%6."/>
        <w:lvlJc w:val="right"/>
        <w:pPr>
          <w:ind w:left="3960" w:hanging="180"/>
        </w:pPr>
      </w:lvl>
    </w:lvlOverride>
    <w:lvlOverride w:ilvl="6">
      <w:lvl w:ilvl="6" w:tplc="3DA2DB2E" w:tentative="1">
        <w:start w:val="1"/>
        <w:numFmt w:val="decimal"/>
        <w:lvlText w:val="%7."/>
        <w:lvlJc w:val="left"/>
        <w:pPr>
          <w:ind w:left="4680" w:hanging="360"/>
        </w:pPr>
      </w:lvl>
    </w:lvlOverride>
    <w:lvlOverride w:ilvl="7">
      <w:lvl w:ilvl="7" w:tplc="279A97B8" w:tentative="1">
        <w:start w:val="1"/>
        <w:numFmt w:val="lowerLetter"/>
        <w:lvlText w:val="%8."/>
        <w:lvlJc w:val="left"/>
        <w:pPr>
          <w:ind w:left="5400" w:hanging="360"/>
        </w:pPr>
      </w:lvl>
    </w:lvlOverride>
    <w:lvlOverride w:ilvl="8">
      <w:lvl w:ilvl="8" w:tplc="1D5A5B98" w:tentative="1">
        <w:start w:val="1"/>
        <w:numFmt w:val="lowerRoman"/>
        <w:lvlText w:val="%9."/>
        <w:lvlJc w:val="right"/>
        <w:pPr>
          <w:ind w:left="6120" w:hanging="180"/>
        </w:pPr>
      </w:lvl>
    </w:lvlOverride>
  </w:num>
  <w:num w:numId="8">
    <w:abstractNumId w:val="4"/>
  </w:num>
  <w:num w:numId="9">
    <w:abstractNumId w:val="30"/>
  </w:num>
  <w:num w:numId="10">
    <w:abstractNumId w:val="12"/>
  </w:num>
  <w:num w:numId="11">
    <w:abstractNumId w:val="28"/>
  </w:num>
  <w:num w:numId="12">
    <w:abstractNumId w:val="10"/>
  </w:num>
  <w:num w:numId="13">
    <w:abstractNumId w:val="33"/>
  </w:num>
  <w:num w:numId="14">
    <w:abstractNumId w:val="26"/>
  </w:num>
  <w:num w:numId="15">
    <w:abstractNumId w:val="40"/>
  </w:num>
  <w:num w:numId="16">
    <w:abstractNumId w:val="25"/>
  </w:num>
  <w:num w:numId="17">
    <w:abstractNumId w:val="21"/>
  </w:num>
  <w:num w:numId="18">
    <w:abstractNumId w:val="20"/>
  </w:num>
  <w:num w:numId="19">
    <w:abstractNumId w:val="15"/>
  </w:num>
  <w:num w:numId="20">
    <w:abstractNumId w:val="22"/>
  </w:num>
  <w:num w:numId="21">
    <w:abstractNumId w:val="1"/>
  </w:num>
  <w:num w:numId="22">
    <w:abstractNumId w:val="29"/>
  </w:num>
  <w:num w:numId="23">
    <w:abstractNumId w:val="0"/>
  </w:num>
  <w:num w:numId="24">
    <w:abstractNumId w:val="24"/>
  </w:num>
  <w:num w:numId="25">
    <w:abstractNumId w:val="3"/>
  </w:num>
  <w:num w:numId="26">
    <w:abstractNumId w:val="11"/>
  </w:num>
  <w:num w:numId="27">
    <w:abstractNumId w:val="38"/>
  </w:num>
  <w:num w:numId="28">
    <w:abstractNumId w:val="17"/>
  </w:num>
  <w:num w:numId="29">
    <w:abstractNumId w:val="2"/>
  </w:num>
  <w:num w:numId="30">
    <w:abstractNumId w:val="14"/>
  </w:num>
  <w:num w:numId="31">
    <w:abstractNumId w:val="18"/>
  </w:num>
  <w:num w:numId="32">
    <w:abstractNumId w:val="32"/>
  </w:num>
  <w:num w:numId="33">
    <w:abstractNumId w:val="6"/>
  </w:num>
  <w:num w:numId="34">
    <w:abstractNumId w:val="23"/>
  </w:num>
  <w:num w:numId="35">
    <w:abstractNumId w:val="9"/>
  </w:num>
  <w:num w:numId="36">
    <w:abstractNumId w:val="5"/>
  </w:num>
  <w:num w:numId="37">
    <w:abstractNumId w:val="36"/>
  </w:num>
  <w:num w:numId="38">
    <w:abstractNumId w:val="39"/>
  </w:num>
  <w:num w:numId="39">
    <w:abstractNumId w:val="7"/>
  </w:num>
  <w:num w:numId="40">
    <w:abstractNumId w:val="19"/>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w15:presenceInfo w15:providerId="AD" w15:userId="S-1-5-21-136082789-1761359835-433219294-52271"/>
  </w15:person>
  <w15:person w15:author="Godfrey, Tim [2]">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6041C"/>
    <w:rsid w:val="000A4425"/>
    <w:rsid w:val="000C38B9"/>
    <w:rsid w:val="00110A37"/>
    <w:rsid w:val="00110E1C"/>
    <w:rsid w:val="00111C1A"/>
    <w:rsid w:val="00164C20"/>
    <w:rsid w:val="00175A46"/>
    <w:rsid w:val="00185A63"/>
    <w:rsid w:val="001B54AD"/>
    <w:rsid w:val="001E0CC7"/>
    <w:rsid w:val="00216914"/>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D32FA"/>
    <w:rsid w:val="004D4811"/>
    <w:rsid w:val="004E2079"/>
    <w:rsid w:val="004F3AE6"/>
    <w:rsid w:val="004F4E70"/>
    <w:rsid w:val="00547580"/>
    <w:rsid w:val="00564549"/>
    <w:rsid w:val="00583F3E"/>
    <w:rsid w:val="00587D1D"/>
    <w:rsid w:val="005E1F4F"/>
    <w:rsid w:val="006058AF"/>
    <w:rsid w:val="006108DE"/>
    <w:rsid w:val="00676F3A"/>
    <w:rsid w:val="006C02E9"/>
    <w:rsid w:val="00717E1D"/>
    <w:rsid w:val="007478C9"/>
    <w:rsid w:val="007522F3"/>
    <w:rsid w:val="007566DD"/>
    <w:rsid w:val="00760692"/>
    <w:rsid w:val="0076145D"/>
    <w:rsid w:val="007A7234"/>
    <w:rsid w:val="007C14DC"/>
    <w:rsid w:val="007C27B8"/>
    <w:rsid w:val="007D0D08"/>
    <w:rsid w:val="007E60C0"/>
    <w:rsid w:val="007E7A3D"/>
    <w:rsid w:val="007F3AAC"/>
    <w:rsid w:val="0081144B"/>
    <w:rsid w:val="008143E2"/>
    <w:rsid w:val="00820EFA"/>
    <w:rsid w:val="00860CD4"/>
    <w:rsid w:val="00867D3B"/>
    <w:rsid w:val="008C0092"/>
    <w:rsid w:val="008D6F19"/>
    <w:rsid w:val="008F4251"/>
    <w:rsid w:val="009077D6"/>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774E"/>
    <w:rsid w:val="00AF546B"/>
    <w:rsid w:val="00B11011"/>
    <w:rsid w:val="00B2686F"/>
    <w:rsid w:val="00B5124E"/>
    <w:rsid w:val="00B65287"/>
    <w:rsid w:val="00B6708E"/>
    <w:rsid w:val="00B83C7F"/>
    <w:rsid w:val="00B85A48"/>
    <w:rsid w:val="00BF10E7"/>
    <w:rsid w:val="00C15C8A"/>
    <w:rsid w:val="00C228D7"/>
    <w:rsid w:val="00C3202E"/>
    <w:rsid w:val="00C575F1"/>
    <w:rsid w:val="00C81CFA"/>
    <w:rsid w:val="00CB1D36"/>
    <w:rsid w:val="00CF7BD6"/>
    <w:rsid w:val="00D049BE"/>
    <w:rsid w:val="00D7405E"/>
    <w:rsid w:val="00D96D9E"/>
    <w:rsid w:val="00DC6E7F"/>
    <w:rsid w:val="00DD4BFA"/>
    <w:rsid w:val="00DE370E"/>
    <w:rsid w:val="00E025F2"/>
    <w:rsid w:val="00E20CF8"/>
    <w:rsid w:val="00E77E55"/>
    <w:rsid w:val="00E9277E"/>
    <w:rsid w:val="00EB5FA1"/>
    <w:rsid w:val="00EC2EF9"/>
    <w:rsid w:val="00EC6F92"/>
    <w:rsid w:val="00EF7A2A"/>
    <w:rsid w:val="00F023AF"/>
    <w:rsid w:val="00F55E04"/>
    <w:rsid w:val="00F77143"/>
    <w:rsid w:val="00F87DED"/>
    <w:rsid w:val="00FA11EE"/>
    <w:rsid w:val="00FA6654"/>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13</TotalTime>
  <Pages>15</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2021-11-10T20:25:00Z</dcterms:created>
  <dcterms:modified xsi:type="dcterms:W3CDTF">2021-11-10T20:40:00Z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