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76489DDC" w:rsidR="00F90D86" w:rsidRDefault="00690A22" w:rsidP="00014FFD">
            <w:pPr>
              <w:pStyle w:val="covertext"/>
              <w:rPr>
                <w:b/>
                <w:szCs w:val="24"/>
              </w:rPr>
            </w:pPr>
            <w:r>
              <w:t xml:space="preserve">Utility Applications of </w:t>
            </w:r>
            <w:r w:rsidRPr="00690A22">
              <w:t>Time Sensitive Networking</w:t>
            </w:r>
            <w:r>
              <w:t xml:space="preserve"> White Paper</w:t>
            </w:r>
            <w:r w:rsidR="003354F9">
              <w:t xml:space="preserve"> (D1)</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2476ACB6" w:rsidR="00F90D86" w:rsidRDefault="00695328">
            <w:pPr>
              <w:pStyle w:val="covertext"/>
            </w:pPr>
            <w:r>
              <w:t>2018-</w:t>
            </w:r>
            <w:r w:rsidR="00734829">
              <w:t>September-12</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proofErr w:type="gramStart"/>
            <w:r>
              <w:t xml:space="preserve">802.1  </w:t>
            </w:r>
            <w:r w:rsidR="0060152A">
              <w:t>802.24</w:t>
            </w:r>
            <w:proofErr w:type="gramEnd"/>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xml:space="preserve">, </w:t>
            </w:r>
            <w:proofErr w:type="spellStart"/>
            <w:r w:rsidR="00781816">
              <w:rPr>
                <w:sz w:val="18"/>
              </w:rPr>
              <w:t>Maik</w:t>
            </w:r>
            <w:proofErr w:type="spellEnd"/>
            <w:r w:rsidR="00781816">
              <w:rPr>
                <w:sz w:val="18"/>
              </w:rPr>
              <w:t xml:space="preserve">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3B1F0BB9" w14:textId="77777777" w:rsidR="005F61DC" w:rsidRPr="005F61DC" w:rsidRDefault="005F61DC" w:rsidP="005F61DC">
      <w:pPr>
        <w:pStyle w:val="Heading1"/>
        <w:rPr>
          <w:b/>
          <w:szCs w:val="24"/>
        </w:rPr>
      </w:pPr>
      <w:r w:rsidRPr="005F61DC">
        <w:rPr>
          <w:b/>
        </w:rPr>
        <w:lastRenderedPageBreak/>
        <w:t>Utility Applications of Time Sensitive Networking White Paper (D1)</w:t>
      </w:r>
    </w:p>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 xml:space="preserve">Support for IEC 61850 Generic </w:t>
      </w:r>
      <w:proofErr w:type="gramStart"/>
      <w:r w:rsidRPr="009D6283">
        <w:t>Object Oriented</w:t>
      </w:r>
      <w:proofErr w:type="gramEnd"/>
      <w:r w:rsidRPr="009D6283">
        <w:t xml:space="preserve">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bookmarkStart w:id="0" w:name="_GoBack"/>
      <w:bookmarkEnd w:id="0"/>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engineering. A profile for Utilities is needed to reduce the effort of engineering.  IEC TC57 is looking for such a profile and is collaborating with the IEC SC65C/MT9.PT61784-6 project team.</w:t>
      </w:r>
      <w:r w:rsidR="00916EA6">
        <w:t xml:space="preserve"> </w:t>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554A7969" w:rsidR="00C206EC" w:rsidRDefault="00123CC2" w:rsidP="00916EA6">
      <w:r>
        <w:t xml:space="preserve">The communications requirements for supporting </w:t>
      </w:r>
      <w:proofErr w:type="spellStart"/>
      <w:r w:rsidR="00C206EC">
        <w:t>MicroGrids</w:t>
      </w:r>
      <w:proofErr w:type="spellEnd"/>
      <w:r>
        <w:t xml:space="preserve"> have similar low-latency </w:t>
      </w:r>
      <w:proofErr w:type="gramStart"/>
      <w:r>
        <w:t>needs, and</w:t>
      </w:r>
      <w:proofErr w:type="gramEnd"/>
      <w:r>
        <w:t xml:space="preserve">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r>
        <w:t xml:space="preserve">Field Area Networks are typically built on wireless technologies, although there are some instances of fiber optic networks used for communications in the distribution grid. Since TSN is currently defined for wired technologies based on 802.1 and 802.3, wireless applications are not able to support TSN directly. See below for further discussion of wireless use cases.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08F3CA26" w:rsidR="008C416D" w:rsidRPr="00690A22" w:rsidRDefault="008C416D"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lastRenderedPageBreak/>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A677E3" w:rsidRDefault="00A677E3"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A677E3" w:rsidRDefault="00A677E3"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A677E3" w:rsidRDefault="00A677E3"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A677E3" w:rsidRDefault="00A677E3"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A677E3" w:rsidRDefault="00A677E3"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A677E3" w:rsidRDefault="00A677E3"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1"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1"/>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The service offers connections; every packet flows end-to-end through the connection.  The packet loss curve shows that CBR eliminates congestion loss, so is almost zero if the proper buffering is present.  If we assume that 1+1 protection is used, packets are lost at a low rate, but in large groups, when an equipment failure is </w:t>
      </w:r>
      <w:proofErr w:type="gramStart"/>
      <w:r w:rsidRPr="009517BA">
        <w:t>detected</w:t>
      </w:r>
      <w:proofErr w:type="gramEnd"/>
      <w:r w:rsidRPr="009517BA">
        <w:t xml:space="preserve"> and an alternate path activated.</w:t>
      </w:r>
    </w:p>
    <w:p w14:paraId="317CC7FB" w14:textId="77777777" w:rsidR="00851879" w:rsidRPr="009517BA" w:rsidRDefault="00851879" w:rsidP="00851879">
      <w:pPr>
        <w:keepNext/>
        <w:rPr>
          <w:color w:val="7030A0"/>
        </w:rPr>
      </w:pPr>
      <w:r w:rsidRPr="009517BA">
        <w:rPr>
          <w:noProof/>
          <w:color w:val="7030A0"/>
        </w:rPr>
        <w:lastRenderedPageBreak/>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A677E3" w:rsidRDefault="00A677E3"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A677E3" w:rsidRDefault="00A677E3"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A677E3" w:rsidRDefault="00A677E3"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A677E3" w:rsidRDefault="00A677E3"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A677E3" w:rsidRDefault="00A677E3"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A677E3" w:rsidRDefault="00A677E3"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2"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2"/>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A677E3" w:rsidRDefault="00A677E3"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A677E3" w:rsidRDefault="00A677E3"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A677E3" w:rsidRDefault="00A677E3"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A677E3" w:rsidRDefault="00A677E3"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A677E3" w:rsidRDefault="00A677E3"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A677E3" w:rsidRDefault="00A677E3"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3" w:name="_Ref477950974"/>
      <w:bookmarkStart w:id="4"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3"/>
      <w:r w:rsidRPr="009517BA">
        <w:rPr>
          <w:color w:val="7030A0"/>
          <w:sz w:val="28"/>
          <w:szCs w:val="28"/>
        </w:rPr>
        <w:t xml:space="preserve"> </w:t>
      </w:r>
      <w:r w:rsidRPr="009517BA">
        <w:rPr>
          <w:color w:val="7030A0"/>
          <w:sz w:val="24"/>
          <w:szCs w:val="24"/>
        </w:rPr>
        <w:t>Deterministic packet service</w:t>
      </w:r>
      <w:bookmarkEnd w:id="4"/>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below) than the 1+1 protection usually employed in CBR.  (Both services could employ either protection scheme, in which case they can have the same packet loss curve.)</w:t>
      </w:r>
    </w:p>
    <w:p w14:paraId="7B86DC4F" w14:textId="77777777" w:rsidR="00851879" w:rsidRPr="009517BA" w:rsidRDefault="00851879" w:rsidP="00916EA6">
      <w:r w:rsidRPr="009517BA">
        <w:lastRenderedPageBreak/>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Bounded latency and zero congestion loss.  Congestion loss, the statistical overflowing of an output buffer in a network node, is the principle cause of packet loss in a best-effort network.  By pacing the delivery of packets and allocating sufficient buffer space for critical 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lastRenderedPageBreak/>
        <w:t xml:space="preserve">Ultra-reliable packet delivery.  Having eliminated congestion loss, the next most important cause of packet loss is equipment failure.  Deterministic networks can send multiple copies of a sequence-numbered data stream over multiple </w:t>
      </w:r>
      <w:proofErr w:type="gramStart"/>
      <w:r w:rsidRPr="00916EA6">
        <w:rPr>
          <w:color w:val="000000" w:themeColor="text1"/>
        </w:rPr>
        <w:t>paths, and</w:t>
      </w:r>
      <w:proofErr w:type="gramEnd"/>
      <w:r w:rsidRPr="00916EA6">
        <w:rPr>
          <w:color w:val="000000" w:themeColor="text1"/>
        </w:rPr>
        <w:t xml:space="preserve">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5" w:name="_Ref478828340"/>
      <w:r w:rsidRPr="00916EA6">
        <w:rPr>
          <w:color w:val="000000" w:themeColor="text1"/>
        </w:rPr>
        <w:t xml:space="preserve">Flexibility.  New contracts can be </w:t>
      </w:r>
      <w:proofErr w:type="gramStart"/>
      <w:r w:rsidRPr="00916EA6">
        <w:rPr>
          <w:color w:val="000000" w:themeColor="text1"/>
        </w:rPr>
        <w:t>made</w:t>
      </w:r>
      <w:proofErr w:type="gramEnd"/>
      <w:r w:rsidRPr="00916EA6">
        <w:rPr>
          <w:color w:val="000000" w:themeColor="text1"/>
        </w:rPr>
        <w:t xml:space="preserve"> and old ones revoked.  As critical flows come and go, the proper functioning of all critical flows is maintained </w:t>
      </w:r>
      <w:proofErr w:type="gramStart"/>
      <w:r w:rsidRPr="00916EA6">
        <w:rPr>
          <w:color w:val="000000" w:themeColor="text1"/>
        </w:rPr>
        <w:t>at all times</w:t>
      </w:r>
      <w:proofErr w:type="gramEnd"/>
      <w:r w:rsidRPr="00916EA6">
        <w:rPr>
          <w:color w:val="000000" w:themeColor="text1"/>
        </w:rPr>
        <w:t>.</w:t>
      </w:r>
      <w:bookmarkEnd w:id="5"/>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 xml:space="preserve">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w:t>
      </w:r>
      <w:proofErr w:type="gramStart"/>
      <w:r w:rsidRPr="009517BA">
        <w:t>as a whole is</w:t>
      </w:r>
      <w:proofErr w:type="gramEnd"/>
      <w:r w:rsidRPr="009517BA">
        <w:t xml:space="preserve">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3E95F708"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w:t>
      </w:r>
      <w:proofErr w:type="gramStart"/>
      <w:r>
        <w:t>IEEE</w:t>
      </w:r>
      <w:proofErr w:type="gramEnd"/>
      <w:r>
        <w:t xml:space="preserv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w:t>
      </w:r>
      <w:r w:rsidR="00D557AA">
        <w:t>s</w:t>
      </w:r>
      <w:r>
        <w:t>, TSN will be considered as one solution to meet functional and non-functional 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w:t>
      </w:r>
      <w:proofErr w:type="gramStart"/>
      <w:r w:rsidR="00781816">
        <w:t>in order to</w:t>
      </w:r>
      <w:proofErr w:type="gramEnd"/>
      <w:r w:rsidR="00781816">
        <w:t xml:space="preserve">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w:t>
      </w:r>
      <w:proofErr w:type="gramStart"/>
      <w:r>
        <w:t>in order to</w:t>
      </w:r>
      <w:proofErr w:type="gramEnd"/>
      <w:r>
        <w:t xml:space="preserve">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Default="00781816" w:rsidP="00EA0466">
      <w:r>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w:t>
      </w:r>
      <w:r w:rsidR="00592EA8">
        <w:lastRenderedPageBreak/>
        <w:t>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638ADCD6" w14:textId="701038E1" w:rsidR="00D24303" w:rsidRDefault="00734829" w:rsidP="00EA0466">
      <w:r w:rsidRPr="00734829">
        <w:t xml:space="preserve">IEC 61850 is based on a layered model. The communication stack is decoupled. The layering is defined in IEC 61850-7. </w:t>
      </w:r>
      <w:r>
        <w:t xml:space="preserve"> </w:t>
      </w:r>
      <w:r w:rsidR="00D24303">
        <w:t xml:space="preserve">The </w:t>
      </w:r>
      <w:r w:rsidR="0015169A">
        <w:t xml:space="preserve">layered </w:t>
      </w:r>
      <w:r w:rsidR="00D24303">
        <w:t xml:space="preserve">system architecture of IEC 61850 decouples </w:t>
      </w:r>
      <w:r w:rsidR="0015169A">
        <w:t xml:space="preserve">application model </w:t>
      </w:r>
      <w:r w:rsidR="001C6576">
        <w:t>and services from the communication</w:t>
      </w:r>
      <w:r w:rsidR="0015169A">
        <w:t xml:space="preserve"> stack. This allows change to the networ</w:t>
      </w:r>
      <w:r w:rsidR="0023602A">
        <w:t>k stack</w:t>
      </w:r>
      <w:r w:rsidR="0015169A">
        <w:t xml:space="preserve">, </w:t>
      </w:r>
      <w:r w:rsidR="00D72280">
        <w:t>the definition</w:t>
      </w:r>
      <w:r w:rsidR="0015169A">
        <w:t xml:space="preserve"> of new </w:t>
      </w:r>
      <w:r w:rsidR="001C6576">
        <w:t xml:space="preserve">communication </w:t>
      </w:r>
      <w:r w:rsidR="0015169A">
        <w:t xml:space="preserve">profiles, and </w:t>
      </w:r>
      <w:r w:rsidR="00D72280">
        <w:t xml:space="preserve">facilitates the integration and use </w:t>
      </w:r>
      <w:r w:rsidR="001C6576">
        <w:t xml:space="preserve">of the </w:t>
      </w:r>
      <w:r w:rsidR="0015169A">
        <w:t>TSN</w:t>
      </w:r>
      <w:r w:rsidR="00D72280">
        <w:t>-profile.</w:t>
      </w:r>
      <w:r w:rsidR="001C6576">
        <w:br/>
        <w:t xml:space="preserve">Various </w:t>
      </w:r>
      <w:r w:rsidR="0023602A">
        <w:t xml:space="preserve">grid applications are based on IEC 61850. The standard series </w:t>
      </w:r>
      <w:r w:rsidR="001C6576">
        <w:t xml:space="preserve">specifies the essential requirements and interfaces for these applications as well as the recommendations for a network architecture. Typical grid applications are substation automation and control (e.g.: distance protection, overcurrent protection), </w:t>
      </w:r>
      <w:r w:rsidR="00FD7A2B">
        <w:t>metering, alarm and event handling, distribution automation, tele-control (SCADA), condition monitoring, synchro-phasor applications, to name a few. The core use cases comprise substation automation systems, substation to substation, and substation to control center installations.</w:t>
      </w: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w:t>
      </w:r>
      <w:proofErr w:type="gramStart"/>
      <w:r w:rsidRPr="008403A3">
        <w:t>In order to</w:t>
      </w:r>
      <w:proofErr w:type="gramEnd"/>
      <w:r w:rsidRPr="008403A3">
        <w:t xml:space="preserve">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lastRenderedPageBreak/>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 xml:space="preserve">The following lists provide example use cases for synchronized time. Each use case is an example </w:t>
      </w:r>
      <w:proofErr w:type="gramStart"/>
      <w:r w:rsidRPr="008403A3">
        <w:t>only, and</w:t>
      </w:r>
      <w:proofErr w:type="gramEnd"/>
      <w:r w:rsidRPr="008403A3">
        <w:t xml:space="preserve"> is not required in order to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w:t>
      </w:r>
      <w:proofErr w:type="gramStart"/>
      <w:r w:rsidRPr="00695328">
        <w:t>measurement, and</w:t>
      </w:r>
      <w:proofErr w:type="gramEnd"/>
      <w:r w:rsidRPr="00695328">
        <w:t xml:space="preserve">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 xml:space="preserve">For some closed-loop control applications, data that is received late (i.e. after latency bound) is not usable. Although TSN can guarantee bounded latency for a normal configuration, there is always the possibility of a flawed configuration or a software bug. </w:t>
      </w:r>
      <w:proofErr w:type="gramStart"/>
      <w:r w:rsidRPr="00695328">
        <w:t>In order to</w:t>
      </w:r>
      <w:proofErr w:type="gramEnd"/>
      <w:r w:rsidRPr="00695328">
        <w:t xml:space="preserve">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 xml:space="preserve">For closed-loop control applications in which inputs, outputs, and/or control algorithms </w:t>
      </w:r>
      <w:proofErr w:type="gramStart"/>
      <w:r w:rsidRPr="00695328">
        <w:t>are located in</w:t>
      </w:r>
      <w:proofErr w:type="gramEnd"/>
      <w:r w:rsidRPr="00695328">
        <w:t xml:space="preserve">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lastRenderedPageBreak/>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46C20530" w:rsidR="00690A22" w:rsidRPr="00695328" w:rsidRDefault="00690A22" w:rsidP="00695328">
      <w:pPr>
        <w:pStyle w:val="Heading1"/>
      </w:pPr>
      <w:r w:rsidRPr="00695328">
        <w:t>Relationship to IETF DETNET</w:t>
      </w:r>
    </w:p>
    <w:p w14:paraId="46B71E6F" w14:textId="487B63E6" w:rsidR="003B1624" w:rsidRPr="002D34AB" w:rsidRDefault="000F5D3F">
      <w:pPr>
        <w:ind w:left="720"/>
        <w:rPr>
          <w:rFonts w:ascii="Times New Roman" w:eastAsia="Times New Roman" w:hAnsi="Times New Roman" w:cs="Times New Roman"/>
          <w:szCs w:val="24"/>
        </w:rPr>
      </w:pPr>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r w:rsidR="00690A22" w:rsidRPr="002D34AB">
        <w:t>DETNET works over a routed network</w:t>
      </w:r>
      <w:r w:rsidR="001D66A4">
        <w:rPr>
          <w:rStyle w:val="FootnoteReference"/>
        </w:rPr>
        <w:footnoteReference w:id="3"/>
      </w:r>
      <w:r w:rsidR="00690A22" w:rsidRPr="002D34AB">
        <w:t xml:space="preserve">. </w:t>
      </w:r>
    </w:p>
    <w:p w14:paraId="6E32361F" w14:textId="77777777" w:rsidR="0014006A" w:rsidRPr="0014006A" w:rsidRDefault="0014006A" w:rsidP="00DE7127">
      <w:pPr>
        <w:pStyle w:val="Heading1"/>
      </w:pPr>
      <w:r w:rsidRPr="0014006A">
        <w:t>Wired vs. Wireless</w:t>
      </w:r>
    </w:p>
    <w:p w14:paraId="17532CD7" w14:textId="3808093A" w:rsidR="0014006A" w:rsidRPr="0014006A" w:rsidRDefault="0014006A" w:rsidP="00695328">
      <w:r w:rsidRPr="0014006A">
        <w:t xml:space="preserve">In addition to the common obstacles to bounded latency faced by wired networks (congestion control, resource reservation), wireless networks have additional </w:t>
      </w:r>
      <w:r w:rsidR="00AC27E2">
        <w:t xml:space="preserve">challenges managing latency that are </w:t>
      </w:r>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49F6FDDB"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r w:rsidR="00AC27E2">
        <w:t xml:space="preserve">with fixed node location and </w:t>
      </w:r>
      <w:r w:rsidRPr="0014006A">
        <w:t>no mobility support.</w:t>
      </w:r>
    </w:p>
    <w:p w14:paraId="4ADCB7CC" w14:textId="75C5EA7F" w:rsid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w:t>
      </w:r>
      <w:r w:rsidR="00AC27E2">
        <w:t xml:space="preserve"> and active duty cycle</w:t>
      </w:r>
      <w:r w:rsidRPr="0014006A">
        <w:t>, which add</w:t>
      </w:r>
      <w:r w:rsidR="004F45C8">
        <w:t>s</w:t>
      </w:r>
      <w:r w:rsidRPr="0014006A">
        <w:t xml:space="preserve"> additional latency.</w:t>
      </w:r>
    </w:p>
    <w:p w14:paraId="1F93363D" w14:textId="744C5DBB" w:rsidR="008F179E" w:rsidRDefault="008F179E" w:rsidP="00DE7127">
      <w:r>
        <w:t xml:space="preserve">The wireless standards in IEEE 802 do not currently support TSN in the manner of 802.1 and 802.3. Use cases with requirements for bounded latency are accommodated through </w:t>
      </w:r>
      <w:r w:rsidR="004F45C8">
        <w:t>network design, frequency planning,</w:t>
      </w:r>
      <w:r w:rsidR="00AC27E2">
        <w:t xml:space="preserve"> and use of Quality of Service.</w:t>
      </w:r>
      <w:r w:rsidR="00D77AA3">
        <w:t xml:space="preserve"> Future amendments to IEEE 802 Wireless standards could provide the functionality needed to support TSN and the 802.1 TSN standards. </w:t>
      </w:r>
      <w:r w:rsidR="00AC27E2">
        <w:t xml:space="preserve"> </w:t>
      </w:r>
      <w:r>
        <w:t xml:space="preserve">The examples </w:t>
      </w:r>
      <w:r w:rsidR="00AC27E2">
        <w:t xml:space="preserve">described above </w:t>
      </w:r>
      <w:r>
        <w:t>(</w:t>
      </w:r>
      <w:r w:rsidRPr="008F179E">
        <w:t>Fault Location, Isolation, and Service Restoration</w:t>
      </w:r>
      <w:r>
        <w:t xml:space="preserve"> or FLISR, and </w:t>
      </w:r>
      <w:r w:rsidR="00AC27E2">
        <w:t>M</w:t>
      </w:r>
      <w:r>
        <w:t>icrogrid</w:t>
      </w:r>
      <w:r w:rsidR="00AC27E2">
        <w:t xml:space="preserve"> control)</w:t>
      </w:r>
      <w:r>
        <w:t xml:space="preserve"> are currently the most latency sensitive distribution grid applications. </w:t>
      </w:r>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6" w:name="_Ref487438726"/>
      <w:r>
        <w:t>IEEE 802.1 AVB, 802.1 TSN, and 802.3 standards</w:t>
      </w:r>
      <w:bookmarkEnd w:id="6"/>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8"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9" w:history="1">
        <w:r w:rsidRPr="00555778">
          <w:rPr>
            <w:rStyle w:val="Hyperlink"/>
          </w:rPr>
          <w:t>IEEE web site</w:t>
        </w:r>
      </w:hyperlink>
      <w:r>
        <w:t xml:space="preserve"> for the first six months after publication, and are available free from the </w:t>
      </w:r>
      <w:hyperlink r:id="rId10"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1"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77777777" w:rsidR="009517BA" w:rsidRPr="00960CC6" w:rsidRDefault="002477BD" w:rsidP="009517BA">
      <w:pPr>
        <w:pStyle w:val="ListParagraph"/>
        <w:numPr>
          <w:ilvl w:val="0"/>
          <w:numId w:val="11"/>
        </w:numPr>
        <w:spacing w:after="0" w:line="240" w:lineRule="auto"/>
      </w:pPr>
      <w:hyperlink r:id="rId12"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hyperlink>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77777777" w:rsidR="009517BA" w:rsidRPr="00960CC6" w:rsidRDefault="002477BD" w:rsidP="009517BA">
      <w:pPr>
        <w:pStyle w:val="ListParagraph"/>
        <w:numPr>
          <w:ilvl w:val="0"/>
          <w:numId w:val="11"/>
        </w:numPr>
        <w:spacing w:after="0" w:line="240" w:lineRule="auto"/>
      </w:pPr>
      <w:hyperlink r:id="rId13"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802.1Q-2014</w:t>
        </w:r>
      </w:hyperlink>
      <w:r w:rsidR="009517BA" w:rsidRPr="00960CC6">
        <w:t xml:space="preserve"> Bridges and Bridged Networks</w:t>
      </w:r>
    </w:p>
    <w:p w14:paraId="6DAF14DD" w14:textId="77777777" w:rsidR="009517BA" w:rsidRPr="00960CC6" w:rsidRDefault="009517BA" w:rsidP="009517BA">
      <w:pPr>
        <w:ind w:left="720"/>
      </w:pPr>
      <w:r w:rsidRPr="00960CC6">
        <w:t xml:space="preserve">The root document for VLAN bridges.  Earlier AVB standards, that were originally amendments to 802.1Q-2011, are included in </w:t>
      </w:r>
      <w:hyperlink r:id="rId14" w:history="1">
        <w:r w:rsidRPr="00960CC6">
          <w:rPr>
            <w:rStyle w:val="Hyperlink"/>
          </w:rPr>
          <w:t xml:space="preserve">IEEE </w:t>
        </w:r>
        <w:proofErr w:type="spellStart"/>
        <w:r w:rsidRPr="00960CC6">
          <w:rPr>
            <w:rStyle w:val="Hyperlink"/>
          </w:rPr>
          <w:t>Std</w:t>
        </w:r>
        <w:proofErr w:type="spellEnd"/>
        <w:r w:rsidRPr="00960CC6">
          <w:rPr>
            <w:rStyle w:val="Hyperlink"/>
          </w:rPr>
          <w:t xml:space="preserve"> 802.1Q-2014</w:t>
        </w:r>
      </w:hyperlink>
      <w:r w:rsidRPr="00960CC6">
        <w:t>:</w:t>
      </w:r>
    </w:p>
    <w:p w14:paraId="70C0517A"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802.1Q-2014)</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77777777"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802.1Q-2014)</w:t>
      </w:r>
    </w:p>
    <w:p w14:paraId="733F91E2" w14:textId="77777777" w:rsidR="009517BA" w:rsidRPr="00960CC6" w:rsidRDefault="009517BA" w:rsidP="009517BA">
      <w:pPr>
        <w:pStyle w:val="ListParagraph"/>
        <w:ind w:left="2160"/>
      </w:pPr>
      <w:r w:rsidRPr="00960CC6">
        <w:t xml:space="preserve">Defines the </w:t>
      </w:r>
      <w:proofErr w:type="gramStart"/>
      <w:r w:rsidRPr="00960CC6">
        <w:t>credit based</w:t>
      </w:r>
      <w:proofErr w:type="gramEnd"/>
      <w:r w:rsidRPr="00960CC6">
        <w:t xml:space="preserve"> shaper.  Note that this shaper does not guarantee zero congestion loss without a certain amount of overprovisioning.</w:t>
      </w:r>
    </w:p>
    <w:p w14:paraId="68CC72E0" w14:textId="77777777" w:rsidR="009517BA" w:rsidRPr="00960CC6" w:rsidRDefault="002477BD" w:rsidP="009517BA">
      <w:pPr>
        <w:pStyle w:val="ListParagraph"/>
        <w:numPr>
          <w:ilvl w:val="0"/>
          <w:numId w:val="11"/>
        </w:numPr>
        <w:spacing w:after="0" w:line="240" w:lineRule="auto"/>
      </w:pPr>
      <w:hyperlink r:id="rId15"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802.1BA-2009</w:t>
        </w:r>
      </w:hyperlink>
      <w:r w:rsidR="009517BA" w:rsidRPr="00960CC6">
        <w:t> 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372D2FA" w:rsidR="009517BA" w:rsidRPr="00960CC6" w:rsidRDefault="002477BD" w:rsidP="009517BA">
      <w:pPr>
        <w:pStyle w:val="ListParagraph"/>
        <w:numPr>
          <w:ilvl w:val="0"/>
          <w:numId w:val="11"/>
        </w:numPr>
        <w:spacing w:after="0" w:line="240" w:lineRule="auto"/>
      </w:pPr>
      <w:hyperlink r:id="rId16" w:history="1">
        <w:r w:rsidR="009517BA" w:rsidRPr="00960CC6">
          <w:rPr>
            <w:rStyle w:val="Hyperlink"/>
          </w:rPr>
          <w:t>P802.1AS-Rev</w:t>
        </w:r>
      </w:hyperlink>
      <w:r w:rsidR="009517BA" w:rsidRPr="00960CC6">
        <w:t xml:space="preserve"> Timing and </w:t>
      </w:r>
      <w:r w:rsidR="00DE7127" w:rsidRPr="00960CC6">
        <w:t>Synchronization</w:t>
      </w:r>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77777777" w:rsidR="009517BA" w:rsidRPr="00960CC6" w:rsidRDefault="002477BD" w:rsidP="009517BA">
      <w:pPr>
        <w:pStyle w:val="ListParagraph"/>
        <w:numPr>
          <w:ilvl w:val="0"/>
          <w:numId w:val="11"/>
        </w:numPr>
        <w:spacing w:after="0" w:line="240" w:lineRule="auto"/>
      </w:pPr>
      <w:hyperlink r:id="rId17" w:history="1">
        <w:r w:rsidR="009517BA" w:rsidRPr="00960CC6">
          <w:rPr>
            <w:rStyle w:val="Hyperlink"/>
          </w:rPr>
          <w:t>P802.1CB</w:t>
        </w:r>
      </w:hyperlink>
      <w:r w:rsidR="009517BA" w:rsidRPr="00960CC6">
        <w:t> Frame Replication and Elimination for Reliability</w:t>
      </w:r>
    </w:p>
    <w:p w14:paraId="6A71D815" w14:textId="77777777" w:rsidR="009517BA" w:rsidRPr="00960CC6" w:rsidRDefault="009517BA" w:rsidP="009517BA">
      <w:pPr>
        <w:ind w:left="720"/>
      </w:pPr>
      <w:r w:rsidRPr="00960CC6">
        <w:t>This is the basic technique used by both TSN and DetNet to overcome random packet errors and one or more equipment failures.  (complete)</w:t>
      </w:r>
    </w:p>
    <w:p w14:paraId="2C7B937E" w14:textId="77777777" w:rsidR="009517BA" w:rsidRPr="00960CC6" w:rsidRDefault="002477BD" w:rsidP="009517BA">
      <w:pPr>
        <w:pStyle w:val="ListParagraph"/>
        <w:numPr>
          <w:ilvl w:val="0"/>
          <w:numId w:val="11"/>
        </w:numPr>
        <w:spacing w:after="0" w:line="240" w:lineRule="auto"/>
      </w:pPr>
      <w:hyperlink r:id="rId18"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hyperlink>
      <w:r w:rsidR="009517BA" w:rsidRPr="00960CC6">
        <w:t> Frame Preemption, and</w:t>
      </w:r>
    </w:p>
    <w:p w14:paraId="1BD617E6" w14:textId="250D5E7A" w:rsidR="009517BA" w:rsidRPr="00960CC6" w:rsidRDefault="002477BD" w:rsidP="009517BA">
      <w:pPr>
        <w:pStyle w:val="ListParagraph"/>
        <w:numPr>
          <w:ilvl w:val="0"/>
          <w:numId w:val="11"/>
        </w:numPr>
        <w:spacing w:after="0" w:line="240" w:lineRule="auto"/>
      </w:pPr>
      <w:hyperlink r:id="rId19" w:history="1">
        <w:r w:rsidR="009517BA" w:rsidRPr="003F4916">
          <w:rPr>
            <w:rStyle w:val="Hyperlink"/>
          </w:rPr>
          <w:t xml:space="preserve">IEEE </w:t>
        </w:r>
        <w:proofErr w:type="spellStart"/>
        <w:r w:rsidR="009517BA" w:rsidRPr="003F4916">
          <w:rPr>
            <w:rStyle w:val="Hyperlink"/>
          </w:rPr>
          <w:t>Std</w:t>
        </w:r>
        <w:proofErr w:type="spellEnd"/>
        <w:r w:rsidR="009517BA" w:rsidRPr="003F4916">
          <w:rPr>
            <w:rStyle w:val="Hyperlink"/>
          </w:rPr>
          <w:t xml:space="preserve"> 802.3br</w:t>
        </w:r>
      </w:hyperlink>
      <w:r w:rsidR="009517BA" w:rsidRPr="00960CC6">
        <w:t xml:space="preserve"> Interspersing Express Traffic</w:t>
      </w:r>
    </w:p>
    <w:p w14:paraId="7F5FA532" w14:textId="77777777" w:rsidR="009517BA" w:rsidRPr="00960CC6" w:rsidRDefault="009517BA" w:rsidP="009517BA">
      <w:pPr>
        <w:pStyle w:val="ListParagraph"/>
      </w:pPr>
      <w:r w:rsidRPr="00960CC6">
        <w:t xml:space="preserve">Provide for interrupting a packet one or more times, after it has started transmission, </w:t>
      </w:r>
      <w:proofErr w:type="gramStart"/>
      <w:r w:rsidRPr="00960CC6">
        <w:t>in order to</w:t>
      </w:r>
      <w:proofErr w:type="gramEnd"/>
      <w:r w:rsidRPr="00960CC6">
        <w:t xml:space="preserve"> transmit packets with more immediate requirements for low latency.  Only one packet can be interrupted.</w:t>
      </w:r>
    </w:p>
    <w:p w14:paraId="13517CC8" w14:textId="77777777" w:rsidR="009517BA" w:rsidRPr="00960CC6" w:rsidRDefault="002477BD" w:rsidP="009517BA">
      <w:pPr>
        <w:pStyle w:val="ListParagraph"/>
        <w:numPr>
          <w:ilvl w:val="0"/>
          <w:numId w:val="11"/>
        </w:numPr>
        <w:spacing w:after="0" w:line="240" w:lineRule="auto"/>
      </w:pPr>
      <w:hyperlink r:id="rId20" w:history="1">
        <w:r w:rsidR="009517BA" w:rsidRPr="00960CC6">
          <w:rPr>
            <w:rStyle w:val="Hyperlink"/>
          </w:rPr>
          <w:t>P802.1Qcc</w:t>
        </w:r>
      </w:hyperlink>
      <w:r w:rsidR="009517BA" w:rsidRPr="00960CC6">
        <w:t> Stream Reservation Protocol (SRP) Enhancements and Performance Improvements</w:t>
      </w:r>
    </w:p>
    <w:p w14:paraId="382CC3D2" w14:textId="77777777" w:rsidR="009517BA" w:rsidRPr="00960CC6" w:rsidRDefault="009517BA" w:rsidP="009517BA">
      <w:pPr>
        <w:pStyle w:val="ListParagraph"/>
      </w:pPr>
      <w:r w:rsidRPr="00960CC6">
        <w:t>Provides the parameters for resource reservation required by the queuing algorithms that have been developed since 802.1Qav.  (six months from completion)</w:t>
      </w:r>
    </w:p>
    <w:p w14:paraId="28612DDA" w14:textId="77777777" w:rsidR="009517BA" w:rsidRPr="00960CC6" w:rsidRDefault="002477BD" w:rsidP="009517BA">
      <w:pPr>
        <w:pStyle w:val="ListParagraph"/>
        <w:numPr>
          <w:ilvl w:val="0"/>
          <w:numId w:val="11"/>
        </w:numPr>
        <w:spacing w:after="0" w:line="240" w:lineRule="auto"/>
      </w:pPr>
      <w:hyperlink r:id="rId21"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hyperlink>
      <w:r w:rsidR="009517BA" w:rsidRPr="00960CC6">
        <w:t> Enhancements for Scheduled Traffic</w:t>
      </w:r>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77777777" w:rsidR="009517BA" w:rsidRPr="00960CC6" w:rsidRDefault="002477BD" w:rsidP="009517BA">
      <w:pPr>
        <w:pStyle w:val="ListParagraph"/>
        <w:numPr>
          <w:ilvl w:val="0"/>
          <w:numId w:val="11"/>
        </w:numPr>
        <w:spacing w:after="0" w:line="240" w:lineRule="auto"/>
      </w:pPr>
      <w:hyperlink r:id="rId22" w:history="1">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802.1Qca-2015</w:t>
        </w:r>
      </w:hyperlink>
      <w:r w:rsidR="009517BA" w:rsidRPr="00960CC6">
        <w:t> Path Control and Reservation</w:t>
      </w:r>
    </w:p>
    <w:p w14:paraId="4A2F8E05" w14:textId="77777777" w:rsidR="009517BA" w:rsidRPr="00960CC6" w:rsidRDefault="009517BA" w:rsidP="009517BA">
      <w:pPr>
        <w:ind w:left="720"/>
      </w:pPr>
      <w:r w:rsidRPr="00960CC6">
        <w:t>Enhances the ISIS protocol used by 802.1Q-2014 to support the creation of the multiple paths required for P802.1CB.</w:t>
      </w:r>
    </w:p>
    <w:p w14:paraId="1D6829E3" w14:textId="77777777" w:rsidR="009517BA" w:rsidRPr="00960CC6" w:rsidRDefault="002477BD" w:rsidP="009517BA">
      <w:pPr>
        <w:pStyle w:val="ListParagraph"/>
        <w:numPr>
          <w:ilvl w:val="0"/>
          <w:numId w:val="11"/>
        </w:numPr>
        <w:spacing w:after="0" w:line="240" w:lineRule="auto"/>
      </w:pPr>
      <w:hyperlink r:id="rId23" w:history="1">
        <w:r w:rsidR="009517BA" w:rsidRPr="00960CC6">
          <w:rPr>
            <w:rStyle w:val="Hyperlink"/>
          </w:rPr>
          <w:t>P802.1Qch</w:t>
        </w:r>
      </w:hyperlink>
      <w:r w:rsidR="009517BA" w:rsidRPr="00960CC6">
        <w:t> Cyclic Queuing and Forwarding</w:t>
      </w:r>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77777777" w:rsidR="009517BA" w:rsidRPr="00960CC6" w:rsidRDefault="002477BD" w:rsidP="009517BA">
      <w:pPr>
        <w:pStyle w:val="ListParagraph"/>
        <w:numPr>
          <w:ilvl w:val="0"/>
          <w:numId w:val="11"/>
        </w:numPr>
        <w:spacing w:after="0" w:line="240" w:lineRule="auto"/>
      </w:pPr>
      <w:hyperlink r:id="rId24" w:history="1">
        <w:r w:rsidR="009517BA" w:rsidRPr="00960CC6">
          <w:rPr>
            <w:rStyle w:val="Hyperlink"/>
          </w:rPr>
          <w:t>P802.1Qci</w:t>
        </w:r>
      </w:hyperlink>
      <w:r w:rsidR="009517BA" w:rsidRPr="00960CC6">
        <w:t> Per-Stream Filtering and Policing</w:t>
      </w:r>
    </w:p>
    <w:p w14:paraId="77F54A44" w14:textId="77777777"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  (complete)</w:t>
      </w:r>
    </w:p>
    <w:p w14:paraId="182F0772" w14:textId="77777777" w:rsidR="009517BA" w:rsidRPr="00960CC6" w:rsidRDefault="002477BD" w:rsidP="009517BA">
      <w:pPr>
        <w:pStyle w:val="ListParagraph"/>
        <w:numPr>
          <w:ilvl w:val="0"/>
          <w:numId w:val="11"/>
        </w:numPr>
        <w:spacing w:after="0" w:line="240" w:lineRule="auto"/>
      </w:pPr>
      <w:hyperlink r:id="rId25" w:history="1">
        <w:r w:rsidR="009517BA" w:rsidRPr="00960CC6">
          <w:rPr>
            <w:rStyle w:val="Hyperlink"/>
          </w:rPr>
          <w:t>P802.1CM</w:t>
        </w:r>
      </w:hyperlink>
      <w:r w:rsidR="009517BA" w:rsidRPr="00960CC6">
        <w:t xml:space="preserve"> Time-Sensitive Networking for Fronthaul</w:t>
      </w:r>
    </w:p>
    <w:p w14:paraId="5F3D6AD1" w14:textId="77777777" w:rsidR="009517BA" w:rsidRPr="00960CC6" w:rsidRDefault="009517BA" w:rsidP="009517BA">
      <w:pPr>
        <w:ind w:left="720"/>
      </w:pPr>
      <w:r w:rsidRPr="00960CC6">
        <w:t>A profile document showing how to use the TSN capabilities to serve the cellular fronthaul market.  (six months from completion)</w:t>
      </w:r>
    </w:p>
    <w:p w14:paraId="5237BBED" w14:textId="77777777" w:rsidR="009517BA" w:rsidRPr="00960CC6" w:rsidRDefault="002477BD" w:rsidP="009517BA">
      <w:pPr>
        <w:pStyle w:val="ListParagraph"/>
        <w:numPr>
          <w:ilvl w:val="0"/>
          <w:numId w:val="11"/>
        </w:numPr>
        <w:spacing w:after="0" w:line="240" w:lineRule="auto"/>
      </w:pPr>
      <w:hyperlink r:id="rId26" w:history="1">
        <w:r w:rsidR="009517BA" w:rsidRPr="00960CC6">
          <w:rPr>
            <w:rStyle w:val="Hyperlink"/>
          </w:rPr>
          <w:t>P802.1Qcr</w:t>
        </w:r>
      </w:hyperlink>
      <w:r w:rsidR="009517BA" w:rsidRPr="00960CC6">
        <w:t> Asynchronous Traffic Shaping</w:t>
      </w:r>
    </w:p>
    <w:p w14:paraId="3F31516F" w14:textId="77777777" w:rsidR="009517BA" w:rsidRPr="00960CC6" w:rsidRDefault="009517BA" w:rsidP="009517BA">
      <w:pPr>
        <w:ind w:left="720"/>
      </w:pPr>
      <w:r w:rsidRPr="00960CC6">
        <w:t>A queue-draining technique that does not require the synchronized buffering of 802.1Qch, but gives deterministic results, unlike 802.1Qav.  There are two contending techniques for this standard.  (one year from completion)</w:t>
      </w: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proofErr w:type="gramStart"/>
      <w:r>
        <w:t>As yet</w:t>
      </w:r>
      <w:proofErr w:type="gramEnd"/>
      <w:r>
        <w:t xml:space="preserve">, there are no RFCs or Standards from the IETF Deterministic Networking (DetNet) working group.  Internet drafts are works in progress, and quickly become out-of-date.  See the </w:t>
      </w:r>
      <w:hyperlink r:id="rId27"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lastRenderedPageBreak/>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2477BD" w:rsidP="009517BA">
      <w:pPr>
        <w:pStyle w:val="ListParagraph"/>
        <w:numPr>
          <w:ilvl w:val="0"/>
          <w:numId w:val="12"/>
        </w:numPr>
        <w:spacing w:after="0" w:line="240" w:lineRule="auto"/>
      </w:pPr>
      <w:hyperlink r:id="rId28"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2477BD" w:rsidP="009517BA">
      <w:pPr>
        <w:pStyle w:val="ListParagraph"/>
        <w:numPr>
          <w:ilvl w:val="0"/>
          <w:numId w:val="12"/>
        </w:numPr>
        <w:spacing w:after="0" w:line="240" w:lineRule="auto"/>
      </w:pPr>
      <w:hyperlink r:id="rId29"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2477BD" w:rsidP="009517BA">
      <w:pPr>
        <w:pStyle w:val="ListParagraph"/>
        <w:numPr>
          <w:ilvl w:val="0"/>
          <w:numId w:val="12"/>
        </w:numPr>
        <w:spacing w:after="0" w:line="240" w:lineRule="auto"/>
      </w:pPr>
      <w:hyperlink r:id="rId30"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2477BD" w:rsidP="009517BA">
      <w:pPr>
        <w:pStyle w:val="ListParagraph"/>
        <w:numPr>
          <w:ilvl w:val="0"/>
          <w:numId w:val="12"/>
        </w:numPr>
        <w:spacing w:after="0" w:line="240" w:lineRule="auto"/>
      </w:pPr>
      <w:hyperlink r:id="rId31"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 xml:space="preserve">Discusses possibilities for the DetNet data plane, so that paths can be nailed </w:t>
      </w:r>
      <w:proofErr w:type="gramStart"/>
      <w:r>
        <w:t>down</w:t>
      </w:r>
      <w:proofErr w:type="gramEnd"/>
      <w:r>
        <w:t xml:space="preserve"> and sequence numbers attached to packets.</w:t>
      </w:r>
    </w:p>
    <w:p w14:paraId="66BB1404" w14:textId="77777777" w:rsidR="009517BA" w:rsidRDefault="002477BD" w:rsidP="009517BA">
      <w:pPr>
        <w:pStyle w:val="ListParagraph"/>
        <w:numPr>
          <w:ilvl w:val="0"/>
          <w:numId w:val="12"/>
        </w:numPr>
        <w:spacing w:after="0" w:line="240" w:lineRule="auto"/>
      </w:pPr>
      <w:hyperlink r:id="rId32"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2477BD" w:rsidP="009517BA">
      <w:pPr>
        <w:pStyle w:val="ListParagraph"/>
        <w:numPr>
          <w:ilvl w:val="0"/>
          <w:numId w:val="12"/>
        </w:numPr>
        <w:spacing w:after="0" w:line="240" w:lineRule="auto"/>
      </w:pPr>
      <w:hyperlink r:id="rId33"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7" w:name="_Ref478841859"/>
      <w:r>
        <w:t>Other relevant standards</w:t>
      </w:r>
      <w:bookmarkEnd w:id="7"/>
    </w:p>
    <w:p w14:paraId="4EC0E782" w14:textId="77777777" w:rsidR="009517BA" w:rsidRDefault="009517BA" w:rsidP="009517BA"/>
    <w:p w14:paraId="597E3F2A" w14:textId="77777777" w:rsidR="009517BA" w:rsidRDefault="002477BD" w:rsidP="009517BA">
      <w:pPr>
        <w:pStyle w:val="ListParagraph"/>
        <w:numPr>
          <w:ilvl w:val="0"/>
          <w:numId w:val="13"/>
        </w:numPr>
        <w:spacing w:after="0" w:line="240" w:lineRule="auto"/>
      </w:pPr>
      <w:hyperlink r:id="rId34"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2477BD" w:rsidP="009517BA">
      <w:pPr>
        <w:pStyle w:val="ListParagraph"/>
        <w:numPr>
          <w:ilvl w:val="0"/>
          <w:numId w:val="13"/>
        </w:numPr>
        <w:spacing w:after="0" w:line="240" w:lineRule="auto"/>
      </w:pPr>
      <w:hyperlink r:id="rId35"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619E0E7E" w14:textId="02049EB1" w:rsidR="00477AAC" w:rsidRDefault="00477AAC" w:rsidP="00DE7127">
      <w:pPr>
        <w:pStyle w:val="ListParagraph"/>
        <w:numPr>
          <w:ilvl w:val="0"/>
          <w:numId w:val="13"/>
        </w:numPr>
        <w:tabs>
          <w:tab w:val="left" w:pos="0"/>
        </w:tabs>
      </w:pPr>
      <w:r>
        <w:t xml:space="preserve">Draft IEC </w:t>
      </w:r>
      <w:r w:rsidR="00D24303">
        <w:t xml:space="preserve">TR </w:t>
      </w:r>
      <w:r>
        <w:t>61850-90-1</w:t>
      </w:r>
      <w:r w:rsidR="005C29CD">
        <w:t xml:space="preserve">3: </w:t>
      </w:r>
      <w:r w:rsidR="005C29CD" w:rsidRPr="005C29CD">
        <w:t>Communication networks and systems for power utility automation – Part 90-13: Deterministic Networking Technologies</w:t>
      </w:r>
      <w:r w:rsidR="00D24303">
        <w:br/>
      </w:r>
      <w:r>
        <w:t xml:space="preserve">This Technical Report, currently in development, </w:t>
      </w:r>
      <w:r w:rsidR="005C29CD">
        <w:t>addresses deterministic network technologies to prepare the usage as a part of the IEC 61850 communication architecture.</w:t>
      </w:r>
      <w:r w:rsidR="00AF40CE">
        <w:t xml:space="preserve"> The document will make use of the IEEE 802.1TSN toolbox as well as of IETF DetNet specifications.</w:t>
      </w:r>
    </w:p>
    <w:p w14:paraId="1C4886CC" w14:textId="5E947B2C" w:rsidR="00D24303" w:rsidRDefault="002477BD" w:rsidP="00DE7127">
      <w:pPr>
        <w:pStyle w:val="ListParagraph"/>
        <w:numPr>
          <w:ilvl w:val="0"/>
          <w:numId w:val="13"/>
        </w:numPr>
        <w:tabs>
          <w:tab w:val="left" w:pos="0"/>
        </w:tabs>
      </w:pPr>
      <w:hyperlink r:id="rId36" w:history="1">
        <w:r w:rsidR="00106CB5" w:rsidRPr="00EC6442">
          <w:rPr>
            <w:rStyle w:val="Hyperlink"/>
          </w:rPr>
          <w:t>IEC 61850-5</w:t>
        </w:r>
        <w:r w:rsidR="00E07E3A" w:rsidRPr="00EC6442">
          <w:rPr>
            <w:rStyle w:val="Hyperlink"/>
          </w:rPr>
          <w:t>:2013</w:t>
        </w:r>
      </w:hyperlink>
      <w:r w:rsidR="00E07E3A">
        <w:t xml:space="preserve"> - </w:t>
      </w:r>
      <w:r w:rsidR="00E07E3A" w:rsidRPr="00E07E3A">
        <w:t>Communication networks and systems for power utility automation - Part 5: Communication requirements for functions and device models</w:t>
      </w:r>
      <w:r w:rsidR="00D24303">
        <w:br/>
      </w:r>
      <w:r w:rsidR="00E07E3A">
        <w:t xml:space="preserve">This standard defines essential </w:t>
      </w:r>
      <w:r w:rsidR="00D24303">
        <w:t>system requirements for t</w:t>
      </w:r>
      <w:r w:rsidR="00D24303" w:rsidRPr="00D24303">
        <w:t>he communication between intelligent electronic devices (IEDs)</w:t>
      </w:r>
      <w:r w:rsidR="00D24303">
        <w:t>.</w:t>
      </w:r>
    </w:p>
    <w:p w14:paraId="24FA2FB0" w14:textId="38A74939" w:rsidR="00D24303" w:rsidRDefault="002477BD" w:rsidP="00DE7127">
      <w:pPr>
        <w:pStyle w:val="ListParagraph"/>
        <w:numPr>
          <w:ilvl w:val="0"/>
          <w:numId w:val="13"/>
        </w:numPr>
        <w:tabs>
          <w:tab w:val="left" w:pos="0"/>
        </w:tabs>
      </w:pPr>
      <w:hyperlink r:id="rId37" w:history="1">
        <w:r w:rsidR="00D24303" w:rsidRPr="00EC6442">
          <w:rPr>
            <w:rStyle w:val="Hyperlink"/>
          </w:rPr>
          <w:t>IEC TR 61850-90-12:2015</w:t>
        </w:r>
      </w:hyperlink>
      <w:r w:rsidR="00D24303">
        <w:t xml:space="preserve"> - </w:t>
      </w:r>
      <w:r w:rsidR="00D24303" w:rsidRPr="00D24303">
        <w:t>Communication networks and systems for power utility automation - Part 90-12: Wide area network engineering guidelines</w:t>
      </w:r>
      <w:r w:rsidR="00D24303">
        <w:br/>
        <w:t>This Technical Report comprises</w:t>
      </w:r>
      <w:r w:rsidR="00D24303" w:rsidRPr="00D24303">
        <w:t xml:space="preserve"> definitions, guidelin</w:t>
      </w:r>
      <w:r w:rsidR="00D24303">
        <w:t xml:space="preserve">es, and recommendations for configuration and engineering of WANs used </w:t>
      </w:r>
      <w:r w:rsidR="00D24303" w:rsidRPr="00D24303">
        <w:t xml:space="preserve">for protection, control and monitoring </w:t>
      </w:r>
      <w:r w:rsidR="00D24303">
        <w:t>of IEC 61850-based systems.</w:t>
      </w:r>
    </w:p>
    <w:p w14:paraId="27447F94" w14:textId="1714C393" w:rsidR="00477AAC" w:rsidRDefault="002477BD" w:rsidP="00DE7127">
      <w:pPr>
        <w:pStyle w:val="ListParagraph"/>
        <w:numPr>
          <w:ilvl w:val="0"/>
          <w:numId w:val="13"/>
        </w:numPr>
        <w:tabs>
          <w:tab w:val="left" w:pos="0"/>
        </w:tabs>
      </w:pPr>
      <w:hyperlink r:id="rId38" w:history="1">
        <w:r w:rsidR="00477AAC" w:rsidRPr="00EC6442">
          <w:rPr>
            <w:rStyle w:val="Hyperlink"/>
          </w:rPr>
          <w:t>IEC 62351-7: 2017</w:t>
        </w:r>
      </w:hyperlink>
      <w:r w:rsidR="00477AAC">
        <w:t xml:space="preserve"> - </w:t>
      </w:r>
      <w:r w:rsidR="00477AAC" w:rsidRPr="00477AAC">
        <w:t>Power systems management and associated information exchange - Data and communications security - Part 7: Network and System Management (NSM) data object models</w:t>
      </w:r>
      <w:r w:rsidR="00D24303">
        <w:br/>
      </w:r>
      <w:r w:rsidR="00477AAC">
        <w:t xml:space="preserve">This standard </w:t>
      </w:r>
      <w:r w:rsidR="00477AAC" w:rsidRPr="00477AAC">
        <w:t>defines network and system management (NSM) data o</w:t>
      </w:r>
      <w:r w:rsidR="00477AAC">
        <w:t xml:space="preserve">bject models that </w:t>
      </w:r>
      <w:r w:rsidR="00845FE2">
        <w:t xml:space="preserve">are </w:t>
      </w:r>
      <w:r w:rsidR="00477AAC" w:rsidRPr="00477AAC">
        <w:t>specific to power system operations.</w:t>
      </w:r>
      <w:r w:rsidR="00477AAC">
        <w:t xml:space="preserve"> The data is used to detect </w:t>
      </w:r>
      <w:r w:rsidR="00477AAC" w:rsidRPr="00477AAC">
        <w:t>security intrusions, and to manage the performance and r</w:t>
      </w:r>
      <w:r w:rsidR="00477AAC">
        <w:t xml:space="preserve">eliability of the </w:t>
      </w:r>
      <w:r w:rsidR="00845FE2">
        <w:t xml:space="preserve">communication and automation </w:t>
      </w:r>
      <w:r w:rsidR="00477AAC" w:rsidRPr="00477AAC">
        <w:t>infrastructure.</w:t>
      </w:r>
    </w:p>
    <w:p w14:paraId="0785391A" w14:textId="1AF5BE00" w:rsidR="00790E95" w:rsidRDefault="00790E95"/>
    <w:sectPr w:rsidR="00790E95">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B2A5D" w14:textId="77777777" w:rsidR="002477BD" w:rsidRDefault="002477BD" w:rsidP="00A619FD">
      <w:pPr>
        <w:spacing w:after="0" w:line="240" w:lineRule="auto"/>
      </w:pPr>
      <w:r>
        <w:separator/>
      </w:r>
    </w:p>
  </w:endnote>
  <w:endnote w:type="continuationSeparator" w:id="0">
    <w:p w14:paraId="6B61D101" w14:textId="77777777" w:rsidR="002477BD" w:rsidRDefault="002477BD"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D919" w14:textId="4426F041" w:rsidR="002C6AA1" w:rsidRDefault="002C6AA1">
    <w:pPr>
      <w:pStyle w:val="Footer"/>
    </w:pPr>
    <w:sdt>
      <w:sdtPr>
        <w:id w:val="10060207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r>
      <w:rPr>
        <w:noProof/>
      </w:rPr>
      <w:tab/>
    </w:r>
    <w:r w:rsidRPr="002C6AA1">
      <w:rPr>
        <w:noProof/>
      </w:rPr>
      <w:t>Utility Applications of Time Sensitive Networking White Paper (D1)</w:t>
    </w:r>
  </w:p>
  <w:p w14:paraId="2D661223" w14:textId="14803603" w:rsidR="002C6AA1" w:rsidRDefault="002C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38C3" w14:textId="77777777" w:rsidR="002477BD" w:rsidRDefault="002477BD" w:rsidP="00A619FD">
      <w:pPr>
        <w:spacing w:after="0" w:line="240" w:lineRule="auto"/>
      </w:pPr>
      <w:r>
        <w:separator/>
      </w:r>
    </w:p>
  </w:footnote>
  <w:footnote w:type="continuationSeparator" w:id="0">
    <w:p w14:paraId="3EBDCC80" w14:textId="77777777" w:rsidR="002477BD" w:rsidRDefault="002477BD" w:rsidP="00A619FD">
      <w:pPr>
        <w:spacing w:after="0" w:line="240" w:lineRule="auto"/>
      </w:pPr>
      <w:r>
        <w:continuationSeparator/>
      </w:r>
    </w:p>
  </w:footnote>
  <w:footnote w:id="1">
    <w:p w14:paraId="0C202C23" w14:textId="77777777" w:rsidR="00A677E3" w:rsidRDefault="00A677E3"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A677E3" w:rsidRDefault="00A677E3" w:rsidP="00790E95">
      <w:r>
        <w:rPr>
          <w:rStyle w:val="FootnoteReference"/>
        </w:rPr>
        <w:footnoteRef/>
      </w:r>
      <w:r>
        <w:t xml:space="preserve"> “Too much” has no fixed definition.  IEEE 802.1 has used 75% as a design goal for the upper limit to the proportion of traffic that is Deterministic.</w:t>
      </w:r>
    </w:p>
  </w:footnote>
  <w:footnote w:id="3">
    <w:p w14:paraId="2F31C387" w14:textId="0FB05E0C" w:rsidR="001D66A4" w:rsidRDefault="001D66A4">
      <w:pPr>
        <w:pStyle w:val="FootnoteText"/>
      </w:pPr>
      <w:r>
        <w:rPr>
          <w:rStyle w:val="FootnoteReference"/>
        </w:rPr>
        <w:footnoteRef/>
      </w:r>
      <w:r>
        <w:t xml:space="preserve"> </w:t>
      </w:r>
      <w:r w:rsidRPr="001D66A4">
        <w:t>https://tools.ietf.org/id/draft-ietf-detnet-architecture-05.html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1A042E36" w:rsidR="00A677E3" w:rsidRDefault="0073482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September 2018</w:t>
    </w:r>
    <w:r w:rsidR="00A677E3">
      <w:rPr>
        <w:b/>
        <w:sz w:val="28"/>
      </w:rPr>
      <w:tab/>
    </w:r>
    <w:r w:rsidR="00A677E3">
      <w:rPr>
        <w:b/>
        <w:sz w:val="28"/>
      </w:rPr>
      <w:tab/>
      <w:t xml:space="preserve"> IEEE P802.</w:t>
    </w:r>
    <w:fldSimple w:instr=" DOCPROPERTY &quot;Category&quot;  \* MERGEFORMAT ">
      <w:r w:rsidR="00A677E3" w:rsidRPr="009D6283">
        <w:rPr>
          <w:b/>
          <w:sz w:val="28"/>
        </w:rPr>
        <w:t>24-</w:t>
      </w:r>
      <w:r w:rsidRPr="009D6283">
        <w:rPr>
          <w:b/>
          <w:sz w:val="28"/>
        </w:rPr>
        <w:t>1</w:t>
      </w:r>
      <w:r>
        <w:rPr>
          <w:b/>
          <w:sz w:val="28"/>
        </w:rPr>
        <w:t>8</w:t>
      </w:r>
      <w:r w:rsidR="00A677E3" w:rsidRPr="009D6283">
        <w:rPr>
          <w:b/>
          <w:sz w:val="28"/>
        </w:rPr>
        <w:t>-</w:t>
      </w:r>
      <w:r w:rsidRPr="009D6283">
        <w:rPr>
          <w:b/>
          <w:sz w:val="28"/>
        </w:rPr>
        <w:t>00</w:t>
      </w:r>
      <w:r>
        <w:rPr>
          <w:b/>
          <w:sz w:val="28"/>
        </w:rPr>
        <w:t>22</w:t>
      </w:r>
      <w:r w:rsidR="00A677E3" w:rsidRPr="009D6283">
        <w:rPr>
          <w:b/>
          <w:sz w:val="28"/>
        </w:rPr>
        <w:t>-</w:t>
      </w:r>
      <w:r>
        <w:rPr>
          <w:b/>
          <w:sz w:val="28"/>
        </w:rPr>
        <w:t>00</w:t>
      </w:r>
      <w:r w:rsidR="00A677E3" w:rsidRPr="009D6283">
        <w:rPr>
          <w:b/>
          <w:sz w:val="28"/>
        </w:rPr>
        <w:t>-SGTG</w:t>
      </w:r>
    </w:fldSimple>
  </w:p>
  <w:p w14:paraId="3CA0BCC8" w14:textId="77777777" w:rsidR="00A677E3" w:rsidRDefault="00A67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BBB6D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0E7132"/>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6"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46DA"/>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5"/>
  </w:num>
  <w:num w:numId="5">
    <w:abstractNumId w:val="11"/>
  </w:num>
  <w:num w:numId="6">
    <w:abstractNumId w:val="1"/>
  </w:num>
  <w:num w:numId="7">
    <w:abstractNumId w:val="13"/>
  </w:num>
  <w:num w:numId="8">
    <w:abstractNumId w:val="5"/>
  </w:num>
  <w:num w:numId="9">
    <w:abstractNumId w:val="16"/>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7"/>
  </w:num>
  <w:num w:numId="17">
    <w:abstractNumId w:val="12"/>
  </w:num>
  <w:num w:numId="18">
    <w:abstractNumId w:val="20"/>
  </w:num>
  <w:num w:numId="19">
    <w:abstractNumId w:val="2"/>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87F"/>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D7D87"/>
    <w:rsid w:val="000E7A15"/>
    <w:rsid w:val="000F5D3F"/>
    <w:rsid w:val="00106CB5"/>
    <w:rsid w:val="00121408"/>
    <w:rsid w:val="00123CC2"/>
    <w:rsid w:val="0014006A"/>
    <w:rsid w:val="00140388"/>
    <w:rsid w:val="00141B90"/>
    <w:rsid w:val="001508C0"/>
    <w:rsid w:val="0015169A"/>
    <w:rsid w:val="00167FCA"/>
    <w:rsid w:val="00170727"/>
    <w:rsid w:val="00176293"/>
    <w:rsid w:val="001767F6"/>
    <w:rsid w:val="00193045"/>
    <w:rsid w:val="001A0BB2"/>
    <w:rsid w:val="001A44A7"/>
    <w:rsid w:val="001A547D"/>
    <w:rsid w:val="001A66F7"/>
    <w:rsid w:val="001B09B4"/>
    <w:rsid w:val="001B4EE1"/>
    <w:rsid w:val="001C482F"/>
    <w:rsid w:val="001C6576"/>
    <w:rsid w:val="001D3E47"/>
    <w:rsid w:val="001D6013"/>
    <w:rsid w:val="001D66A4"/>
    <w:rsid w:val="001E3DBC"/>
    <w:rsid w:val="001E5D75"/>
    <w:rsid w:val="001E6FA4"/>
    <w:rsid w:val="00210B6A"/>
    <w:rsid w:val="002244F1"/>
    <w:rsid w:val="00225F31"/>
    <w:rsid w:val="002339E1"/>
    <w:rsid w:val="00234E37"/>
    <w:rsid w:val="0023602A"/>
    <w:rsid w:val="002477BD"/>
    <w:rsid w:val="00254BBC"/>
    <w:rsid w:val="002636FC"/>
    <w:rsid w:val="00274314"/>
    <w:rsid w:val="00290810"/>
    <w:rsid w:val="00292C48"/>
    <w:rsid w:val="002B1442"/>
    <w:rsid w:val="002B4C3C"/>
    <w:rsid w:val="002C6AA1"/>
    <w:rsid w:val="002D34AB"/>
    <w:rsid w:val="002E0AD4"/>
    <w:rsid w:val="0030045B"/>
    <w:rsid w:val="003063EF"/>
    <w:rsid w:val="00317174"/>
    <w:rsid w:val="00324309"/>
    <w:rsid w:val="00324ED9"/>
    <w:rsid w:val="003326EE"/>
    <w:rsid w:val="003354F9"/>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D63FE"/>
    <w:rsid w:val="003F4916"/>
    <w:rsid w:val="0041479A"/>
    <w:rsid w:val="004248A0"/>
    <w:rsid w:val="00432401"/>
    <w:rsid w:val="00441921"/>
    <w:rsid w:val="00453BB8"/>
    <w:rsid w:val="00460722"/>
    <w:rsid w:val="00477AAC"/>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5F01"/>
    <w:rsid w:val="005C29CD"/>
    <w:rsid w:val="005C3E79"/>
    <w:rsid w:val="005C45D8"/>
    <w:rsid w:val="005F36E9"/>
    <w:rsid w:val="005F61DC"/>
    <w:rsid w:val="005F6D3E"/>
    <w:rsid w:val="0060152A"/>
    <w:rsid w:val="00607BFC"/>
    <w:rsid w:val="00626DF8"/>
    <w:rsid w:val="0065695C"/>
    <w:rsid w:val="0065701D"/>
    <w:rsid w:val="00667A34"/>
    <w:rsid w:val="00670030"/>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34829"/>
    <w:rsid w:val="00756FD6"/>
    <w:rsid w:val="00761F85"/>
    <w:rsid w:val="00781816"/>
    <w:rsid w:val="00784CC8"/>
    <w:rsid w:val="00790E95"/>
    <w:rsid w:val="00794C7C"/>
    <w:rsid w:val="007D207E"/>
    <w:rsid w:val="007D6E1C"/>
    <w:rsid w:val="007E3108"/>
    <w:rsid w:val="007F7EC1"/>
    <w:rsid w:val="0080154D"/>
    <w:rsid w:val="00830335"/>
    <w:rsid w:val="00831308"/>
    <w:rsid w:val="0083343D"/>
    <w:rsid w:val="00835F40"/>
    <w:rsid w:val="008403A3"/>
    <w:rsid w:val="00840D4E"/>
    <w:rsid w:val="00845FE2"/>
    <w:rsid w:val="00851879"/>
    <w:rsid w:val="0085208E"/>
    <w:rsid w:val="008578B8"/>
    <w:rsid w:val="008638DB"/>
    <w:rsid w:val="00873197"/>
    <w:rsid w:val="00877F0F"/>
    <w:rsid w:val="00877FEB"/>
    <w:rsid w:val="0089119D"/>
    <w:rsid w:val="00894E6F"/>
    <w:rsid w:val="008B1885"/>
    <w:rsid w:val="008B784B"/>
    <w:rsid w:val="008C416D"/>
    <w:rsid w:val="008D7130"/>
    <w:rsid w:val="008E007D"/>
    <w:rsid w:val="008E1945"/>
    <w:rsid w:val="008E5022"/>
    <w:rsid w:val="008F179E"/>
    <w:rsid w:val="00904FC8"/>
    <w:rsid w:val="00916EA6"/>
    <w:rsid w:val="00916F29"/>
    <w:rsid w:val="00920E56"/>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619FD"/>
    <w:rsid w:val="00A66D1D"/>
    <w:rsid w:val="00A677E3"/>
    <w:rsid w:val="00A776A8"/>
    <w:rsid w:val="00A87A4C"/>
    <w:rsid w:val="00A92147"/>
    <w:rsid w:val="00A9599A"/>
    <w:rsid w:val="00A96D16"/>
    <w:rsid w:val="00AC27E2"/>
    <w:rsid w:val="00AD0A83"/>
    <w:rsid w:val="00AD287F"/>
    <w:rsid w:val="00AF40CE"/>
    <w:rsid w:val="00AF532C"/>
    <w:rsid w:val="00B01853"/>
    <w:rsid w:val="00B02DE2"/>
    <w:rsid w:val="00B04DFA"/>
    <w:rsid w:val="00B15801"/>
    <w:rsid w:val="00B17C86"/>
    <w:rsid w:val="00B20EA6"/>
    <w:rsid w:val="00B271FE"/>
    <w:rsid w:val="00B37FED"/>
    <w:rsid w:val="00B51FA5"/>
    <w:rsid w:val="00B57A5F"/>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216FC"/>
    <w:rsid w:val="00D24303"/>
    <w:rsid w:val="00D50980"/>
    <w:rsid w:val="00D52A80"/>
    <w:rsid w:val="00D557AA"/>
    <w:rsid w:val="00D57444"/>
    <w:rsid w:val="00D67333"/>
    <w:rsid w:val="00D72280"/>
    <w:rsid w:val="00D7699F"/>
    <w:rsid w:val="00D77AA3"/>
    <w:rsid w:val="00D77FA1"/>
    <w:rsid w:val="00D84DC8"/>
    <w:rsid w:val="00D85A74"/>
    <w:rsid w:val="00D9135E"/>
    <w:rsid w:val="00D9237F"/>
    <w:rsid w:val="00D94BD1"/>
    <w:rsid w:val="00D95A93"/>
    <w:rsid w:val="00DA3C53"/>
    <w:rsid w:val="00DA7DE2"/>
    <w:rsid w:val="00DD1A8A"/>
    <w:rsid w:val="00DD569E"/>
    <w:rsid w:val="00DE7127"/>
    <w:rsid w:val="00DE762B"/>
    <w:rsid w:val="00DF60DA"/>
    <w:rsid w:val="00E06B30"/>
    <w:rsid w:val="00E07E3A"/>
    <w:rsid w:val="00E107E4"/>
    <w:rsid w:val="00E15D60"/>
    <w:rsid w:val="00E174C9"/>
    <w:rsid w:val="00E24EAE"/>
    <w:rsid w:val="00E24EFF"/>
    <w:rsid w:val="00E24FC5"/>
    <w:rsid w:val="00E270B5"/>
    <w:rsid w:val="00E27135"/>
    <w:rsid w:val="00E330F8"/>
    <w:rsid w:val="00E47879"/>
    <w:rsid w:val="00E83F45"/>
    <w:rsid w:val="00EA0466"/>
    <w:rsid w:val="00EA4E6A"/>
    <w:rsid w:val="00EB4589"/>
    <w:rsid w:val="00EC6442"/>
    <w:rsid w:val="00ED2F5F"/>
    <w:rsid w:val="00ED7190"/>
    <w:rsid w:val="00EE445D"/>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A2B"/>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96F9B19A-374A-4B23-93F0-948E933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1">
    <w:name w:val="Unresolved Mention1"/>
    <w:basedOn w:val="DefaultParagraphFont"/>
    <w:uiPriority w:val="99"/>
    <w:semiHidden/>
    <w:unhideWhenUsed/>
    <w:rsid w:val="003F49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388917931">
      <w:bodyDiv w:val="1"/>
      <w:marLeft w:val="0"/>
      <w:marRight w:val="0"/>
      <w:marTop w:val="0"/>
      <w:marBottom w:val="0"/>
      <w:divBdr>
        <w:top w:val="none" w:sz="0" w:space="0" w:color="auto"/>
        <w:left w:val="none" w:sz="0" w:space="0" w:color="auto"/>
        <w:bottom w:val="none" w:sz="0" w:space="0" w:color="auto"/>
        <w:right w:val="none" w:sz="0" w:space="0" w:color="auto"/>
      </w:divBdr>
    </w:div>
    <w:div w:id="442850207">
      <w:bodyDiv w:val="1"/>
      <w:marLeft w:val="0"/>
      <w:marRight w:val="0"/>
      <w:marTop w:val="0"/>
      <w:marBottom w:val="0"/>
      <w:divBdr>
        <w:top w:val="none" w:sz="0" w:space="0" w:color="auto"/>
        <w:left w:val="none" w:sz="0" w:space="0" w:color="auto"/>
        <w:bottom w:val="none" w:sz="0" w:space="0" w:color="auto"/>
        <w:right w:val="none" w:sz="0" w:space="0" w:color="auto"/>
      </w:divBdr>
    </w:div>
    <w:div w:id="505440583">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2101450">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 w:id="1770734131">
      <w:bodyDiv w:val="1"/>
      <w:marLeft w:val="0"/>
      <w:marRight w:val="0"/>
      <w:marTop w:val="0"/>
      <w:marBottom w:val="0"/>
      <w:divBdr>
        <w:top w:val="none" w:sz="0" w:space="0" w:color="auto"/>
        <w:left w:val="none" w:sz="0" w:space="0" w:color="auto"/>
        <w:bottom w:val="none" w:sz="0" w:space="0" w:color="auto"/>
        <w:right w:val="none" w:sz="0" w:space="0" w:color="auto"/>
      </w:divBdr>
    </w:div>
    <w:div w:id="1845238080">
      <w:bodyDiv w:val="1"/>
      <w:marLeft w:val="0"/>
      <w:marRight w:val="0"/>
      <w:marTop w:val="0"/>
      <w:marBottom w:val="0"/>
      <w:divBdr>
        <w:top w:val="none" w:sz="0" w:space="0" w:color="auto"/>
        <w:left w:val="none" w:sz="0" w:space="0" w:color="auto"/>
        <w:bottom w:val="none" w:sz="0" w:space="0" w:color="auto"/>
        <w:right w:val="none" w:sz="0" w:space="0" w:color="auto"/>
      </w:divBdr>
    </w:div>
    <w:div w:id="1933008644">
      <w:bodyDiv w:val="1"/>
      <w:marLeft w:val="0"/>
      <w:marRight w:val="0"/>
      <w:marTop w:val="0"/>
      <w:marBottom w:val="0"/>
      <w:divBdr>
        <w:top w:val="none" w:sz="0" w:space="0" w:color="auto"/>
        <w:left w:val="none" w:sz="0" w:space="0" w:color="auto"/>
        <w:bottom w:val="none" w:sz="0" w:space="0" w:color="auto"/>
        <w:right w:val="none" w:sz="0" w:space="0" w:color="auto"/>
      </w:divBdr>
    </w:div>
    <w:div w:id="20969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 TargetMode="External"/><Relationship Id="rId13" Type="http://schemas.openxmlformats.org/officeDocument/2006/relationships/hyperlink" Target="http://standards.ieee.org/about/get/802/802.1.html" TargetMode="External"/><Relationship Id="rId18" Type="http://schemas.openxmlformats.org/officeDocument/2006/relationships/hyperlink" Target="http://standards.ieee.org/about/get/802/802.1.html" TargetMode="External"/><Relationship Id="rId26" Type="http://schemas.openxmlformats.org/officeDocument/2006/relationships/hyperlink" Target="http://www.ieee802.org/1/pages/802.1cr.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andards.ieee.org/about/get/802/802.1.html" TargetMode="External"/><Relationship Id="rId34" Type="http://schemas.openxmlformats.org/officeDocument/2006/relationships/hyperlink" Target="https://standards.ieee.org/findstds/standard/1588-2008.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about/get/802/802.1.html" TargetMode="External"/><Relationship Id="rId17" Type="http://schemas.openxmlformats.org/officeDocument/2006/relationships/hyperlink" Target="http://www.ieee802.org/1/pages/802.1cb.html" TargetMode="External"/><Relationship Id="rId25" Type="http://schemas.openxmlformats.org/officeDocument/2006/relationships/hyperlink" Target="http://www.ieee802.org/1/pages/802.1cm.html" TargetMode="External"/><Relationship Id="rId33" Type="http://schemas.openxmlformats.org/officeDocument/2006/relationships/hyperlink" Target="https://datatracker.ietf.org/doc/html/draft-sdt-detnet-security" TargetMode="External"/><Relationship Id="rId38" Type="http://schemas.openxmlformats.org/officeDocument/2006/relationships/hyperlink" Target="https://webstore.iec.ch/publication/30593" TargetMode="External"/><Relationship Id="rId2" Type="http://schemas.openxmlformats.org/officeDocument/2006/relationships/numbering" Target="numbering.xml"/><Relationship Id="rId16" Type="http://schemas.openxmlformats.org/officeDocument/2006/relationships/hyperlink" Target="http://www.ieee802.org/1/pages/802.1AS-rev.html" TargetMode="External"/><Relationship Id="rId20" Type="http://schemas.openxmlformats.org/officeDocument/2006/relationships/hyperlink" Target="http://www.ieee802.org/1/pages/802.1cc.html" TargetMode="External"/><Relationship Id="rId29" Type="http://schemas.openxmlformats.org/officeDocument/2006/relationships/hyperlink" Target="https://datatracker.ietf.org/doc/html/draft-ietf-detnet-use-cas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files/private/" TargetMode="External"/><Relationship Id="rId24" Type="http://schemas.openxmlformats.org/officeDocument/2006/relationships/hyperlink" Target="http://www.ieee802.org/1/pages/802.1ci.html" TargetMode="External"/><Relationship Id="rId32" Type="http://schemas.openxmlformats.org/officeDocument/2006/relationships/hyperlink" Target="https://datatracker.ietf.org/doc/html/draft-dt-detnet-dp-sol" TargetMode="External"/><Relationship Id="rId37" Type="http://schemas.openxmlformats.org/officeDocument/2006/relationships/hyperlink" Target="https://webstore.iec.ch/publication/2294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about/get/802/802.1.html" TargetMode="External"/><Relationship Id="rId23" Type="http://schemas.openxmlformats.org/officeDocument/2006/relationships/hyperlink" Target="http://www.ieee802.org/1/pages/802.1ch.html" TargetMode="External"/><Relationship Id="rId28" Type="http://schemas.openxmlformats.org/officeDocument/2006/relationships/hyperlink" Target="https://datatracker.ietf.org/doc/html/draft-ietf-detnet-problem-statement" TargetMode="External"/><Relationship Id="rId36" Type="http://schemas.openxmlformats.org/officeDocument/2006/relationships/hyperlink" Target="https://webstore.iec.ch/publication/6012" TargetMode="External"/><Relationship Id="rId10" Type="http://schemas.openxmlformats.org/officeDocument/2006/relationships/hyperlink" Target="http://standards.ieee.org/about/get/" TargetMode="External"/><Relationship Id="rId19" Type="http://schemas.openxmlformats.org/officeDocument/2006/relationships/hyperlink" Target="https://ieeexplore.ieee.org/document/7900321/" TargetMode="External"/><Relationship Id="rId31" Type="http://schemas.openxmlformats.org/officeDocument/2006/relationships/hyperlink" Target="https://datatracker.ietf.org/doc/html/draft-ietf-detnet-dp-alt" TargetMode="External"/><Relationship Id="rId4" Type="http://schemas.openxmlformats.org/officeDocument/2006/relationships/settings" Target="settings.xml"/><Relationship Id="rId9" Type="http://schemas.openxmlformats.org/officeDocument/2006/relationships/hyperlink" Target="http://standards.ieee.org/findstds/" TargetMode="External"/><Relationship Id="rId14" Type="http://schemas.openxmlformats.org/officeDocument/2006/relationships/hyperlink" Target="http://standards.ieee.org/about/get/802/802.1.html" TargetMode="External"/><Relationship Id="rId22" Type="http://schemas.openxmlformats.org/officeDocument/2006/relationships/hyperlink" Target="http://www.ieee802.org/1/pages/802.1ca.html" TargetMode="External"/><Relationship Id="rId27" Type="http://schemas.openxmlformats.org/officeDocument/2006/relationships/hyperlink" Target="https://datatracker.ietf.org/wg/detnet/documents/" TargetMode="External"/><Relationship Id="rId30" Type="http://schemas.openxmlformats.org/officeDocument/2006/relationships/hyperlink" Target="https://datatracker.ietf.org/doc/html/draft-ietf-detnet-architecture" TargetMode="External"/><Relationship Id="rId35" Type="http://schemas.openxmlformats.org/officeDocument/2006/relationships/hyperlink" Target="https://webstore.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B81A-A449-472D-95EB-FE51C0A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5830</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5</cp:revision>
  <dcterms:created xsi:type="dcterms:W3CDTF">2018-09-13T03:47:00Z</dcterms:created>
  <dcterms:modified xsi:type="dcterms:W3CDTF">2018-09-13T22:09:00Z</dcterms:modified>
  <cp:category>24-15-0029-04-SGTG</cp:category>
</cp:coreProperties>
</file>