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77777777" w:rsidR="00F90D86" w:rsidRDefault="00F90D86" w:rsidP="00F90D86">
      <w:pPr>
        <w:jc w:val="center"/>
        <w:rPr>
          <w:b/>
          <w:sz w:val="28"/>
        </w:rPr>
      </w:pPr>
      <w:r>
        <w:rPr>
          <w:b/>
          <w:sz w:val="28"/>
        </w:rPr>
        <w:t>IEEE P802.24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69E95A80" w:rsidR="00F90D86" w:rsidRDefault="00F90D86" w:rsidP="00F90D86">
            <w:pPr>
              <w:pStyle w:val="covertext"/>
            </w:pPr>
            <w:r>
              <w:t>IEEE P802.24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441AB1FC" w:rsidR="00F90D86" w:rsidRDefault="00F90D86" w:rsidP="007834F6">
            <w:pPr>
              <w:pStyle w:val="covertext"/>
              <w:rPr>
                <w:b/>
                <w:szCs w:val="24"/>
              </w:rPr>
            </w:pPr>
            <w:r>
              <w:t xml:space="preserve">Smart Grid Task Group – </w:t>
            </w:r>
            <w:r w:rsidR="007834F6">
              <w:t>Cellular Comparison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6A1E85F8" w:rsidR="00F90D86" w:rsidRDefault="007834F6">
            <w:pPr>
              <w:pStyle w:val="covertext"/>
            </w:pPr>
            <w:r>
              <w:t>18 May 2016</w:t>
            </w:r>
          </w:p>
        </w:tc>
      </w:tr>
      <w:tr w:rsidR="00F90D86" w14:paraId="0D3C9301" w14:textId="77777777">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2FF30313" w14:textId="723BC403" w:rsidR="00F90D86" w:rsidRDefault="00F90D86">
            <w:pPr>
              <w:pStyle w:val="covertext"/>
              <w:spacing w:before="0" w:after="0"/>
            </w:pPr>
            <w:r>
              <w:t>Tim Godfrey</w:t>
            </w:r>
          </w:p>
        </w:tc>
        <w:tc>
          <w:tcPr>
            <w:tcW w:w="4140" w:type="dxa"/>
            <w:tcBorders>
              <w:top w:val="single" w:sz="4" w:space="0" w:color="auto"/>
              <w:left w:val="nil"/>
              <w:bottom w:val="single" w:sz="4" w:space="0" w:color="auto"/>
              <w:right w:val="nil"/>
            </w:tcBorders>
            <w:hideMark/>
          </w:tcPr>
          <w:p w14:paraId="18C9B54A" w14:textId="1894AAB9" w:rsidR="00F90D86" w:rsidRDefault="00F90D86" w:rsidP="00F90D86">
            <w:pPr>
              <w:pStyle w:val="covertext"/>
              <w:tabs>
                <w:tab w:val="left" w:pos="1152"/>
              </w:tabs>
              <w:spacing w:before="0" w:after="0"/>
              <w:rPr>
                <w:sz w:val="18"/>
              </w:rPr>
            </w:pPr>
            <w:r>
              <w:t>Voice:</w:t>
            </w:r>
            <w:r>
              <w:tab/>
              <w:t>913.706.37777</w:t>
            </w:r>
            <w:r>
              <w:br/>
              <w:t>E-mail:</w:t>
            </w:r>
            <w:r>
              <w:tab/>
            </w:r>
            <w:r w:rsidRPr="00E468EA">
              <w:rPr>
                <w:noProof/>
              </w:rPr>
              <w:drawing>
                <wp:inline distT="0" distB="0" distL="0" distR="0" wp14:anchorId="10AA118F" wp14:editId="680204CE">
                  <wp:extent cx="16383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t="39999"/>
                          <a:stretch>
                            <a:fillRect/>
                          </a:stretch>
                        </pic:blipFill>
                        <pic:spPr bwMode="auto">
                          <a:xfrm>
                            <a:off x="0" y="0"/>
                            <a:ext cx="1638300" cy="304800"/>
                          </a:xfrm>
                          <a:prstGeom prst="rect">
                            <a:avLst/>
                          </a:prstGeom>
                          <a:noFill/>
                          <a:ln>
                            <a:noFill/>
                          </a:ln>
                        </pic:spPr>
                      </pic:pic>
                    </a:graphicData>
                  </a:graphic>
                </wp:inline>
              </w:drawing>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FCF0BDD" w:rsidR="00F90D86" w:rsidRDefault="00F90D86">
            <w:pPr>
              <w:pStyle w:val="covertext"/>
            </w:pPr>
            <w:r>
              <w:t xml:space="preserve">Outline for the TG’s </w:t>
            </w:r>
            <w:r w:rsidR="007834F6">
              <w:t>Cellular Comparison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CBB3977" w:rsidR="00F90D86" w:rsidRDefault="00F90D86" w:rsidP="00F90D86">
            <w:pPr>
              <w:pStyle w:val="covertext"/>
            </w:pPr>
            <w:r>
              <w:t xml:space="preserve">Provide a framework for developing the </w:t>
            </w:r>
            <w:r w:rsidR="007834F6">
              <w:t>Cellular Comparison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228A415F" w:rsidR="00F90D86" w:rsidRDefault="00C450FF" w:rsidP="00C450FF">
      <w:pPr>
        <w:pStyle w:val="Heading1"/>
      </w:pPr>
      <w:r>
        <w:lastRenderedPageBreak/>
        <w:t>General Guidelines for White Paper</w:t>
      </w:r>
    </w:p>
    <w:p w14:paraId="46062CDD" w14:textId="77777777" w:rsidR="00C450FF" w:rsidRDefault="00C450FF" w:rsidP="00C450FF">
      <w:r>
        <w:tab/>
      </w:r>
      <w:r>
        <w:t xml:space="preserve">White paper on NB-LTE, Cellular IoT, LTE-U vs IEEE 802 standards in smart grid applications. </w:t>
      </w:r>
    </w:p>
    <w:p w14:paraId="75F3FF96" w14:textId="77777777" w:rsidR="00C450FF" w:rsidRDefault="00C450FF" w:rsidP="00C450FF">
      <w:pPr>
        <w:pStyle w:val="ListParagraph"/>
        <w:numPr>
          <w:ilvl w:val="0"/>
          <w:numId w:val="1"/>
        </w:numPr>
      </w:pPr>
      <w:r>
        <w:t>Technical comparisons</w:t>
      </w:r>
    </w:p>
    <w:p w14:paraId="2CFAA437" w14:textId="1131BD8B" w:rsidR="00C450FF" w:rsidRDefault="00C450FF" w:rsidP="00C450FF">
      <w:pPr>
        <w:pStyle w:val="ListParagraph"/>
        <w:numPr>
          <w:ilvl w:val="0"/>
          <w:numId w:val="1"/>
        </w:numPr>
      </w:pPr>
      <w:r>
        <w:t xml:space="preserve">Potential coexistence issues  </w:t>
      </w:r>
    </w:p>
    <w:p w14:paraId="2C9A35F8" w14:textId="77777777" w:rsidR="00C450FF" w:rsidRPr="00C450FF" w:rsidRDefault="00C450FF" w:rsidP="00C450FF">
      <w:pPr>
        <w:ind w:left="720"/>
      </w:pPr>
      <w:r w:rsidRPr="00C450FF">
        <w:t>White paper doesn’t try to make a recommendation or judgement, but provides facts</w:t>
      </w:r>
    </w:p>
    <w:p w14:paraId="33154409" w14:textId="77777777" w:rsidR="00C450FF" w:rsidRPr="00C450FF" w:rsidRDefault="00C450FF" w:rsidP="00C450FF">
      <w:pPr>
        <w:ind w:left="720"/>
      </w:pPr>
      <w:r w:rsidRPr="00C450FF">
        <w:t>Targeted towards vendors and user of the standards</w:t>
      </w:r>
    </w:p>
    <w:p w14:paraId="3C413219" w14:textId="0470EC21" w:rsidR="00C450FF" w:rsidRPr="00C450FF" w:rsidRDefault="00C450FF" w:rsidP="00C450FF">
      <w:pPr>
        <w:ind w:left="720" w:firstLine="720"/>
      </w:pPr>
      <w:r>
        <w:t>Consider i</w:t>
      </w:r>
      <w:r w:rsidRPr="00C450FF">
        <w:t xml:space="preserve">ndustrial automation </w:t>
      </w:r>
      <w:r>
        <w:t xml:space="preserve">as a target audience – they are </w:t>
      </w:r>
      <w:r w:rsidRPr="00C450FF">
        <w:t>also considering 3G, 4G, and 5G option</w:t>
      </w:r>
      <w:r>
        <w:t>s</w:t>
      </w:r>
      <w:bookmarkStart w:id="0" w:name="_GoBack"/>
      <w:bookmarkEnd w:id="0"/>
      <w:r w:rsidRPr="00C450FF">
        <w:t>.</w:t>
      </w:r>
    </w:p>
    <w:p w14:paraId="079940FD" w14:textId="546699B9" w:rsidR="00C450FF" w:rsidRDefault="00C450FF" w:rsidP="00C450FF">
      <w:pPr>
        <w:pStyle w:val="Heading1"/>
      </w:pPr>
      <w:r>
        <w:t>White Paper Outline</w:t>
      </w:r>
    </w:p>
    <w:p w14:paraId="0DB08DB8" w14:textId="1BD9A4F0" w:rsidR="007834F6" w:rsidRDefault="007834F6" w:rsidP="007834F6">
      <w:r>
        <w:t>Types of applications that are considered in the white paper</w:t>
      </w:r>
    </w:p>
    <w:p w14:paraId="49397DE5" w14:textId="77777777" w:rsidR="007834F6" w:rsidRDefault="007834F6" w:rsidP="007834F6">
      <w:r>
        <w:t>Survey of existing and emerging technologies used by cellular operators</w:t>
      </w:r>
    </w:p>
    <w:p w14:paraId="3D9FA0EB" w14:textId="77777777" w:rsidR="007834F6" w:rsidRDefault="007834F6" w:rsidP="007834F6">
      <w:pPr>
        <w:ind w:left="720"/>
      </w:pPr>
      <w:r>
        <w:t>3G, 4G, 5G  (broadband and C-IoT and NB-LTE variants, LAA, LTE-U)</w:t>
      </w:r>
    </w:p>
    <w:p w14:paraId="2FED3256" w14:textId="77777777" w:rsidR="007834F6" w:rsidRDefault="007834F6" w:rsidP="007834F6">
      <w:pPr>
        <w:ind w:left="1440"/>
      </w:pPr>
      <w:r>
        <w:t>Understand how new technologies focused on IoT are differentiated and how they relate to 802 standards</w:t>
      </w:r>
    </w:p>
    <w:p w14:paraId="39B0D45A" w14:textId="77777777" w:rsidR="007834F6" w:rsidRDefault="007834F6" w:rsidP="007834F6">
      <w:r>
        <w:t>Survey of IEEE 802 wireless technologies used for grid applications</w:t>
      </w:r>
      <w:r>
        <w:tab/>
      </w:r>
    </w:p>
    <w:p w14:paraId="4FCF42A2" w14:textId="77777777" w:rsidR="007834F6" w:rsidRDefault="007834F6" w:rsidP="007834F6">
      <w:pPr>
        <w:ind w:left="720"/>
      </w:pPr>
      <w:r>
        <w:t>802.11, 802.15, 802.16, 802.22</w:t>
      </w:r>
    </w:p>
    <w:p w14:paraId="5D3C14B2" w14:textId="77777777" w:rsidR="007834F6" w:rsidRDefault="007834F6" w:rsidP="007834F6">
      <w:pPr>
        <w:ind w:left="720"/>
      </w:pPr>
      <w:r>
        <w:t>Refer to existing white paper, and PAP2</w:t>
      </w:r>
    </w:p>
    <w:p w14:paraId="64F2D451" w14:textId="77777777" w:rsidR="007834F6" w:rsidRDefault="007834F6" w:rsidP="007834F6">
      <w:r>
        <w:t>Matrices of differences (maybe, but not exclusively pros and cons)</w:t>
      </w:r>
    </w:p>
    <w:p w14:paraId="52C81798" w14:textId="77777777" w:rsidR="007834F6" w:rsidRDefault="007834F6" w:rsidP="007834F6">
      <w:pPr>
        <w:ind w:left="720"/>
      </w:pPr>
      <w:r>
        <w:t>Data volume</w:t>
      </w:r>
    </w:p>
    <w:p w14:paraId="613DF8D6" w14:textId="6A9B05E0" w:rsidR="007834F6" w:rsidRDefault="007834F6" w:rsidP="007834F6">
      <w:pPr>
        <w:ind w:left="720"/>
      </w:pPr>
      <w:r>
        <w:t>Security considerations (link vs application layer)</w:t>
      </w:r>
    </w:p>
    <w:p w14:paraId="218002AF" w14:textId="77777777" w:rsidR="007834F6" w:rsidRDefault="007834F6" w:rsidP="007834F6">
      <w:pPr>
        <w:ind w:left="720"/>
      </w:pPr>
      <w:r>
        <w:t>Do we have sufficient information on commercial cellular security?</w:t>
      </w:r>
    </w:p>
    <w:p w14:paraId="46F3BE5A" w14:textId="77777777" w:rsidR="007834F6" w:rsidRDefault="007834F6" w:rsidP="007834F6">
      <w:pPr>
        <w:ind w:left="720"/>
      </w:pPr>
      <w:r>
        <w:t>Reliability and availability</w:t>
      </w:r>
    </w:p>
    <w:p w14:paraId="0FDA672D" w14:textId="77777777" w:rsidR="007834F6" w:rsidRDefault="007834F6" w:rsidP="007834F6">
      <w:pPr>
        <w:ind w:left="720"/>
      </w:pPr>
      <w:r>
        <w:t>Availability of SLAs, QoS, and other service level considerations</w:t>
      </w:r>
    </w:p>
    <w:p w14:paraId="48B4F314" w14:textId="77777777" w:rsidR="007834F6" w:rsidRDefault="007834F6" w:rsidP="007834F6">
      <w:pPr>
        <w:ind w:left="720"/>
      </w:pPr>
      <w:r>
        <w:t>Management and metrics</w:t>
      </w:r>
    </w:p>
    <w:p w14:paraId="60DE15EA" w14:textId="77777777" w:rsidR="007834F6" w:rsidRDefault="007834F6" w:rsidP="007834F6">
      <w:pPr>
        <w:ind w:left="720"/>
      </w:pPr>
      <w:r>
        <w:t>Provisioning and device deployment</w:t>
      </w:r>
    </w:p>
    <w:p w14:paraId="42FB8F12" w14:textId="77777777" w:rsidR="007834F6" w:rsidRDefault="007834F6" w:rsidP="007834F6">
      <w:pPr>
        <w:ind w:left="720"/>
      </w:pPr>
      <w:r>
        <w:t>Operational expense vs capital expense considerations</w:t>
      </w:r>
    </w:p>
    <w:p w14:paraId="47AC6FF1" w14:textId="77777777" w:rsidR="007834F6" w:rsidRDefault="007834F6" w:rsidP="007834F6">
      <w:pPr>
        <w:ind w:left="720"/>
      </w:pPr>
      <w:r>
        <w:t>Unlicensed vs licensed spectrum</w:t>
      </w:r>
    </w:p>
    <w:p w14:paraId="3D4F588D" w14:textId="77777777" w:rsidR="007834F6" w:rsidRDefault="007834F6" w:rsidP="007834F6">
      <w:pPr>
        <w:ind w:left="720"/>
      </w:pPr>
      <w:r>
        <w:t>Potential coexistence issues</w:t>
      </w:r>
    </w:p>
    <w:p w14:paraId="2804F78F" w14:textId="77777777" w:rsidR="007834F6" w:rsidRDefault="007834F6" w:rsidP="007834F6">
      <w:r>
        <w:t>Further explanation and notes on matrix</w:t>
      </w:r>
    </w:p>
    <w:p w14:paraId="203BBB1B" w14:textId="77777777" w:rsidR="00C06FDA" w:rsidRDefault="00C06FDA" w:rsidP="007834F6"/>
    <w:sectPr w:rsidR="00C0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0DA6"/>
    <w:multiLevelType w:val="hybridMultilevel"/>
    <w:tmpl w:val="A34C4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25485"/>
    <w:rsid w:val="00033AE0"/>
    <w:rsid w:val="00054946"/>
    <w:rsid w:val="000850CE"/>
    <w:rsid w:val="000A48AF"/>
    <w:rsid w:val="000B2ED2"/>
    <w:rsid w:val="000D34A1"/>
    <w:rsid w:val="000E7A15"/>
    <w:rsid w:val="00167FCA"/>
    <w:rsid w:val="00176293"/>
    <w:rsid w:val="001767F6"/>
    <w:rsid w:val="001A66F7"/>
    <w:rsid w:val="001B09B4"/>
    <w:rsid w:val="001C482F"/>
    <w:rsid w:val="001D6013"/>
    <w:rsid w:val="001E6FA4"/>
    <w:rsid w:val="002244F1"/>
    <w:rsid w:val="00225F31"/>
    <w:rsid w:val="00234E37"/>
    <w:rsid w:val="00275FC8"/>
    <w:rsid w:val="002D21A5"/>
    <w:rsid w:val="0030045B"/>
    <w:rsid w:val="00324309"/>
    <w:rsid w:val="003326EE"/>
    <w:rsid w:val="0035060E"/>
    <w:rsid w:val="00357B93"/>
    <w:rsid w:val="00357E24"/>
    <w:rsid w:val="00366BC8"/>
    <w:rsid w:val="0037058C"/>
    <w:rsid w:val="00373179"/>
    <w:rsid w:val="00386F38"/>
    <w:rsid w:val="003915AD"/>
    <w:rsid w:val="00394B56"/>
    <w:rsid w:val="00397B6B"/>
    <w:rsid w:val="003D09DD"/>
    <w:rsid w:val="0041479A"/>
    <w:rsid w:val="004248A0"/>
    <w:rsid w:val="00453BB8"/>
    <w:rsid w:val="00460722"/>
    <w:rsid w:val="00480D14"/>
    <w:rsid w:val="004851B7"/>
    <w:rsid w:val="004F305C"/>
    <w:rsid w:val="004F4FEE"/>
    <w:rsid w:val="00530261"/>
    <w:rsid w:val="0053338A"/>
    <w:rsid w:val="005378CF"/>
    <w:rsid w:val="00544BFB"/>
    <w:rsid w:val="0054589E"/>
    <w:rsid w:val="005C3E79"/>
    <w:rsid w:val="00607BFC"/>
    <w:rsid w:val="0065695C"/>
    <w:rsid w:val="0065701D"/>
    <w:rsid w:val="006904A5"/>
    <w:rsid w:val="006906A6"/>
    <w:rsid w:val="00693FE3"/>
    <w:rsid w:val="006B138C"/>
    <w:rsid w:val="006C1E65"/>
    <w:rsid w:val="006C26CA"/>
    <w:rsid w:val="00717433"/>
    <w:rsid w:val="00727A4C"/>
    <w:rsid w:val="007834F6"/>
    <w:rsid w:val="00784CC8"/>
    <w:rsid w:val="007D207E"/>
    <w:rsid w:val="007D36E6"/>
    <w:rsid w:val="007D6E1C"/>
    <w:rsid w:val="007F7EC1"/>
    <w:rsid w:val="008114F9"/>
    <w:rsid w:val="00830335"/>
    <w:rsid w:val="00831308"/>
    <w:rsid w:val="0083343D"/>
    <w:rsid w:val="008578B8"/>
    <w:rsid w:val="00894E6F"/>
    <w:rsid w:val="008B784B"/>
    <w:rsid w:val="00904FC8"/>
    <w:rsid w:val="00916522"/>
    <w:rsid w:val="00916F29"/>
    <w:rsid w:val="009358CA"/>
    <w:rsid w:val="00940479"/>
    <w:rsid w:val="009440D1"/>
    <w:rsid w:val="009616AD"/>
    <w:rsid w:val="00962D5D"/>
    <w:rsid w:val="009654B7"/>
    <w:rsid w:val="0096566A"/>
    <w:rsid w:val="00976C6A"/>
    <w:rsid w:val="009A50CD"/>
    <w:rsid w:val="009D2456"/>
    <w:rsid w:val="00A21BA8"/>
    <w:rsid w:val="00A3060D"/>
    <w:rsid w:val="00A8242F"/>
    <w:rsid w:val="00A87A4C"/>
    <w:rsid w:val="00A9599A"/>
    <w:rsid w:val="00AC3C04"/>
    <w:rsid w:val="00AD0A83"/>
    <w:rsid w:val="00AD0CAF"/>
    <w:rsid w:val="00AD287F"/>
    <w:rsid w:val="00B02DE2"/>
    <w:rsid w:val="00B30690"/>
    <w:rsid w:val="00B41D0A"/>
    <w:rsid w:val="00B74564"/>
    <w:rsid w:val="00B74BCA"/>
    <w:rsid w:val="00B8618A"/>
    <w:rsid w:val="00BA5491"/>
    <w:rsid w:val="00BB0F99"/>
    <w:rsid w:val="00BF655C"/>
    <w:rsid w:val="00C06FDA"/>
    <w:rsid w:val="00C123A4"/>
    <w:rsid w:val="00C1760A"/>
    <w:rsid w:val="00C25F51"/>
    <w:rsid w:val="00C4057A"/>
    <w:rsid w:val="00C41373"/>
    <w:rsid w:val="00C450FF"/>
    <w:rsid w:val="00C4774B"/>
    <w:rsid w:val="00C506CE"/>
    <w:rsid w:val="00C81AC7"/>
    <w:rsid w:val="00CA0BD6"/>
    <w:rsid w:val="00CE1A4D"/>
    <w:rsid w:val="00D0208B"/>
    <w:rsid w:val="00D064A4"/>
    <w:rsid w:val="00D50980"/>
    <w:rsid w:val="00D52A80"/>
    <w:rsid w:val="00D67333"/>
    <w:rsid w:val="00D77FA1"/>
    <w:rsid w:val="00D84DC8"/>
    <w:rsid w:val="00D9237F"/>
    <w:rsid w:val="00D94BD1"/>
    <w:rsid w:val="00DA3C53"/>
    <w:rsid w:val="00DD1A8A"/>
    <w:rsid w:val="00DE71CE"/>
    <w:rsid w:val="00E06B30"/>
    <w:rsid w:val="00E24EAE"/>
    <w:rsid w:val="00E24EFF"/>
    <w:rsid w:val="00E27135"/>
    <w:rsid w:val="00E47879"/>
    <w:rsid w:val="00E83F45"/>
    <w:rsid w:val="00EA4E6A"/>
    <w:rsid w:val="00ED7190"/>
    <w:rsid w:val="00F00DAB"/>
    <w:rsid w:val="00F03B17"/>
    <w:rsid w:val="00F10E0C"/>
    <w:rsid w:val="00F65950"/>
    <w:rsid w:val="00F86F25"/>
    <w:rsid w:val="00F90D86"/>
    <w:rsid w:val="00FB703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C88"/>
  <w15:chartTrackingRefBased/>
  <w15:docId w15:val="{C49FF6FB-2D72-40A6-87C6-CDF4896E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5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450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45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3</cp:revision>
  <dcterms:created xsi:type="dcterms:W3CDTF">2016-05-19T03:16:00Z</dcterms:created>
  <dcterms:modified xsi:type="dcterms:W3CDTF">2016-05-19T03:21:00Z</dcterms:modified>
</cp:coreProperties>
</file>