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F268A2" w:rsidP="00FD3E98">
            <w:pPr>
              <w:pStyle w:val="covertext"/>
            </w:pPr>
            <w:fldSimple w:instr=" TITLE  \* MERGEFORMAT ">
              <w:r w:rsidR="006C5D20" w:rsidRPr="006C5D20">
                <w:rPr>
                  <w:b/>
                  <w:sz w:val="28"/>
                </w:rPr>
                <w:t>Minutes-TAG-May-2016</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EB78DA" w:rsidP="006C5D20">
            <w:pPr>
              <w:pStyle w:val="covertext"/>
            </w:pPr>
            <w:r>
              <w:t>26</w:t>
            </w:r>
            <w:r w:rsidR="00B9751A">
              <w:t xml:space="preserve"> </w:t>
            </w:r>
            <w:r w:rsidR="006C5D20">
              <w:t>May</w:t>
            </w:r>
            <w:r w:rsidR="0027374E">
              <w:t xml:space="preserve"> </w:t>
            </w:r>
            <w:r w:rsidR="00D850DD">
              <w:t>2016</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r w:rsidR="00F268A2">
              <w:fldChar w:fldCharType="begin"/>
            </w:r>
            <w:r w:rsidR="00F268A2">
              <w:instrText xml:space="preserve"> DOCPROPERTY "Company"  \* MERGEFORMAT </w:instrText>
            </w:r>
            <w:r w:rsidR="00F268A2">
              <w:fldChar w:fldCharType="separate"/>
            </w:r>
            <w:r w:rsidR="007348D6">
              <w:t>BCA</w:t>
            </w:r>
            <w:r w:rsidR="00F268A2">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10055B">
            <w:pPr>
              <w:pStyle w:val="covertext"/>
            </w:pPr>
            <w:r>
              <w:t xml:space="preserve">TAG Meeting, </w:t>
            </w:r>
            <w:r w:rsidR="009A060F">
              <w:fldChar w:fldCharType="begin"/>
            </w:r>
            <w:r w:rsidR="009A060F">
              <w:instrText xml:space="preserve"> COMMENTS   \* MERGEFORMAT </w:instrText>
            </w:r>
            <w:r w:rsidR="009A060F">
              <w:fldChar w:fldCharType="separate"/>
            </w:r>
            <w:r w:rsidR="0010055B">
              <w:t>May 2016 Kona Hawaii USA</w:t>
            </w:r>
            <w:r w:rsidR="009A060F">
              <w:fldChar w:fldCharType="end"/>
            </w:r>
            <w:r w:rsidR="0010055B">
              <w:t xml:space="preserve"> </w:t>
            </w:r>
            <w:r w:rsidR="006C5D20">
              <w:t xml:space="preserve">(da </w:t>
            </w:r>
            <w:proofErr w:type="gramStart"/>
            <w:r w:rsidR="006C5D20">
              <w:t>Big  Island</w:t>
            </w:r>
            <w:proofErr w:type="gramEnd"/>
            <w:r w:rsidR="006C5D20">
              <w:t>)</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w:t>
            </w:r>
            <w:r w:rsidR="00D850DD">
              <w:t>s</w:t>
            </w:r>
            <w:r w:rsidR="00DA3761">
              <w:t xml:space="preserve"> at the May, 2016 802 Wireless Interim.</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bookmarkStart w:id="0" w:name="_GoBack"/>
      <w:bookmarkEnd w:id="0"/>
      <w:r w:rsidRPr="00997C60">
        <w:br w:type="page"/>
      </w:r>
      <w:r w:rsidR="00881F41" w:rsidRPr="00997C60">
        <w:lastRenderedPageBreak/>
        <w:t xml:space="preserve">Minutes WG 24 session </w:t>
      </w:r>
      <w:r w:rsidR="00273385">
        <w:t>Ma</w:t>
      </w:r>
      <w:r w:rsidR="006C5D20">
        <w:t>y</w:t>
      </w:r>
      <w:r w:rsidR="00923732" w:rsidRPr="00923732">
        <w:t xml:space="preserve"> 201</w:t>
      </w:r>
      <w:r w:rsidR="00D850DD">
        <w:t>6</w:t>
      </w:r>
    </w:p>
    <w:p w:rsidR="00997C60" w:rsidRDefault="009A060F" w:rsidP="001D57BB">
      <w:pPr>
        <w:pStyle w:val="Subtitle"/>
      </w:pPr>
      <w:r>
        <w:fldChar w:fldCharType="begin"/>
      </w:r>
      <w:r>
        <w:instrText xml:space="preserve"> COMMENTS   \* MERGEFORMAT </w:instrText>
      </w:r>
      <w:r>
        <w:fldChar w:fldCharType="separate"/>
      </w:r>
      <w:r w:rsidR="0010055B">
        <w:t>May 2016 Kona Hawaii USA</w:t>
      </w:r>
      <w:r>
        <w:fldChar w:fldCharType="end"/>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845467">
        <w:tc>
          <w:tcPr>
            <w:tcW w:w="405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845467">
        <w:trPr>
          <w:trHeight w:val="117"/>
        </w:trPr>
        <w:tc>
          <w:tcPr>
            <w:tcW w:w="405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822DF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pPr>
            <w:r w:rsidRPr="002701F1">
              <w:rPr>
                <w:b/>
              </w:rPr>
              <w:t xml:space="preserve">TG1 (SG) </w:t>
            </w:r>
            <w:r w:rsidRPr="00801572">
              <w:rPr>
                <w:b/>
              </w:rPr>
              <w:t>Recording Secretary</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 xml:space="preserve">Chris </w:t>
            </w:r>
            <w:proofErr w:type="spellStart"/>
            <w:r>
              <w:t>DiMinico</w:t>
            </w:r>
            <w:proofErr w:type="spellEnd"/>
            <w:r>
              <w:t xml:space="preserve"> (MC Communications)</w:t>
            </w:r>
          </w:p>
        </w:tc>
      </w:tr>
      <w:tr w:rsidR="002701F1" w:rsidTr="00845467">
        <w:trPr>
          <w:trHeight w:val="117"/>
        </w:trPr>
        <w:tc>
          <w:tcPr>
            <w:tcW w:w="405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xml:space="preserve">)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845467">
        <w:trPr>
          <w:trHeight w:val="117"/>
        </w:trPr>
        <w:tc>
          <w:tcPr>
            <w:tcW w:w="4050" w:type="dxa"/>
            <w:tcBorders>
              <w:top w:val="nil"/>
              <w:left w:val="single" w:sz="4" w:space="0" w:color="auto"/>
              <w:bottom w:val="single" w:sz="4" w:space="0" w:color="auto"/>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single" w:sz="4" w:space="0" w:color="auto"/>
              <w:right w:val="single" w:sz="4" w:space="0" w:color="auto"/>
            </w:tcBorders>
            <w:shd w:val="clear" w:color="auto" w:fill="F2F2F2" w:themeFill="background1" w:themeFillShade="F2"/>
            <w:vAlign w:val="center"/>
          </w:tcPr>
          <w:p w:rsidR="002701F1" w:rsidRPr="00801572" w:rsidRDefault="002701F1" w:rsidP="002701F1">
            <w:r>
              <w:t>Andrew Jimenez (Anixter Inc.)</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10055B"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1936044" w:history="1">
            <w:r w:rsidR="0010055B" w:rsidRPr="008F1E0D">
              <w:rPr>
                <w:rStyle w:val="Hyperlink"/>
                <w:noProof/>
              </w:rPr>
              <w:t>PM2 Monday 16 May 2016</w:t>
            </w:r>
            <w:r w:rsidR="0010055B">
              <w:rPr>
                <w:noProof/>
                <w:webHidden/>
              </w:rPr>
              <w:tab/>
            </w:r>
            <w:r w:rsidR="0010055B">
              <w:rPr>
                <w:noProof/>
                <w:webHidden/>
              </w:rPr>
              <w:fldChar w:fldCharType="begin"/>
            </w:r>
            <w:r w:rsidR="0010055B">
              <w:rPr>
                <w:noProof/>
                <w:webHidden/>
              </w:rPr>
              <w:instrText xml:space="preserve"> PAGEREF _Toc451936044 \h </w:instrText>
            </w:r>
            <w:r w:rsidR="0010055B">
              <w:rPr>
                <w:noProof/>
                <w:webHidden/>
              </w:rPr>
            </w:r>
            <w:r w:rsidR="0010055B">
              <w:rPr>
                <w:noProof/>
                <w:webHidden/>
              </w:rPr>
              <w:fldChar w:fldCharType="separate"/>
            </w:r>
            <w:r w:rsidR="009A060F">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45" w:history="1">
            <w:r w:rsidR="0010055B" w:rsidRPr="008F1E0D">
              <w:rPr>
                <w:rStyle w:val="Hyperlink"/>
                <w:noProof/>
              </w:rPr>
              <w:t>Opening</w:t>
            </w:r>
            <w:r w:rsidR="0010055B">
              <w:rPr>
                <w:noProof/>
                <w:webHidden/>
              </w:rPr>
              <w:tab/>
            </w:r>
            <w:r w:rsidR="0010055B">
              <w:rPr>
                <w:noProof/>
                <w:webHidden/>
              </w:rPr>
              <w:fldChar w:fldCharType="begin"/>
            </w:r>
            <w:r w:rsidR="0010055B">
              <w:rPr>
                <w:noProof/>
                <w:webHidden/>
              </w:rPr>
              <w:instrText xml:space="preserve"> PAGEREF _Toc451936045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46" w:history="1">
            <w:r w:rsidR="0010055B" w:rsidRPr="008F1E0D">
              <w:rPr>
                <w:rStyle w:val="Hyperlink"/>
                <w:noProof/>
              </w:rPr>
              <w:t>802.15 ULI Report</w:t>
            </w:r>
            <w:r w:rsidR="0010055B">
              <w:rPr>
                <w:noProof/>
                <w:webHidden/>
              </w:rPr>
              <w:tab/>
            </w:r>
            <w:r w:rsidR="0010055B">
              <w:rPr>
                <w:noProof/>
                <w:webHidden/>
              </w:rPr>
              <w:fldChar w:fldCharType="begin"/>
            </w:r>
            <w:r w:rsidR="0010055B">
              <w:rPr>
                <w:noProof/>
                <w:webHidden/>
              </w:rPr>
              <w:instrText xml:space="preserve"> PAGEREF _Toc451936046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47" w:history="1">
            <w:r w:rsidR="0010055B" w:rsidRPr="008F1E0D">
              <w:rPr>
                <w:rStyle w:val="Hyperlink"/>
                <w:noProof/>
              </w:rPr>
              <w:t>Cellular Comparison White Paper Discussion</w:t>
            </w:r>
            <w:r w:rsidR="0010055B">
              <w:rPr>
                <w:noProof/>
                <w:webHidden/>
              </w:rPr>
              <w:tab/>
            </w:r>
            <w:r w:rsidR="0010055B">
              <w:rPr>
                <w:noProof/>
                <w:webHidden/>
              </w:rPr>
              <w:fldChar w:fldCharType="begin"/>
            </w:r>
            <w:r w:rsidR="0010055B">
              <w:rPr>
                <w:noProof/>
                <w:webHidden/>
              </w:rPr>
              <w:instrText xml:space="preserve"> PAGEREF _Toc451936047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48" w:history="1">
            <w:r w:rsidR="0010055B" w:rsidRPr="008F1E0D">
              <w:rPr>
                <w:rStyle w:val="Hyperlink"/>
                <w:noProof/>
              </w:rPr>
              <w:t>Recessed</w:t>
            </w:r>
            <w:r w:rsidR="0010055B">
              <w:rPr>
                <w:noProof/>
                <w:webHidden/>
              </w:rPr>
              <w:tab/>
            </w:r>
            <w:r w:rsidR="0010055B">
              <w:rPr>
                <w:noProof/>
                <w:webHidden/>
              </w:rPr>
              <w:fldChar w:fldCharType="begin"/>
            </w:r>
            <w:r w:rsidR="0010055B">
              <w:rPr>
                <w:noProof/>
                <w:webHidden/>
              </w:rPr>
              <w:instrText xml:space="preserve"> PAGEREF _Toc451936048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1"/>
            <w:rPr>
              <w:rFonts w:asciiTheme="minorHAnsi" w:eastAsiaTheme="minorEastAsia" w:hAnsiTheme="minorHAnsi" w:cstheme="minorBidi"/>
              <w:noProof/>
              <w:sz w:val="22"/>
              <w:szCs w:val="22"/>
            </w:rPr>
          </w:pPr>
          <w:hyperlink w:anchor="_Toc451936049" w:history="1">
            <w:r w:rsidR="0010055B" w:rsidRPr="008F1E0D">
              <w:rPr>
                <w:rStyle w:val="Hyperlink"/>
                <w:noProof/>
              </w:rPr>
              <w:t>PM2 Tuesday 17 May 2016</w:t>
            </w:r>
            <w:r w:rsidR="0010055B">
              <w:rPr>
                <w:noProof/>
                <w:webHidden/>
              </w:rPr>
              <w:tab/>
            </w:r>
            <w:r w:rsidR="0010055B">
              <w:rPr>
                <w:noProof/>
                <w:webHidden/>
              </w:rPr>
              <w:fldChar w:fldCharType="begin"/>
            </w:r>
            <w:r w:rsidR="0010055B">
              <w:rPr>
                <w:noProof/>
                <w:webHidden/>
              </w:rPr>
              <w:instrText xml:space="preserve"> PAGEREF _Toc451936049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0" w:history="1">
            <w:r w:rsidR="0010055B" w:rsidRPr="008F1E0D">
              <w:rPr>
                <w:rStyle w:val="Hyperlink"/>
                <w:noProof/>
              </w:rPr>
              <w:t>Liaison reports</w:t>
            </w:r>
            <w:r w:rsidR="0010055B">
              <w:rPr>
                <w:noProof/>
                <w:webHidden/>
              </w:rPr>
              <w:tab/>
            </w:r>
            <w:r w:rsidR="0010055B">
              <w:rPr>
                <w:noProof/>
                <w:webHidden/>
              </w:rPr>
              <w:fldChar w:fldCharType="begin"/>
            </w:r>
            <w:r w:rsidR="0010055B">
              <w:rPr>
                <w:noProof/>
                <w:webHidden/>
              </w:rPr>
              <w:instrText xml:space="preserve"> PAGEREF _Toc451936050 \h </w:instrText>
            </w:r>
            <w:r w:rsidR="0010055B">
              <w:rPr>
                <w:noProof/>
                <w:webHidden/>
              </w:rPr>
            </w:r>
            <w:r w:rsidR="0010055B">
              <w:rPr>
                <w:noProof/>
                <w:webHidden/>
              </w:rPr>
              <w:fldChar w:fldCharType="separate"/>
            </w:r>
            <w:r>
              <w:rPr>
                <w:noProof/>
                <w:webHidden/>
              </w:rPr>
              <w:t>3</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1" w:history="1">
            <w:r w:rsidR="0010055B" w:rsidRPr="008F1E0D">
              <w:rPr>
                <w:rStyle w:val="Hyperlink"/>
                <w:noProof/>
              </w:rPr>
              <w:t>Cellular Comparison White Paper Discussion</w:t>
            </w:r>
            <w:r w:rsidR="0010055B">
              <w:rPr>
                <w:noProof/>
                <w:webHidden/>
              </w:rPr>
              <w:tab/>
            </w:r>
            <w:r w:rsidR="0010055B">
              <w:rPr>
                <w:noProof/>
                <w:webHidden/>
              </w:rPr>
              <w:fldChar w:fldCharType="begin"/>
            </w:r>
            <w:r w:rsidR="0010055B">
              <w:rPr>
                <w:noProof/>
                <w:webHidden/>
              </w:rPr>
              <w:instrText xml:space="preserve"> PAGEREF _Toc451936051 \h </w:instrText>
            </w:r>
            <w:r w:rsidR="0010055B">
              <w:rPr>
                <w:noProof/>
                <w:webHidden/>
              </w:rPr>
            </w:r>
            <w:r w:rsidR="0010055B">
              <w:rPr>
                <w:noProof/>
                <w:webHidden/>
              </w:rPr>
              <w:fldChar w:fldCharType="separate"/>
            </w:r>
            <w:r>
              <w:rPr>
                <w:noProof/>
                <w:webHidden/>
              </w:rPr>
              <w:t>4</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2" w:history="1">
            <w:r w:rsidR="0010055B" w:rsidRPr="008F1E0D">
              <w:rPr>
                <w:rStyle w:val="Hyperlink"/>
                <w:noProof/>
              </w:rPr>
              <w:t>Sub 1-GHz White Paper</w:t>
            </w:r>
            <w:r w:rsidR="0010055B">
              <w:rPr>
                <w:noProof/>
                <w:webHidden/>
              </w:rPr>
              <w:tab/>
            </w:r>
            <w:r w:rsidR="0010055B">
              <w:rPr>
                <w:noProof/>
                <w:webHidden/>
              </w:rPr>
              <w:fldChar w:fldCharType="begin"/>
            </w:r>
            <w:r w:rsidR="0010055B">
              <w:rPr>
                <w:noProof/>
                <w:webHidden/>
              </w:rPr>
              <w:instrText xml:space="preserve"> PAGEREF _Toc451936052 \h </w:instrText>
            </w:r>
            <w:r w:rsidR="0010055B">
              <w:rPr>
                <w:noProof/>
                <w:webHidden/>
              </w:rPr>
            </w:r>
            <w:r w:rsidR="0010055B">
              <w:rPr>
                <w:noProof/>
                <w:webHidden/>
              </w:rPr>
              <w:fldChar w:fldCharType="separate"/>
            </w:r>
            <w:r>
              <w:rPr>
                <w:noProof/>
                <w:webHidden/>
              </w:rPr>
              <w:t>4</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3" w:history="1">
            <w:r w:rsidR="0010055B" w:rsidRPr="008F1E0D">
              <w:rPr>
                <w:rStyle w:val="Hyperlink"/>
                <w:noProof/>
              </w:rPr>
              <w:t>Student Paper Contest</w:t>
            </w:r>
            <w:r w:rsidR="0010055B">
              <w:rPr>
                <w:noProof/>
                <w:webHidden/>
              </w:rPr>
              <w:tab/>
            </w:r>
            <w:r w:rsidR="0010055B">
              <w:rPr>
                <w:noProof/>
                <w:webHidden/>
              </w:rPr>
              <w:fldChar w:fldCharType="begin"/>
            </w:r>
            <w:r w:rsidR="0010055B">
              <w:rPr>
                <w:noProof/>
                <w:webHidden/>
              </w:rPr>
              <w:instrText xml:space="preserve"> PAGEREF _Toc451936053 \h </w:instrText>
            </w:r>
            <w:r w:rsidR="0010055B">
              <w:rPr>
                <w:noProof/>
                <w:webHidden/>
              </w:rPr>
            </w:r>
            <w:r w:rsidR="0010055B">
              <w:rPr>
                <w:noProof/>
                <w:webHidden/>
              </w:rPr>
              <w:fldChar w:fldCharType="separate"/>
            </w:r>
            <w:r>
              <w:rPr>
                <w:noProof/>
                <w:webHidden/>
              </w:rPr>
              <w:t>4</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4" w:history="1">
            <w:r w:rsidR="0010055B" w:rsidRPr="008F1E0D">
              <w:rPr>
                <w:rStyle w:val="Hyperlink"/>
                <w:noProof/>
              </w:rPr>
              <w:t>Recess</w:t>
            </w:r>
            <w:r w:rsidR="0010055B">
              <w:rPr>
                <w:noProof/>
                <w:webHidden/>
              </w:rPr>
              <w:tab/>
            </w:r>
            <w:r w:rsidR="0010055B">
              <w:rPr>
                <w:noProof/>
                <w:webHidden/>
              </w:rPr>
              <w:fldChar w:fldCharType="begin"/>
            </w:r>
            <w:r w:rsidR="0010055B">
              <w:rPr>
                <w:noProof/>
                <w:webHidden/>
              </w:rPr>
              <w:instrText xml:space="preserve"> PAGEREF _Toc451936054 \h </w:instrText>
            </w:r>
            <w:r w:rsidR="0010055B">
              <w:rPr>
                <w:noProof/>
                <w:webHidden/>
              </w:rPr>
            </w:r>
            <w:r w:rsidR="0010055B">
              <w:rPr>
                <w:noProof/>
                <w:webHidden/>
              </w:rPr>
              <w:fldChar w:fldCharType="separate"/>
            </w:r>
            <w:r>
              <w:rPr>
                <w:noProof/>
                <w:webHidden/>
              </w:rPr>
              <w:t>4</w:t>
            </w:r>
            <w:r w:rsidR="0010055B">
              <w:rPr>
                <w:noProof/>
                <w:webHidden/>
              </w:rPr>
              <w:fldChar w:fldCharType="end"/>
            </w:r>
          </w:hyperlink>
        </w:p>
        <w:p w:rsidR="0010055B" w:rsidRDefault="009A060F">
          <w:pPr>
            <w:pStyle w:val="TOC1"/>
            <w:rPr>
              <w:rFonts w:asciiTheme="minorHAnsi" w:eastAsiaTheme="minorEastAsia" w:hAnsiTheme="minorHAnsi" w:cstheme="minorBidi"/>
              <w:noProof/>
              <w:sz w:val="22"/>
              <w:szCs w:val="22"/>
            </w:rPr>
          </w:pPr>
          <w:hyperlink w:anchor="_Toc451936055" w:history="1">
            <w:r w:rsidR="0010055B" w:rsidRPr="008F1E0D">
              <w:rPr>
                <w:rStyle w:val="Hyperlink"/>
                <w:noProof/>
              </w:rPr>
              <w:t>PM2 Wednesday 18 May 2016</w:t>
            </w:r>
            <w:r w:rsidR="0010055B">
              <w:rPr>
                <w:noProof/>
                <w:webHidden/>
              </w:rPr>
              <w:tab/>
            </w:r>
            <w:r w:rsidR="0010055B">
              <w:rPr>
                <w:noProof/>
                <w:webHidden/>
              </w:rPr>
              <w:fldChar w:fldCharType="begin"/>
            </w:r>
            <w:r w:rsidR="0010055B">
              <w:rPr>
                <w:noProof/>
                <w:webHidden/>
              </w:rPr>
              <w:instrText xml:space="preserve"> PAGEREF _Toc451936055 \h </w:instrText>
            </w:r>
            <w:r w:rsidR="0010055B">
              <w:rPr>
                <w:noProof/>
                <w:webHidden/>
              </w:rPr>
            </w:r>
            <w:r w:rsidR="0010055B">
              <w:rPr>
                <w:noProof/>
                <w:webHidden/>
              </w:rPr>
              <w:fldChar w:fldCharType="separate"/>
            </w:r>
            <w:r>
              <w:rPr>
                <w:noProof/>
                <w:webHidden/>
              </w:rPr>
              <w:t>5</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6" w:history="1">
            <w:r w:rsidR="0010055B" w:rsidRPr="008F1E0D">
              <w:rPr>
                <w:rStyle w:val="Hyperlink"/>
                <w:noProof/>
              </w:rPr>
              <w:t>Sub 1-GHz White Paper</w:t>
            </w:r>
            <w:r w:rsidR="0010055B">
              <w:rPr>
                <w:noProof/>
                <w:webHidden/>
              </w:rPr>
              <w:tab/>
            </w:r>
            <w:r w:rsidR="0010055B">
              <w:rPr>
                <w:noProof/>
                <w:webHidden/>
              </w:rPr>
              <w:fldChar w:fldCharType="begin"/>
            </w:r>
            <w:r w:rsidR="0010055B">
              <w:rPr>
                <w:noProof/>
                <w:webHidden/>
              </w:rPr>
              <w:instrText xml:space="preserve"> PAGEREF _Toc451936056 \h </w:instrText>
            </w:r>
            <w:r w:rsidR="0010055B">
              <w:rPr>
                <w:noProof/>
                <w:webHidden/>
              </w:rPr>
            </w:r>
            <w:r w:rsidR="0010055B">
              <w:rPr>
                <w:noProof/>
                <w:webHidden/>
              </w:rPr>
              <w:fldChar w:fldCharType="separate"/>
            </w:r>
            <w:r>
              <w:rPr>
                <w:noProof/>
                <w:webHidden/>
              </w:rPr>
              <w:t>5</w:t>
            </w:r>
            <w:r w:rsidR="0010055B">
              <w:rPr>
                <w:noProof/>
                <w:webHidden/>
              </w:rPr>
              <w:fldChar w:fldCharType="end"/>
            </w:r>
          </w:hyperlink>
        </w:p>
        <w:p w:rsidR="0010055B" w:rsidRDefault="009A060F">
          <w:pPr>
            <w:pStyle w:val="TOC2"/>
            <w:tabs>
              <w:tab w:val="right" w:leader="dot" w:pos="9350"/>
            </w:tabs>
            <w:rPr>
              <w:rFonts w:asciiTheme="minorHAnsi" w:eastAsiaTheme="minorEastAsia" w:hAnsiTheme="minorHAnsi" w:cstheme="minorBidi"/>
              <w:noProof/>
              <w:sz w:val="22"/>
              <w:szCs w:val="22"/>
            </w:rPr>
          </w:pPr>
          <w:hyperlink w:anchor="_Toc451936057" w:history="1">
            <w:r w:rsidR="0010055B" w:rsidRPr="008F1E0D">
              <w:rPr>
                <w:rStyle w:val="Hyperlink"/>
                <w:noProof/>
              </w:rPr>
              <w:t>Adjournment</w:t>
            </w:r>
            <w:r w:rsidR="0010055B">
              <w:rPr>
                <w:noProof/>
                <w:webHidden/>
              </w:rPr>
              <w:tab/>
            </w:r>
            <w:r w:rsidR="0010055B">
              <w:rPr>
                <w:noProof/>
                <w:webHidden/>
              </w:rPr>
              <w:fldChar w:fldCharType="begin"/>
            </w:r>
            <w:r w:rsidR="0010055B">
              <w:rPr>
                <w:noProof/>
                <w:webHidden/>
              </w:rPr>
              <w:instrText xml:space="preserve"> PAGEREF _Toc451936057 \h </w:instrText>
            </w:r>
            <w:r w:rsidR="0010055B">
              <w:rPr>
                <w:noProof/>
                <w:webHidden/>
              </w:rPr>
            </w:r>
            <w:r w:rsidR="0010055B">
              <w:rPr>
                <w:noProof/>
                <w:webHidden/>
              </w:rPr>
              <w:fldChar w:fldCharType="separate"/>
            </w:r>
            <w:r>
              <w:rPr>
                <w:noProof/>
                <w:webHidden/>
              </w:rPr>
              <w:t>5</w:t>
            </w:r>
            <w:r w:rsidR="0010055B">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1" w:name="_Toc451936044"/>
      <w:r w:rsidRPr="00997C60">
        <w:t xml:space="preserve">PM2 </w:t>
      </w:r>
      <w:r w:rsidR="007D403E">
        <w:t xml:space="preserve">Monday </w:t>
      </w:r>
      <w:r w:rsidR="006C5D20">
        <w:t>1</w:t>
      </w:r>
      <w:r w:rsidR="00DF79A8">
        <w:t>6</w:t>
      </w:r>
      <w:r w:rsidR="007A001D">
        <w:t xml:space="preserve"> </w:t>
      </w:r>
      <w:r w:rsidR="006C5D20">
        <w:t>May</w:t>
      </w:r>
      <w:r w:rsidR="00636FFD">
        <w:t xml:space="preserve"> </w:t>
      </w:r>
      <w:r w:rsidR="007B560B">
        <w:t>201</w:t>
      </w:r>
      <w:r w:rsidR="00D850DD">
        <w:t>6</w:t>
      </w:r>
      <w:bookmarkEnd w:id="1"/>
      <w:r w:rsidRPr="00997C60">
        <w:t xml:space="preserve"> </w:t>
      </w:r>
    </w:p>
    <w:p w:rsidR="001630B6" w:rsidRPr="001630B6" w:rsidRDefault="001630B6" w:rsidP="001630B6">
      <w:pPr>
        <w:pStyle w:val="Heading2"/>
      </w:pPr>
      <w:bookmarkStart w:id="2" w:name="_Toc451936045"/>
      <w:r>
        <w:t>Opening</w:t>
      </w:r>
      <w:bookmarkEnd w:id="2"/>
    </w:p>
    <w:p w:rsidR="00881F41" w:rsidRDefault="006A2B4C" w:rsidP="00997C60">
      <w:r>
        <w:t>Meeting called to order at 16</w:t>
      </w:r>
      <w:r w:rsidR="007B560B">
        <w:t>0</w:t>
      </w:r>
      <w:r w:rsidR="0014575A">
        <w:t>3</w:t>
      </w:r>
      <w:r w:rsidR="0000528C">
        <w:t xml:space="preserve"> local t</w:t>
      </w:r>
      <w:r>
        <w:t>ime</w:t>
      </w:r>
      <w:r w:rsidR="00B059DE">
        <w:t xml:space="preserve"> by </w:t>
      </w:r>
      <w:r w:rsidR="00636FFD">
        <w:t>TAG Chair Tim Godfrey</w:t>
      </w:r>
      <w:r w:rsidR="00801572">
        <w:t>.</w:t>
      </w:r>
    </w:p>
    <w:p w:rsidR="002D31CB" w:rsidRDefault="002D31CB" w:rsidP="00997C60">
      <w:r w:rsidRPr="002D31CB">
        <w:t xml:space="preserve">Chair, vice chair </w:t>
      </w:r>
      <w:r>
        <w:t>and recording secretary present.</w:t>
      </w:r>
    </w:p>
    <w:p w:rsidR="006058DE" w:rsidRDefault="006058DE" w:rsidP="00997C60">
      <w:r>
        <w:t xml:space="preserve">Note: </w:t>
      </w:r>
      <w:proofErr w:type="spellStart"/>
      <w:r>
        <w:t>IoT</w:t>
      </w:r>
      <w:proofErr w:type="spellEnd"/>
      <w:r>
        <w:t xml:space="preserve"> Task Group not meeting this week. </w:t>
      </w:r>
    </w:p>
    <w:p w:rsidR="0014575A" w:rsidRDefault="0014575A" w:rsidP="00997C60"/>
    <w:p w:rsidR="0014575A" w:rsidRDefault="0014575A" w:rsidP="0014575A">
      <w:r>
        <w:t xml:space="preserve">Tim presents IEEEE slide on meeting conduct and IEEE policies.  </w:t>
      </w:r>
    </w:p>
    <w:p w:rsidR="00AE0025" w:rsidRDefault="00AE0025" w:rsidP="00997C60"/>
    <w:p w:rsidR="00D850DD" w:rsidRDefault="00636FFD" w:rsidP="00C32762">
      <w:r>
        <w:t xml:space="preserve">Tim </w:t>
      </w:r>
      <w:r w:rsidR="00853C74">
        <w:t xml:space="preserve">presents </w:t>
      </w:r>
      <w:r>
        <w:t>the opening report d</w:t>
      </w:r>
      <w:r w:rsidR="007348D6" w:rsidRPr="002C2348">
        <w:t xml:space="preserve">oc # </w:t>
      </w:r>
      <w:r w:rsidR="0014575A">
        <w:t>24-16-14-00 and reviews agenda</w:t>
      </w:r>
      <w:r w:rsidR="00CB4A39">
        <w:t xml:space="preserve">. </w:t>
      </w:r>
    </w:p>
    <w:p w:rsidR="001630B6" w:rsidRDefault="001630B6" w:rsidP="00CA136F"/>
    <w:p w:rsidR="0014575A" w:rsidRDefault="0014575A" w:rsidP="0014575A">
      <w:r>
        <w:t>Tim presents agenda doc proposed agenda.   Revised agenda contained in 24-16-14-01.   Following n</w:t>
      </w:r>
      <w:r w:rsidR="00FD3B48">
        <w:t>either</w:t>
      </w:r>
      <w:r>
        <w:t xml:space="preserve"> discussion nor objection, agenda approved by unanimous consent. </w:t>
      </w:r>
    </w:p>
    <w:p w:rsidR="0014575A" w:rsidRDefault="0014575A" w:rsidP="0014575A"/>
    <w:p w:rsidR="0014575A" w:rsidRDefault="0014575A" w:rsidP="0014575A">
      <w:r>
        <w:t>Approval of March meeting minutes (24-16-10-00)</w:t>
      </w:r>
      <w:r w:rsidR="00FD3B48">
        <w:t>: Following neither discussion nor objection</w:t>
      </w:r>
      <w:r>
        <w:t xml:space="preserve"> approved by unanimous consent.</w:t>
      </w:r>
    </w:p>
    <w:p w:rsidR="0014575A" w:rsidRDefault="0014575A" w:rsidP="0014575A"/>
    <w:p w:rsidR="0014575A" w:rsidRDefault="006058DE" w:rsidP="006058DE">
      <w:pPr>
        <w:pStyle w:val="Heading2"/>
      </w:pPr>
      <w:bookmarkStart w:id="3" w:name="_Toc451936046"/>
      <w:r>
        <w:t>802.15 ULI Report</w:t>
      </w:r>
      <w:bookmarkEnd w:id="3"/>
    </w:p>
    <w:p w:rsidR="0014575A" w:rsidRDefault="0014575A" w:rsidP="0014575A">
      <w:r>
        <w:t xml:space="preserve">Report on 802.15 ULI (TG12) (Ben Rolfe):   </w:t>
      </w:r>
      <w:r w:rsidR="006058DE">
        <w:t xml:space="preserve">The project authorization request (PAR) has been approved, this week is the first task group meetings. It is too </w:t>
      </w:r>
      <w:r w:rsidR="00FD3B48">
        <w:t>early in the process</w:t>
      </w:r>
      <w:r>
        <w:t xml:space="preserve"> to evaluate potential applications. </w:t>
      </w:r>
      <w:r w:rsidR="006058DE">
        <w:t xml:space="preserve">Possibly a future topic for 802.24 will be to evaluate </w:t>
      </w:r>
      <w:r>
        <w:t xml:space="preserve">how ULI will enable easier integration of multiple 802 technologies in </w:t>
      </w:r>
      <w:r w:rsidR="006058DE">
        <w:t xml:space="preserve">application </w:t>
      </w:r>
      <w:r>
        <w:t>verticals.</w:t>
      </w:r>
    </w:p>
    <w:p w:rsidR="006058DE" w:rsidRDefault="006058DE" w:rsidP="0014575A"/>
    <w:p w:rsidR="0014575A" w:rsidRDefault="006058DE" w:rsidP="006058DE">
      <w:pPr>
        <w:pStyle w:val="Heading2"/>
      </w:pPr>
      <w:bookmarkStart w:id="4" w:name="_Toc451936047"/>
      <w:r>
        <w:t>Cellular Comparison White Paper Discussion</w:t>
      </w:r>
      <w:bookmarkEnd w:id="4"/>
    </w:p>
    <w:p w:rsidR="0014575A" w:rsidRDefault="0014575A" w:rsidP="0014575A">
      <w:r>
        <w:t xml:space="preserve">Cellular comparison white paper outline: Discussion results in an outline captured in doc 25-16-0015-01.   Group to review outline slide and continue discussion tomorrow. </w:t>
      </w:r>
    </w:p>
    <w:p w:rsidR="00C94877" w:rsidRDefault="00C94877" w:rsidP="00DF79A8"/>
    <w:p w:rsidR="006058DE" w:rsidRDefault="006058DE" w:rsidP="006058DE">
      <w:pPr>
        <w:pStyle w:val="Heading2"/>
      </w:pPr>
      <w:bookmarkStart w:id="5" w:name="_Toc451936048"/>
      <w:r>
        <w:t>Recessed</w:t>
      </w:r>
      <w:bookmarkEnd w:id="5"/>
      <w:r>
        <w:t xml:space="preserve"> </w:t>
      </w:r>
    </w:p>
    <w:p w:rsidR="001B2C2E" w:rsidRDefault="00C370CD" w:rsidP="001B2C2E">
      <w:r>
        <w:t>R</w:t>
      </w:r>
      <w:r w:rsidR="00DA3930">
        <w:t xml:space="preserve">ecessed at </w:t>
      </w:r>
      <w:r w:rsidR="00E12DD5">
        <w:t>1</w:t>
      </w:r>
      <w:r w:rsidR="00DF79A8">
        <w:t>6:</w:t>
      </w:r>
      <w:r w:rsidR="00C94877">
        <w:t>5</w:t>
      </w:r>
      <w:r w:rsidR="00DF79A8">
        <w:t xml:space="preserve">0 </w:t>
      </w:r>
      <w:r w:rsidR="001B2C2E">
        <w:t>Local</w:t>
      </w:r>
      <w:r w:rsidR="009D6956">
        <w:t xml:space="preserve"> Time.</w:t>
      </w:r>
    </w:p>
    <w:p w:rsidR="00997C60" w:rsidRDefault="00997C60" w:rsidP="00997C60">
      <w:pPr>
        <w:pStyle w:val="Heading1"/>
      </w:pPr>
      <w:bookmarkStart w:id="6" w:name="_Toc451936049"/>
      <w:r>
        <w:t xml:space="preserve">PM2 </w:t>
      </w:r>
      <w:r w:rsidR="007D403E">
        <w:t xml:space="preserve">Tuesday </w:t>
      </w:r>
      <w:r w:rsidR="006C5D20">
        <w:t>1</w:t>
      </w:r>
      <w:r w:rsidR="00DF79A8">
        <w:t>7</w:t>
      </w:r>
      <w:r w:rsidR="00D850DD">
        <w:t xml:space="preserve"> </w:t>
      </w:r>
      <w:r w:rsidR="006C5D20">
        <w:t>May</w:t>
      </w:r>
      <w:r w:rsidR="00D850DD">
        <w:t xml:space="preserve"> 2016</w:t>
      </w:r>
      <w:bookmarkEnd w:id="6"/>
      <w:r w:rsidR="00822DF7">
        <w:t xml:space="preserve"> </w:t>
      </w:r>
    </w:p>
    <w:p w:rsidR="00544077" w:rsidRDefault="00544077" w:rsidP="001B2C2E"/>
    <w:p w:rsidR="00396CC0" w:rsidRDefault="000B7DBF" w:rsidP="00CA136F">
      <w:r>
        <w:t>802.24</w:t>
      </w:r>
      <w:r w:rsidR="006C1A1F">
        <w:t xml:space="preserve"> </w:t>
      </w:r>
      <w:r w:rsidR="00050ED0">
        <w:t>Called to order</w:t>
      </w:r>
      <w:r w:rsidR="00583866">
        <w:t xml:space="preserve"> </w:t>
      </w:r>
      <w:r w:rsidR="005A2332">
        <w:t xml:space="preserve">at </w:t>
      </w:r>
      <w:r w:rsidR="00120B31">
        <w:t>16:0</w:t>
      </w:r>
      <w:r w:rsidR="006058DE">
        <w:t>3</w:t>
      </w:r>
      <w:r w:rsidR="00050ED0">
        <w:t xml:space="preserve"> local time</w:t>
      </w:r>
      <w:r w:rsidR="00396CC0">
        <w:t xml:space="preserve"> by </w:t>
      </w:r>
      <w:r>
        <w:t>chair</w:t>
      </w:r>
      <w:r w:rsidR="00050ED0">
        <w:t>.</w:t>
      </w:r>
    </w:p>
    <w:p w:rsidR="00DF79A8" w:rsidRDefault="00DF79A8" w:rsidP="006058DE">
      <w:pPr>
        <w:pStyle w:val="Heading2"/>
      </w:pPr>
      <w:bookmarkStart w:id="7" w:name="_Toc451936050"/>
      <w:r>
        <w:t>Liaison reports</w:t>
      </w:r>
      <w:bookmarkEnd w:id="7"/>
    </w:p>
    <w:p w:rsidR="00DF79A8" w:rsidRDefault="00DF79A8" w:rsidP="00DF79A8">
      <w:r>
        <w:t xml:space="preserve">P2030.5 report by Bob </w:t>
      </w:r>
      <w:r w:rsidR="00BD7DCE" w:rsidRPr="00BD7DCE">
        <w:t xml:space="preserve">Heile </w:t>
      </w:r>
      <w:r>
        <w:t>(Verbal):  Group has decided to focus on issues related to California PUC “Rule #21”; there are similar initiatives underway also in H</w:t>
      </w:r>
      <w:r w:rsidR="00DA3761">
        <w:t>awai</w:t>
      </w:r>
      <w:r>
        <w:t xml:space="preserve">i and Korea.  </w:t>
      </w:r>
      <w:r w:rsidR="00DA3761">
        <w:t>Plan is to have a ballot ready</w:t>
      </w:r>
      <w:r>
        <w:t xml:space="preserve"> draft by September.   Outside IEEE there is work ongoing to create a conformance certification program. </w:t>
      </w:r>
    </w:p>
    <w:p w:rsidR="006058DE" w:rsidRDefault="006058DE" w:rsidP="00DF79A8"/>
    <w:p w:rsidR="00DF79A8" w:rsidRDefault="00DF79A8" w:rsidP="00DF79A8">
      <w:r>
        <w:t xml:space="preserve">P2413 liaison report, Ludwig (Verbal): Working on several areas: Liaison with IEC, to adopt and align use cases; cooperating with GEC WG 10 on </w:t>
      </w:r>
      <w:proofErr w:type="spellStart"/>
      <w:r>
        <w:t>IoT</w:t>
      </w:r>
      <w:proofErr w:type="spellEnd"/>
      <w:r>
        <w:t xml:space="preserve"> framework; Drafting underway. </w:t>
      </w:r>
    </w:p>
    <w:p w:rsidR="006058DE" w:rsidRDefault="006058DE" w:rsidP="00DF79A8"/>
    <w:p w:rsidR="006058DE" w:rsidRDefault="006058DE" w:rsidP="006058DE">
      <w:pPr>
        <w:pStyle w:val="Heading2"/>
      </w:pPr>
      <w:bookmarkStart w:id="8" w:name="_Toc451936051"/>
      <w:r>
        <w:t>Cellular Comparison White Paper Discussion</w:t>
      </w:r>
      <w:bookmarkEnd w:id="8"/>
    </w:p>
    <w:p w:rsidR="00DF79A8" w:rsidRDefault="00DF79A8" w:rsidP="00DF79A8">
      <w:r>
        <w:t>Conti</w:t>
      </w:r>
      <w:r w:rsidR="00DA3761">
        <w:t>nue work on Cellular comparison</w:t>
      </w:r>
      <w:r>
        <w:t xml:space="preserve"> white paper concept and outline:  Tim captures work in 24-16-0015-02.</w:t>
      </w:r>
    </w:p>
    <w:p w:rsidR="006058DE" w:rsidRDefault="006058DE" w:rsidP="00DF79A8"/>
    <w:p w:rsidR="006058DE" w:rsidRDefault="006058DE" w:rsidP="006058DE">
      <w:pPr>
        <w:pStyle w:val="Heading2"/>
      </w:pPr>
      <w:bookmarkStart w:id="9" w:name="_Toc451936052"/>
      <w:r>
        <w:t>Sub 1-GHz White Paper</w:t>
      </w:r>
      <w:bookmarkEnd w:id="9"/>
    </w:p>
    <w:p w:rsidR="006058DE" w:rsidRDefault="00DF79A8" w:rsidP="00DF79A8">
      <w:r>
        <w:t xml:space="preserve">Work on smart grid white paper, document 24-15-0029-06:  </w:t>
      </w:r>
      <w:r w:rsidR="006058DE">
        <w:t>After a brief search, we f</w:t>
      </w:r>
      <w:r>
        <w:t xml:space="preserve">ound not-missing sub-GHz band graphic.  </w:t>
      </w:r>
    </w:p>
    <w:p w:rsidR="00DF79A8" w:rsidRDefault="00DF79A8" w:rsidP="00DF79A8">
      <w:r>
        <w:t>Remaining actions:</w:t>
      </w:r>
    </w:p>
    <w:p w:rsidR="00DF79A8" w:rsidRDefault="00DF79A8" w:rsidP="00DF79A8">
      <w:r>
        <w:t>1.</w:t>
      </w:r>
      <w:r>
        <w:tab/>
        <w:t>Sub—1GHz applications section clean-up – Ben Rolfe</w:t>
      </w:r>
    </w:p>
    <w:p w:rsidR="00DF79A8" w:rsidRDefault="00DF79A8" w:rsidP="00DF79A8">
      <w:r>
        <w:t>2.</w:t>
      </w:r>
      <w:r>
        <w:tab/>
        <w:t xml:space="preserve">Global Regulatory environment contribution – John </w:t>
      </w:r>
      <w:proofErr w:type="spellStart"/>
      <w:r>
        <w:t>Notor</w:t>
      </w:r>
      <w:proofErr w:type="spellEnd"/>
    </w:p>
    <w:p w:rsidR="006058DE" w:rsidRDefault="006058DE" w:rsidP="00DF79A8"/>
    <w:p w:rsidR="006058DE" w:rsidRDefault="006058DE" w:rsidP="006058DE">
      <w:pPr>
        <w:pStyle w:val="Heading2"/>
      </w:pPr>
      <w:bookmarkStart w:id="10" w:name="_Toc451936053"/>
      <w:r>
        <w:t>Student Paper Contest</w:t>
      </w:r>
      <w:bookmarkEnd w:id="10"/>
    </w:p>
    <w:p w:rsidR="00DF79A8" w:rsidRDefault="00DF79A8" w:rsidP="00DF79A8">
      <w:r>
        <w:t xml:space="preserve">Student paper contest: we have a winner! “History and implementation of the IEEE 802 security architecture”, </w:t>
      </w:r>
      <w:proofErr w:type="spellStart"/>
      <w:r>
        <w:t>Meareg</w:t>
      </w:r>
      <w:proofErr w:type="spellEnd"/>
      <w:r>
        <w:t xml:space="preserve"> </w:t>
      </w:r>
      <w:proofErr w:type="spellStart"/>
      <w:r>
        <w:t>Abreha</w:t>
      </w:r>
      <w:proofErr w:type="spellEnd"/>
      <w:r>
        <w:t xml:space="preserve">. </w:t>
      </w:r>
    </w:p>
    <w:p w:rsidR="006058DE" w:rsidRDefault="006058DE" w:rsidP="00DF79A8"/>
    <w:p w:rsidR="00DF79A8" w:rsidRDefault="00DF79A8" w:rsidP="00DF79A8">
      <w:r>
        <w:t>Should we repeat the contest? Consensus is that it is a good idea, with application of lessons learned to get greater response.</w:t>
      </w:r>
    </w:p>
    <w:p w:rsidR="006058DE" w:rsidRDefault="006058DE" w:rsidP="00DF79A8"/>
    <w:p w:rsidR="00DF79A8" w:rsidRDefault="00DF79A8" w:rsidP="00DF79A8">
      <w:r>
        <w:t>Actions:</w:t>
      </w:r>
    </w:p>
    <w:p w:rsidR="00DF79A8" w:rsidRDefault="00DF79A8" w:rsidP="00DF79A8">
      <w:r>
        <w:t>1.</w:t>
      </w:r>
      <w:r>
        <w:tab/>
        <w:t>Get hotel reservations through Dawn/Face to face</w:t>
      </w:r>
    </w:p>
    <w:p w:rsidR="00DF79A8" w:rsidRDefault="00DF79A8" w:rsidP="00DF79A8">
      <w:r>
        <w:t>2.</w:t>
      </w:r>
      <w:r>
        <w:tab/>
        <w:t>Seek additional funding for travel through IEEE Education Committee (Tim)</w:t>
      </w:r>
    </w:p>
    <w:p w:rsidR="00DF79A8" w:rsidRDefault="00DF79A8" w:rsidP="00DF79A8">
      <w:r>
        <w:t>3.</w:t>
      </w:r>
      <w:r>
        <w:tab/>
        <w:t xml:space="preserve">Get EC approval for </w:t>
      </w:r>
      <w:proofErr w:type="spellStart"/>
      <w:r>
        <w:t>for</w:t>
      </w:r>
      <w:proofErr w:type="spellEnd"/>
      <w:r>
        <w:t xml:space="preserve"> 4 nights Hotel (Sun-Wed) (Time)</w:t>
      </w:r>
    </w:p>
    <w:p w:rsidR="00DF79A8" w:rsidRDefault="00DF79A8" w:rsidP="00DF79A8">
      <w:r>
        <w:t>4.</w:t>
      </w:r>
      <w:r>
        <w:tab/>
        <w:t>EC approval of few waiver (Tim)</w:t>
      </w:r>
    </w:p>
    <w:p w:rsidR="00DF79A8" w:rsidRDefault="00DF79A8" w:rsidP="00DF79A8">
      <w:r>
        <w:t>5.</w:t>
      </w:r>
      <w:r>
        <w:tab/>
        <w:t>Finalize paper presentation day and time (Tim)</w:t>
      </w:r>
    </w:p>
    <w:p w:rsidR="001630B6" w:rsidRDefault="001630B6" w:rsidP="001630B6">
      <w:pPr>
        <w:pStyle w:val="Heading2"/>
      </w:pPr>
      <w:bookmarkStart w:id="11" w:name="_Toc451936054"/>
      <w:r>
        <w:t>Recess</w:t>
      </w:r>
      <w:bookmarkEnd w:id="11"/>
    </w:p>
    <w:p w:rsidR="009D6956" w:rsidRDefault="00120B31" w:rsidP="006A2B4C">
      <w:r>
        <w:t xml:space="preserve">TAG is </w:t>
      </w:r>
      <w:r w:rsidR="00BE6020">
        <w:t>recessed</w:t>
      </w:r>
      <w:r w:rsidR="00FD3E98">
        <w:t xml:space="preserve"> at </w:t>
      </w:r>
      <w:r w:rsidR="006058DE">
        <w:t>16:59</w:t>
      </w:r>
      <w:r w:rsidR="00AA2ABF">
        <w:t xml:space="preserve"> </w:t>
      </w:r>
      <w:r w:rsidR="00CA136F">
        <w:t>local t</w:t>
      </w:r>
      <w:r w:rsidR="009D6956">
        <w:t>ime.</w:t>
      </w:r>
    </w:p>
    <w:p w:rsidR="00D850DD" w:rsidRDefault="00D850DD" w:rsidP="006A2B4C"/>
    <w:p w:rsidR="00D850DD" w:rsidRDefault="00B9751A" w:rsidP="0010055B">
      <w:pPr>
        <w:pStyle w:val="Heading1"/>
        <w:keepLines/>
      </w:pPr>
      <w:bookmarkStart w:id="12" w:name="_Toc451936055"/>
      <w:r>
        <w:t>PM2</w:t>
      </w:r>
      <w:r w:rsidR="00D850DD">
        <w:t xml:space="preserve"> </w:t>
      </w:r>
      <w:r w:rsidR="00B201ED">
        <w:t>Wednesday</w:t>
      </w:r>
      <w:r w:rsidR="00D850DD">
        <w:t xml:space="preserve"> </w:t>
      </w:r>
      <w:r>
        <w:t>1</w:t>
      </w:r>
      <w:r w:rsidR="006C5D20">
        <w:t>8</w:t>
      </w:r>
      <w:r w:rsidR="00D850DD">
        <w:t xml:space="preserve"> </w:t>
      </w:r>
      <w:r w:rsidR="006C5D20">
        <w:t>May</w:t>
      </w:r>
      <w:r w:rsidR="00D850DD">
        <w:t xml:space="preserve"> 2016</w:t>
      </w:r>
      <w:bookmarkEnd w:id="12"/>
      <w:r w:rsidR="006F7AF8">
        <w:t xml:space="preserve"> </w:t>
      </w:r>
      <w:r w:rsidR="00D850DD">
        <w:t xml:space="preserve"> </w:t>
      </w:r>
    </w:p>
    <w:p w:rsidR="006903DE" w:rsidRDefault="005B3DE3" w:rsidP="0010055B">
      <w:pPr>
        <w:keepNext/>
        <w:keepLines/>
      </w:pPr>
      <w:r>
        <w:t>Called to order at 16:00 local time.</w:t>
      </w:r>
    </w:p>
    <w:p w:rsidR="00DF79A8" w:rsidRDefault="00DF79A8" w:rsidP="0010055B">
      <w:pPr>
        <w:keepNext/>
        <w:keepLines/>
      </w:pPr>
    </w:p>
    <w:p w:rsidR="006058DE" w:rsidRDefault="006058DE" w:rsidP="0010055B">
      <w:pPr>
        <w:pStyle w:val="Heading2"/>
        <w:keepLines/>
      </w:pPr>
      <w:bookmarkStart w:id="13" w:name="_Toc451936056"/>
      <w:r>
        <w:t>Sub 1-GHz White Paper</w:t>
      </w:r>
      <w:bookmarkEnd w:id="13"/>
    </w:p>
    <w:p w:rsidR="00DF79A8" w:rsidRDefault="00DF79A8" w:rsidP="00DF79A8">
      <w:r>
        <w:t xml:space="preserve">Sub-1GHz white paper:  </w:t>
      </w:r>
      <w:r w:rsidR="00DA3761">
        <w:t xml:space="preserve">Ben completed action item (1) from Tuesday, posted edits in 24-15-0029-07; </w:t>
      </w:r>
      <w:r>
        <w:t>Tim presents</w:t>
      </w:r>
      <w:r w:rsidR="00DA3761">
        <w:t xml:space="preserve"> changes.  Additional edits </w:t>
      </w:r>
      <w:r>
        <w:t>captured in r8.</w:t>
      </w:r>
    </w:p>
    <w:p w:rsidR="00DA3761" w:rsidRDefault="00DA3761" w:rsidP="00DF79A8"/>
    <w:p w:rsidR="00DF79A8" w:rsidRDefault="00DF79A8" w:rsidP="00DF79A8">
      <w:r>
        <w:t xml:space="preserve">Cellular comparisons white paper outline review:  No discussion.  Tim </w:t>
      </w:r>
      <w:r w:rsidR="00DA3761">
        <w:t xml:space="preserve">asks that discussion continue via the email reflector. </w:t>
      </w:r>
    </w:p>
    <w:p w:rsidR="00DA3761" w:rsidRDefault="00DA3761" w:rsidP="00DF79A8"/>
    <w:p w:rsidR="00DF79A8" w:rsidRDefault="00DF79A8" w:rsidP="00DF79A8">
      <w:r>
        <w:t xml:space="preserve">IEEE SA </w:t>
      </w:r>
      <w:proofErr w:type="spellStart"/>
      <w:r>
        <w:t>ezine</w:t>
      </w:r>
      <w:proofErr w:type="spellEnd"/>
      <w:r>
        <w:t xml:space="preserve"> – Glen Parsons’ email is shared with the group.</w:t>
      </w:r>
      <w:r w:rsidR="00DA3761">
        <w:t xml:space="preserve">  Thought is that the topic of the special issue is aligned with the purpose of 802.24.  Initial suggestion of a contribution on “Impact of Gigabit wireless data networks on the Siberian Flying Squirrel” is rejected without discussion.  Agreed to continue discussion of valid topics on the reflector. </w:t>
      </w:r>
    </w:p>
    <w:p w:rsidR="00845FFF" w:rsidRDefault="001630B6" w:rsidP="001630B6">
      <w:pPr>
        <w:pStyle w:val="Heading2"/>
      </w:pPr>
      <w:bookmarkStart w:id="14" w:name="_Toc451936057"/>
      <w:r>
        <w:t>Adjournment</w:t>
      </w:r>
      <w:bookmarkEnd w:id="14"/>
    </w:p>
    <w:p w:rsidR="007C4BDF" w:rsidRDefault="00845FFF" w:rsidP="00845FFF">
      <w:pPr>
        <w:rPr>
          <w:noProof/>
        </w:rPr>
      </w:pPr>
      <w:r>
        <w:t xml:space="preserve">TAG is adjourned at </w:t>
      </w:r>
      <w:r w:rsidR="00DF79A8">
        <w:t>16:16</w:t>
      </w:r>
      <w:r w:rsidR="007C4BDF">
        <w:t xml:space="preserve"> Local Time.</w:t>
      </w:r>
      <w:r w:rsidR="007C4BDF" w:rsidRPr="007C4BDF">
        <w:rPr>
          <w:noProof/>
        </w:rPr>
        <w:t xml:space="preserve"> </w:t>
      </w:r>
    </w:p>
    <w:p w:rsidR="00500C9D" w:rsidRDefault="00500C9D">
      <w:pPr>
        <w:rPr>
          <w:noProof/>
        </w:rPr>
      </w:pPr>
    </w:p>
    <w:p w:rsidR="00C90EB0" w:rsidRDefault="00500C9D" w:rsidP="00AD7DA4">
      <w:pPr>
        <w:rPr>
          <w:noProof/>
        </w:rPr>
      </w:pPr>
      <w:r>
        <w:rPr>
          <w:noProof/>
        </w:rPr>
        <w:drawing>
          <wp:anchor distT="0" distB="0" distL="114300" distR="114300" simplePos="0" relativeHeight="251658240" behindDoc="0" locked="0" layoutInCell="1" allowOverlap="1" wp14:anchorId="2BA88B93" wp14:editId="7BFF41F8">
            <wp:simplePos x="0" y="0"/>
            <wp:positionH relativeFrom="column">
              <wp:posOffset>1163782</wp:posOffset>
            </wp:positionH>
            <wp:positionV relativeFrom="paragraph">
              <wp:posOffset>1424709</wp:posOffset>
            </wp:positionV>
            <wp:extent cx="3657600" cy="3124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124200"/>
                    </a:xfrm>
                    <a:prstGeom prst="rect">
                      <a:avLst/>
                    </a:prstGeom>
                    <a:noFill/>
                    <a:ln>
                      <a:noFill/>
                    </a:ln>
                  </pic:spPr>
                </pic:pic>
              </a:graphicData>
            </a:graphic>
          </wp:anchor>
        </w:drawing>
      </w:r>
    </w:p>
    <w:sectPr w:rsidR="00C90EB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A2" w:rsidRDefault="00F268A2">
      <w:r>
        <w:separator/>
      </w:r>
    </w:p>
  </w:endnote>
  <w:endnote w:type="continuationSeparator" w:id="0">
    <w:p w:rsidR="00F268A2" w:rsidRDefault="00F2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5A" w:rsidRDefault="0014575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9A060F">
        <w:t>Benjamin Rolfe</w:t>
      </w:r>
    </w:fldSimple>
    <w:r>
      <w:t xml:space="preserve">, </w:t>
    </w:r>
    <w:fldSimple w:instr=" DOCPROPERTY &quot;Company&quot;  \* MERGEFORMAT ">
      <w:r w:rsidR="009A060F">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5A" w:rsidRDefault="0014575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A2" w:rsidRDefault="00F268A2">
      <w:r>
        <w:separator/>
      </w:r>
    </w:p>
  </w:footnote>
  <w:footnote w:type="continuationSeparator" w:id="0">
    <w:p w:rsidR="00F268A2" w:rsidRDefault="00F2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5A" w:rsidRDefault="0014575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2016</w:t>
    </w:r>
    <w:r>
      <w:rPr>
        <w:b/>
        <w:sz w:val="28"/>
      </w:rPr>
      <w:tab/>
      <w:t xml:space="preserve"> IEEE P802.</w:t>
    </w:r>
    <w:fldSimple w:instr=" DOCPROPERTY &quot;Category&quot;  \* MERGEFORMAT ">
      <w:r w:rsidR="009A060F" w:rsidRPr="009A060F">
        <w:rPr>
          <w:b/>
          <w:sz w:val="28"/>
        </w:rPr>
        <w:t>24-16-0016-01-0000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5A" w:rsidRDefault="0014575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6"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4"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3"/>
  </w:num>
  <w:num w:numId="4">
    <w:abstractNumId w:val="25"/>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2"/>
  </w:num>
  <w:num w:numId="18">
    <w:abstractNumId w:val="22"/>
  </w:num>
  <w:num w:numId="19">
    <w:abstractNumId w:val="13"/>
  </w:num>
  <w:num w:numId="20">
    <w:abstractNumId w:val="36"/>
  </w:num>
  <w:num w:numId="21">
    <w:abstractNumId w:val="27"/>
  </w:num>
  <w:num w:numId="22">
    <w:abstractNumId w:val="15"/>
  </w:num>
  <w:num w:numId="23">
    <w:abstractNumId w:val="38"/>
  </w:num>
  <w:num w:numId="24">
    <w:abstractNumId w:val="17"/>
  </w:num>
  <w:num w:numId="25">
    <w:abstractNumId w:val="20"/>
  </w:num>
  <w:num w:numId="26">
    <w:abstractNumId w:val="16"/>
  </w:num>
  <w:num w:numId="27">
    <w:abstractNumId w:val="10"/>
  </w:num>
  <w:num w:numId="28">
    <w:abstractNumId w:val="35"/>
  </w:num>
  <w:num w:numId="29">
    <w:abstractNumId w:val="24"/>
  </w:num>
  <w:num w:numId="30">
    <w:abstractNumId w:val="31"/>
  </w:num>
  <w:num w:numId="31">
    <w:abstractNumId w:val="32"/>
  </w:num>
  <w:num w:numId="32">
    <w:abstractNumId w:val="19"/>
  </w:num>
  <w:num w:numId="33">
    <w:abstractNumId w:val="11"/>
  </w:num>
  <w:num w:numId="34">
    <w:abstractNumId w:val="29"/>
  </w:num>
  <w:num w:numId="35">
    <w:abstractNumId w:val="21"/>
  </w:num>
  <w:num w:numId="36">
    <w:abstractNumId w:val="18"/>
  </w:num>
  <w:num w:numId="37">
    <w:abstractNumId w:val="40"/>
  </w:num>
  <w:num w:numId="38">
    <w:abstractNumId w:val="14"/>
  </w:num>
  <w:num w:numId="39">
    <w:abstractNumId w:val="39"/>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84580"/>
    <w:rsid w:val="0009402D"/>
    <w:rsid w:val="00094539"/>
    <w:rsid w:val="000A06BC"/>
    <w:rsid w:val="000B7DBF"/>
    <w:rsid w:val="000C1CE3"/>
    <w:rsid w:val="000C2281"/>
    <w:rsid w:val="000D068A"/>
    <w:rsid w:val="000E0903"/>
    <w:rsid w:val="000F488F"/>
    <w:rsid w:val="0010055B"/>
    <w:rsid w:val="00107DE5"/>
    <w:rsid w:val="0011240E"/>
    <w:rsid w:val="00113BC0"/>
    <w:rsid w:val="00117AB6"/>
    <w:rsid w:val="00120B31"/>
    <w:rsid w:val="001226EB"/>
    <w:rsid w:val="00124141"/>
    <w:rsid w:val="0014575A"/>
    <w:rsid w:val="0015402F"/>
    <w:rsid w:val="00154996"/>
    <w:rsid w:val="00156813"/>
    <w:rsid w:val="001630B6"/>
    <w:rsid w:val="001773F6"/>
    <w:rsid w:val="001816A0"/>
    <w:rsid w:val="001918FF"/>
    <w:rsid w:val="00193CFF"/>
    <w:rsid w:val="001B1FCC"/>
    <w:rsid w:val="001B2C2E"/>
    <w:rsid w:val="001B4505"/>
    <w:rsid w:val="001C4FF1"/>
    <w:rsid w:val="001C66C8"/>
    <w:rsid w:val="001D326E"/>
    <w:rsid w:val="001D56B5"/>
    <w:rsid w:val="001D57BB"/>
    <w:rsid w:val="001D5A30"/>
    <w:rsid w:val="001F1EAF"/>
    <w:rsid w:val="001F602F"/>
    <w:rsid w:val="001F75FE"/>
    <w:rsid w:val="001F77A2"/>
    <w:rsid w:val="00202732"/>
    <w:rsid w:val="00222871"/>
    <w:rsid w:val="00242874"/>
    <w:rsid w:val="00243243"/>
    <w:rsid w:val="002464AF"/>
    <w:rsid w:val="002701F1"/>
    <w:rsid w:val="00272F46"/>
    <w:rsid w:val="00273385"/>
    <w:rsid w:val="0027374E"/>
    <w:rsid w:val="002800A4"/>
    <w:rsid w:val="00287B0F"/>
    <w:rsid w:val="00296B6F"/>
    <w:rsid w:val="002A4E82"/>
    <w:rsid w:val="002C2348"/>
    <w:rsid w:val="002C4DCE"/>
    <w:rsid w:val="002C6D0D"/>
    <w:rsid w:val="002D1FD5"/>
    <w:rsid w:val="002D31CB"/>
    <w:rsid w:val="002D4029"/>
    <w:rsid w:val="002D573E"/>
    <w:rsid w:val="002E362C"/>
    <w:rsid w:val="00303FF8"/>
    <w:rsid w:val="003156EB"/>
    <w:rsid w:val="0031586F"/>
    <w:rsid w:val="00322CBA"/>
    <w:rsid w:val="00333C96"/>
    <w:rsid w:val="00340624"/>
    <w:rsid w:val="00345C3B"/>
    <w:rsid w:val="00360ACE"/>
    <w:rsid w:val="0036775C"/>
    <w:rsid w:val="00370398"/>
    <w:rsid w:val="00381309"/>
    <w:rsid w:val="003861CB"/>
    <w:rsid w:val="00386B2A"/>
    <w:rsid w:val="0039270D"/>
    <w:rsid w:val="00392779"/>
    <w:rsid w:val="00396CC0"/>
    <w:rsid w:val="00397562"/>
    <w:rsid w:val="003A5D6C"/>
    <w:rsid w:val="003D6A1E"/>
    <w:rsid w:val="003E4493"/>
    <w:rsid w:val="003E7572"/>
    <w:rsid w:val="003F24FF"/>
    <w:rsid w:val="003F5EB9"/>
    <w:rsid w:val="00410482"/>
    <w:rsid w:val="004142CD"/>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6490"/>
    <w:rsid w:val="004A0C35"/>
    <w:rsid w:val="004C7802"/>
    <w:rsid w:val="004D7885"/>
    <w:rsid w:val="004E39F7"/>
    <w:rsid w:val="00500C9D"/>
    <w:rsid w:val="0050189A"/>
    <w:rsid w:val="00504AD3"/>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E5D8C"/>
    <w:rsid w:val="0060507D"/>
    <w:rsid w:val="006058DE"/>
    <w:rsid w:val="00613EE2"/>
    <w:rsid w:val="00617E9E"/>
    <w:rsid w:val="006306C5"/>
    <w:rsid w:val="00636FFD"/>
    <w:rsid w:val="00646985"/>
    <w:rsid w:val="00653130"/>
    <w:rsid w:val="006675BE"/>
    <w:rsid w:val="006729FB"/>
    <w:rsid w:val="006750FD"/>
    <w:rsid w:val="006869DC"/>
    <w:rsid w:val="006903DE"/>
    <w:rsid w:val="006A1B7A"/>
    <w:rsid w:val="006A2B4C"/>
    <w:rsid w:val="006A6B3D"/>
    <w:rsid w:val="006C1A1F"/>
    <w:rsid w:val="006C5C61"/>
    <w:rsid w:val="006C5D20"/>
    <w:rsid w:val="006D4876"/>
    <w:rsid w:val="006F73F4"/>
    <w:rsid w:val="006F7AF8"/>
    <w:rsid w:val="00704B67"/>
    <w:rsid w:val="00706498"/>
    <w:rsid w:val="007121D9"/>
    <w:rsid w:val="007348D6"/>
    <w:rsid w:val="00734F20"/>
    <w:rsid w:val="00736844"/>
    <w:rsid w:val="00763BD0"/>
    <w:rsid w:val="0077448D"/>
    <w:rsid w:val="0078547D"/>
    <w:rsid w:val="00786FC6"/>
    <w:rsid w:val="00793A08"/>
    <w:rsid w:val="007A001D"/>
    <w:rsid w:val="007A147F"/>
    <w:rsid w:val="007A3E2F"/>
    <w:rsid w:val="007A7691"/>
    <w:rsid w:val="007B560B"/>
    <w:rsid w:val="007B631A"/>
    <w:rsid w:val="007C1334"/>
    <w:rsid w:val="007C3033"/>
    <w:rsid w:val="007C3DFE"/>
    <w:rsid w:val="007C4BDF"/>
    <w:rsid w:val="007C6CF9"/>
    <w:rsid w:val="007D403E"/>
    <w:rsid w:val="007E0AE3"/>
    <w:rsid w:val="007E32B9"/>
    <w:rsid w:val="007F081D"/>
    <w:rsid w:val="00801572"/>
    <w:rsid w:val="00806808"/>
    <w:rsid w:val="00815105"/>
    <w:rsid w:val="00816035"/>
    <w:rsid w:val="00820E66"/>
    <w:rsid w:val="00822DF7"/>
    <w:rsid w:val="00833317"/>
    <w:rsid w:val="008416DE"/>
    <w:rsid w:val="00845467"/>
    <w:rsid w:val="00845FFF"/>
    <w:rsid w:val="00853C74"/>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9033AF"/>
    <w:rsid w:val="00911C05"/>
    <w:rsid w:val="00923732"/>
    <w:rsid w:val="009314F9"/>
    <w:rsid w:val="0094000F"/>
    <w:rsid w:val="00942085"/>
    <w:rsid w:val="009451FD"/>
    <w:rsid w:val="00970F7F"/>
    <w:rsid w:val="0097249E"/>
    <w:rsid w:val="00976592"/>
    <w:rsid w:val="00977C20"/>
    <w:rsid w:val="009870FF"/>
    <w:rsid w:val="00997C60"/>
    <w:rsid w:val="009A060F"/>
    <w:rsid w:val="009A600B"/>
    <w:rsid w:val="009C09E0"/>
    <w:rsid w:val="009D6956"/>
    <w:rsid w:val="009E546B"/>
    <w:rsid w:val="00A00ABA"/>
    <w:rsid w:val="00A0174B"/>
    <w:rsid w:val="00A06D59"/>
    <w:rsid w:val="00A0752B"/>
    <w:rsid w:val="00A07F6E"/>
    <w:rsid w:val="00A240F0"/>
    <w:rsid w:val="00A417AB"/>
    <w:rsid w:val="00A43B0D"/>
    <w:rsid w:val="00A53097"/>
    <w:rsid w:val="00A644FB"/>
    <w:rsid w:val="00A67D51"/>
    <w:rsid w:val="00A7277F"/>
    <w:rsid w:val="00A740A0"/>
    <w:rsid w:val="00A7592F"/>
    <w:rsid w:val="00A925B8"/>
    <w:rsid w:val="00AA2ABF"/>
    <w:rsid w:val="00AA4F86"/>
    <w:rsid w:val="00AA721B"/>
    <w:rsid w:val="00AD79D6"/>
    <w:rsid w:val="00AD7DA4"/>
    <w:rsid w:val="00AE0025"/>
    <w:rsid w:val="00AE0A97"/>
    <w:rsid w:val="00AE5F71"/>
    <w:rsid w:val="00AF6D56"/>
    <w:rsid w:val="00AF76E6"/>
    <w:rsid w:val="00B00ECF"/>
    <w:rsid w:val="00B02CBE"/>
    <w:rsid w:val="00B059DE"/>
    <w:rsid w:val="00B05E2A"/>
    <w:rsid w:val="00B15B15"/>
    <w:rsid w:val="00B16BAB"/>
    <w:rsid w:val="00B201ED"/>
    <w:rsid w:val="00B31C05"/>
    <w:rsid w:val="00B36D42"/>
    <w:rsid w:val="00B403F6"/>
    <w:rsid w:val="00B51850"/>
    <w:rsid w:val="00B61420"/>
    <w:rsid w:val="00B61896"/>
    <w:rsid w:val="00B619E7"/>
    <w:rsid w:val="00B728B1"/>
    <w:rsid w:val="00B75B29"/>
    <w:rsid w:val="00B83199"/>
    <w:rsid w:val="00B9751A"/>
    <w:rsid w:val="00B97E34"/>
    <w:rsid w:val="00BB670A"/>
    <w:rsid w:val="00BB77B3"/>
    <w:rsid w:val="00BC16B8"/>
    <w:rsid w:val="00BD39F0"/>
    <w:rsid w:val="00BD7DCE"/>
    <w:rsid w:val="00BE6020"/>
    <w:rsid w:val="00BF06C3"/>
    <w:rsid w:val="00BF35CD"/>
    <w:rsid w:val="00C14218"/>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877"/>
    <w:rsid w:val="00C94A54"/>
    <w:rsid w:val="00CA0560"/>
    <w:rsid w:val="00CA136F"/>
    <w:rsid w:val="00CA32D3"/>
    <w:rsid w:val="00CB2C41"/>
    <w:rsid w:val="00CB4A39"/>
    <w:rsid w:val="00CC7E7A"/>
    <w:rsid w:val="00CD2FC7"/>
    <w:rsid w:val="00CD32BB"/>
    <w:rsid w:val="00CD378D"/>
    <w:rsid w:val="00CD75E1"/>
    <w:rsid w:val="00CD7A9C"/>
    <w:rsid w:val="00D043CE"/>
    <w:rsid w:val="00D148DA"/>
    <w:rsid w:val="00D2208B"/>
    <w:rsid w:val="00D34111"/>
    <w:rsid w:val="00D35AA2"/>
    <w:rsid w:val="00D50182"/>
    <w:rsid w:val="00D52CCC"/>
    <w:rsid w:val="00D5673F"/>
    <w:rsid w:val="00D57AF0"/>
    <w:rsid w:val="00D83A2E"/>
    <w:rsid w:val="00D844A0"/>
    <w:rsid w:val="00D850DD"/>
    <w:rsid w:val="00D85ACD"/>
    <w:rsid w:val="00D85CE8"/>
    <w:rsid w:val="00D90737"/>
    <w:rsid w:val="00DA364C"/>
    <w:rsid w:val="00DA3761"/>
    <w:rsid w:val="00DA3930"/>
    <w:rsid w:val="00DA5A4A"/>
    <w:rsid w:val="00DC1CB5"/>
    <w:rsid w:val="00DE1BBB"/>
    <w:rsid w:val="00DF29DE"/>
    <w:rsid w:val="00DF488F"/>
    <w:rsid w:val="00DF79A8"/>
    <w:rsid w:val="00E07CF6"/>
    <w:rsid w:val="00E10480"/>
    <w:rsid w:val="00E12DD5"/>
    <w:rsid w:val="00E25399"/>
    <w:rsid w:val="00E35D5F"/>
    <w:rsid w:val="00E4211F"/>
    <w:rsid w:val="00E43D51"/>
    <w:rsid w:val="00E454B4"/>
    <w:rsid w:val="00E554D0"/>
    <w:rsid w:val="00E5648F"/>
    <w:rsid w:val="00E639FA"/>
    <w:rsid w:val="00E64C52"/>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6C51"/>
    <w:rsid w:val="00EF16FF"/>
    <w:rsid w:val="00EF1D41"/>
    <w:rsid w:val="00F109DC"/>
    <w:rsid w:val="00F11CC8"/>
    <w:rsid w:val="00F268A2"/>
    <w:rsid w:val="00F42DCC"/>
    <w:rsid w:val="00F50118"/>
    <w:rsid w:val="00F51FC7"/>
    <w:rsid w:val="00F550E8"/>
    <w:rsid w:val="00F6776A"/>
    <w:rsid w:val="00F764D5"/>
    <w:rsid w:val="00F77140"/>
    <w:rsid w:val="00FA54F1"/>
    <w:rsid w:val="00FB1EBB"/>
    <w:rsid w:val="00FC1174"/>
    <w:rsid w:val="00FD299F"/>
    <w:rsid w:val="00FD3B48"/>
    <w:rsid w:val="00FD3E98"/>
    <w:rsid w:val="00FE101D"/>
    <w:rsid w:val="00FE2B7B"/>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F956F7A-2262-43B2-846D-D264A8EB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851</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Minutes-TAG-May-2016</vt:lpstr>
    </vt:vector>
  </TitlesOfParts>
  <Manager/>
  <Company>BCA</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Minutes-TAG-May-2016</dc:title>
  <dc:subject>802.24 TAG minutes</dc:subject>
  <dc:creator>Benjamin Rolfe</dc:creator>
  <cp:keywords/>
  <dc:description>May 2016 Kona Hawaii USA</dc:description>
  <cp:lastModifiedBy>Benjamin Rolfe</cp:lastModifiedBy>
  <cp:revision>2</cp:revision>
  <cp:lastPrinted>2016-05-26T14:57:00Z</cp:lastPrinted>
  <dcterms:created xsi:type="dcterms:W3CDTF">2016-05-26T14:57:00Z</dcterms:created>
  <dcterms:modified xsi:type="dcterms:W3CDTF">2016-05-26T14:57:00Z</dcterms:modified>
  <cp:category>24-16-0016-01-0000</cp:category>
</cp:coreProperties>
</file>