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392C7490" w:rsidR="00F90D86" w:rsidRDefault="00014FFD">
            <w:pPr>
              <w:pStyle w:val="covertext"/>
            </w:pPr>
            <w:r>
              <w:t xml:space="preserve">15 September </w:t>
            </w:r>
            <w:r w:rsidR="00F90D86">
              <w:t>2015</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bookmarkStart w:id="0" w:name="_GoBack"/>
      <w:bookmarkEnd w:id="0"/>
    </w:p>
    <w:p w14:paraId="3AC750B9" w14:textId="77777777" w:rsidR="003326EE" w:rsidRDefault="00C06FDA">
      <w:r>
        <w:t>Introduction:  (criteria for inclusion, and evaluation)</w:t>
      </w:r>
    </w:p>
    <w:p w14:paraId="12D36D53" w14:textId="6048311F" w:rsidR="00533242" w:rsidRDefault="00533242" w:rsidP="00533242">
      <w:pPr>
        <w:ind w:left="720"/>
      </w:pPr>
      <w:r>
        <w:t>What is the real range of interest?  Generally 400 MHz to 1 GHz</w:t>
      </w:r>
    </w:p>
    <w:p w14:paraId="1A4DCF89" w14:textId="5415BC07" w:rsidR="00533242" w:rsidRDefault="00533242" w:rsidP="00533242">
      <w:pPr>
        <w:ind w:left="720"/>
      </w:pPr>
      <w:r>
        <w:t>But TV allocations go as low as 54 MHz, so theoretically TVWS standards can operate that low also</w:t>
      </w:r>
      <w:r w:rsidR="000A48AF">
        <w:tab/>
      </w:r>
    </w:p>
    <w:p w14:paraId="224EBAD0" w14:textId="7E3442BB" w:rsidR="00B75BFB" w:rsidRDefault="000A48AF" w:rsidP="00533242">
      <w:r>
        <w:t>Why Sub 1 G</w:t>
      </w:r>
      <w:r w:rsidR="00533242">
        <w:t>Hz is of interest for Smart Grid?</w:t>
      </w:r>
    </w:p>
    <w:p w14:paraId="35D99BBA" w14:textId="561E03E9" w:rsidR="005508BD" w:rsidRDefault="005508BD" w:rsidP="000B5063">
      <w:pPr>
        <w:pStyle w:val="ListParagraph"/>
        <w:numPr>
          <w:ilvl w:val="0"/>
          <w:numId w:val="1"/>
        </w:numPr>
      </w:pPr>
      <w:r>
        <w:t>Primarily superior propagation – compared to higher frequencies</w:t>
      </w:r>
    </w:p>
    <w:p w14:paraId="75515E51" w14:textId="6F1FC56E" w:rsidR="005508BD" w:rsidRDefault="005508BD" w:rsidP="000B5063">
      <w:pPr>
        <w:pStyle w:val="ListParagraph"/>
        <w:numPr>
          <w:ilvl w:val="1"/>
          <w:numId w:val="1"/>
        </w:numPr>
      </w:pPr>
      <w:r>
        <w:t>Include some example of range calculations comparing 915 MHz to 2.4 GHz</w:t>
      </w:r>
      <w:r w:rsidR="00290810">
        <w:t>.</w:t>
      </w:r>
    </w:p>
    <w:p w14:paraId="30E5FCC1" w14:textId="1A18CD2F" w:rsidR="00290810" w:rsidRDefault="00290810" w:rsidP="00290810">
      <w:pPr>
        <w:pStyle w:val="ListParagraph"/>
        <w:numPr>
          <w:ilvl w:val="0"/>
          <w:numId w:val="1"/>
        </w:numPr>
      </w:pPr>
      <w:r>
        <w:t>Effective propagation in real-world environments – building and foliage penetration</w:t>
      </w:r>
    </w:p>
    <w:p w14:paraId="7D542069" w14:textId="4965532D" w:rsidR="005508BD" w:rsidRDefault="005508BD" w:rsidP="005508BD">
      <w:pPr>
        <w:pStyle w:val="ListParagraph"/>
        <w:numPr>
          <w:ilvl w:val="2"/>
          <w:numId w:val="1"/>
        </w:numPr>
        <w:ind w:left="1080"/>
      </w:pPr>
      <w:r>
        <w:t>Availability of unlicensed bands</w:t>
      </w:r>
    </w:p>
    <w:p w14:paraId="67CE7021" w14:textId="0798838A" w:rsidR="005508BD" w:rsidRDefault="005508BD" w:rsidP="005508BD">
      <w:pPr>
        <w:pStyle w:val="ListParagraph"/>
        <w:numPr>
          <w:ilvl w:val="2"/>
          <w:numId w:val="1"/>
        </w:numPr>
        <w:ind w:left="1080"/>
      </w:pPr>
      <w:r>
        <w:t>Low cost implementation</w:t>
      </w:r>
      <w:r>
        <w:tab/>
      </w:r>
      <w:r>
        <w:tab/>
      </w:r>
    </w:p>
    <w:p w14:paraId="7A2920AB" w14:textId="58C796A7" w:rsidR="000A48AF" w:rsidRDefault="000A48AF">
      <w:r>
        <w:t>Existing incumbents and uses in the band</w:t>
      </w:r>
      <w:r w:rsidR="00533242">
        <w:t>s.</w:t>
      </w:r>
    </w:p>
    <w:p w14:paraId="50366978" w14:textId="60D0ED3F" w:rsidR="00533242" w:rsidRDefault="00533242" w:rsidP="00533242">
      <w:pPr>
        <w:ind w:left="720"/>
      </w:pPr>
      <w:r>
        <w:t>Depends on regulatory domain. In North America, the 915 MHz band is less congested than the 2.4 GHz band, but it is still used by multiple services and devices.</w:t>
      </w:r>
    </w:p>
    <w:p w14:paraId="76F2EF3D" w14:textId="0AEAB255" w:rsidR="00533242" w:rsidRDefault="00533242" w:rsidP="00533242">
      <w:pPr>
        <w:ind w:left="720"/>
      </w:pPr>
      <w:r>
        <w:t xml:space="preserve">In the TV White Space spectrum, the number of available channels is limited. In many large metropolitan areas, there are no available channels. In rural areas there are many. After the FCC auctions the 600 MHz band in 2016, there will be even less availability of TV White Space channels. </w:t>
      </w:r>
    </w:p>
    <w:p w14:paraId="2A61AC0F" w14:textId="77777777" w:rsidR="00533242" w:rsidRDefault="00533242"/>
    <w:p w14:paraId="16D73324" w14:textId="77777777" w:rsidR="00C06FDA" w:rsidRDefault="00C06FDA">
      <w:r>
        <w:t>Standards for regional sub-GHz channel plans</w:t>
      </w:r>
    </w:p>
    <w:p w14:paraId="186C0F8B" w14:textId="049D125A" w:rsidR="00B271FE" w:rsidRDefault="00C06FDA" w:rsidP="00B271FE">
      <w:pPr>
        <w:tabs>
          <w:tab w:val="left" w:pos="2595"/>
        </w:tabs>
        <w:ind w:firstLine="720"/>
      </w:pPr>
      <w:r>
        <w:t>802.15.4g (SUN)</w:t>
      </w:r>
      <w:r w:rsidR="00D77FA1">
        <w:tab/>
        <w:t xml:space="preserve"> </w:t>
      </w:r>
    </w:p>
    <w:p w14:paraId="5CF77D43" w14:textId="32B0DFC4" w:rsidR="00B271FE" w:rsidRPr="00F2015F" w:rsidRDefault="00DE762B" w:rsidP="00B271FE">
      <w:pPr>
        <w:ind w:left="1440"/>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This amendment comple</w:t>
      </w:r>
      <w:r w:rsidR="00B271FE">
        <w:t>ments the short-ra</w:t>
      </w:r>
      <w:r w:rsidR="00B271FE">
        <w:t xml:space="preserve">nge PHYs of </w:t>
      </w:r>
      <w:r>
        <w:t xml:space="preserve">IEEE </w:t>
      </w:r>
      <w:r w:rsidR="00B271FE">
        <w:t xml:space="preserve">802.15.4-2011 with </w:t>
      </w:r>
      <w:r w:rsidR="00B271FE">
        <w:t>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rsidP="00B271FE">
      <w:pPr>
        <w:ind w:left="1440"/>
      </w:pPr>
      <w:r>
        <w:t>The amendment includes t</w:t>
      </w:r>
      <w:r w:rsidRPr="00F2015F">
        <w:t>hree different PHY options</w:t>
      </w:r>
      <w:r>
        <w:t>:</w:t>
      </w:r>
    </w:p>
    <w:p w14:paraId="551DDE1C" w14:textId="77777777" w:rsidR="00B271FE" w:rsidRPr="00F2015F" w:rsidRDefault="00B271FE" w:rsidP="00B271FE">
      <w:pPr>
        <w:pStyle w:val="ListParagraph"/>
        <w:numPr>
          <w:ilvl w:val="0"/>
          <w:numId w:val="3"/>
        </w:numPr>
        <w:ind w:left="2160"/>
      </w:pPr>
      <w:r w:rsidRPr="00F2015F">
        <w:t>FSK PHY based on legacy AMI systems (part of which used by Wi-SUN)</w:t>
      </w:r>
    </w:p>
    <w:p w14:paraId="75DEB455" w14:textId="77777777" w:rsidR="00B271FE" w:rsidRPr="00F2015F" w:rsidRDefault="00B271FE" w:rsidP="00B271FE">
      <w:pPr>
        <w:pStyle w:val="ListParagraph"/>
        <w:numPr>
          <w:ilvl w:val="0"/>
          <w:numId w:val="3"/>
        </w:numPr>
        <w:ind w:left="2160"/>
      </w:pPr>
      <w:r w:rsidRPr="00F2015F">
        <w:t>Extension of the legacy 802.15.4 DSSS PHY</w:t>
      </w:r>
    </w:p>
    <w:p w14:paraId="7BB90AC0" w14:textId="7F888D3C" w:rsidR="00B271FE" w:rsidRPr="00F2015F" w:rsidRDefault="006755EE" w:rsidP="00B271FE">
      <w:pPr>
        <w:pStyle w:val="ListParagraph"/>
        <w:numPr>
          <w:ilvl w:val="0"/>
          <w:numId w:val="3"/>
        </w:numPr>
        <w:ind w:left="2160"/>
      </w:pPr>
      <w:r>
        <w:t>OFDM PHY for higher data rates</w:t>
      </w:r>
      <w:r w:rsidR="00DE762B">
        <w:t xml:space="preserve"> (50 to 800 </w:t>
      </w:r>
      <w:r w:rsidR="007E3108">
        <w:t>k</w:t>
      </w:r>
      <w:r w:rsidR="00DE762B">
        <w:t>bps)</w:t>
      </w:r>
    </w:p>
    <w:p w14:paraId="04DE5AEB" w14:textId="458028F3" w:rsidR="00B271FE" w:rsidRDefault="00B271FE" w:rsidP="00B271FE">
      <w:pPr>
        <w:ind w:left="1440"/>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w:t>
      </w:r>
      <w:r>
        <w:t>o</w:t>
      </w:r>
      <w:r>
        <w:t xml:space="preserve">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 xml:space="preserve">etworks.  The </w:t>
      </w:r>
      <w:r>
        <w:lastRenderedPageBreak/>
        <w:t>p</w:t>
      </w:r>
      <w:r w:rsidRPr="00F2015F">
        <w:t>roven technology standard enables interoperable produ</w:t>
      </w:r>
      <w:r>
        <w:t xml:space="preserve">cts and addresses global market and has been adopted in many regions and markets. </w:t>
      </w:r>
    </w:p>
    <w:p w14:paraId="3A663659" w14:textId="2877A094" w:rsidR="00B271FE" w:rsidRDefault="00B271FE" w:rsidP="00B271FE">
      <w:pPr>
        <w:ind w:left="1440"/>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Default="00B271FE" w:rsidP="00B271FE">
      <w:pPr>
        <w:tabs>
          <w:tab w:val="left" w:pos="2595"/>
        </w:tabs>
        <w:ind w:firstLine="720"/>
      </w:pPr>
      <w:r>
        <w:t>8</w:t>
      </w:r>
      <w:r w:rsidR="00C06FDA">
        <w:t>02.11ah (S1G)</w:t>
      </w:r>
    </w:p>
    <w:p w14:paraId="04DA9B6E" w14:textId="77777777" w:rsidR="00C06FDA" w:rsidRDefault="00C06FDA" w:rsidP="00C06FDA">
      <w:r>
        <w:t>Standards for TV White Space</w:t>
      </w:r>
    </w:p>
    <w:p w14:paraId="518976CB" w14:textId="77777777" w:rsidR="00C06FDA" w:rsidRDefault="00C06FDA" w:rsidP="00C06FDA">
      <w:r>
        <w:tab/>
        <w:t>802.15.4m (TVWS)</w:t>
      </w:r>
    </w:p>
    <w:p w14:paraId="2E519033" w14:textId="77777777" w:rsidR="00B75BFB" w:rsidRDefault="00B75BFB" w:rsidP="00B75BFB">
      <w:pPr>
        <w:ind w:left="1440"/>
        <w:rPr>
          <w:lang w:eastAsia="ja-JP"/>
        </w:rPr>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rsidP="00B75BFB">
      <w:pPr>
        <w:spacing w:after="200" w:line="276" w:lineRule="auto"/>
        <w:ind w:left="1440"/>
      </w:pPr>
      <w:r w:rsidRPr="00A33115">
        <w:t>The alternate PHYs support principally outdoor, low-data-rate, wireless, TV white space (TVWS) network applications. The TVWS PHYs are as follows:</w:t>
      </w:r>
    </w:p>
    <w:p w14:paraId="75E5CB0E" w14:textId="77777777" w:rsidR="00B75BFB" w:rsidRPr="00A33115" w:rsidRDefault="00B75BFB" w:rsidP="00B75BFB">
      <w:pPr>
        <w:spacing w:after="200" w:line="276" w:lineRule="auto"/>
        <w:ind w:left="1440"/>
      </w:pPr>
      <w:r w:rsidRPr="00A33115">
        <w:t xml:space="preserve">— Frequency Shift Keying (TVWS-FSK) PHY </w:t>
      </w:r>
    </w:p>
    <w:p w14:paraId="0BABBC6B" w14:textId="77777777" w:rsidR="00B75BFB" w:rsidRPr="00A33115" w:rsidRDefault="00B75BFB" w:rsidP="00B75BFB">
      <w:pPr>
        <w:spacing w:after="200" w:line="276" w:lineRule="auto"/>
        <w:ind w:left="1440"/>
      </w:pPr>
      <w:r w:rsidRPr="00A33115">
        <w:t>— Orthogonal Frequency Division Multiplexing (TVWS-OFDM) PHY</w:t>
      </w:r>
    </w:p>
    <w:p w14:paraId="566810BD" w14:textId="77777777" w:rsidR="00B75BFB" w:rsidRPr="00A33115" w:rsidRDefault="00B75BFB" w:rsidP="00B75BFB">
      <w:pPr>
        <w:spacing w:after="200" w:line="276" w:lineRule="auto"/>
        <w:ind w:left="1440"/>
      </w:pPr>
      <w:r w:rsidRPr="00A33115">
        <w:t>— Narrow Band Orthogonal Frequency Division Multiplexing (TVWS-NB-OFDM) PHY</w:t>
      </w:r>
    </w:p>
    <w:p w14:paraId="71570184" w14:textId="77777777" w:rsidR="00B75BFB" w:rsidRPr="00A33115" w:rsidRDefault="00B75BFB" w:rsidP="00B75BFB">
      <w:pPr>
        <w:spacing w:after="200" w:line="276" w:lineRule="auto"/>
        <w:ind w:left="1440"/>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rsidP="00B75BFB">
      <w:pPr>
        <w:spacing w:after="200" w:line="276" w:lineRule="auto"/>
        <w:ind w:left="1440"/>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rsidP="00B75BFB">
      <w:pPr>
        <w:spacing w:after="200" w:line="276" w:lineRule="auto"/>
        <w:ind w:left="1440"/>
      </w:pPr>
      <w:r w:rsidRPr="00A33115">
        <w:t xml:space="preserve">802.15.4m PHYs provide features to improve link reliably such as forward error correction, multiple modulation and coding schemes as well as existing features of the </w:t>
      </w:r>
      <w:r w:rsidRPr="00A33115">
        <w:lastRenderedPageBreak/>
        <w:t>standard such as 32-bit frame check sequence, and acknowledged frame exchange with automatic retransmission.</w:t>
      </w:r>
    </w:p>
    <w:p w14:paraId="7CA0078E" w14:textId="77777777" w:rsidR="00B75BFB" w:rsidRPr="00A33115" w:rsidRDefault="00B75BFB" w:rsidP="00B75BFB">
      <w:pPr>
        <w:ind w:left="1440"/>
        <w:rPr>
          <w:rFonts w:ascii="Arial" w:eastAsia="Malgun Gothic" w:hAnsi="Arial" w:cs="Arial"/>
          <w:lang w:eastAsia="ko-KR"/>
        </w:rPr>
      </w:pPr>
      <w:r w:rsidRPr="00A33115">
        <w:rPr>
          <w:rFonts w:ascii="Arial" w:eastAsia="Malgun Gothic" w:hAnsi="Arial" w:cs="Arial"/>
          <w:lang w:eastAsia="ko-KR"/>
        </w:rPr>
        <w:t xml:space="preserve"> </w:t>
      </w:r>
    </w:p>
    <w:p w14:paraId="2E16F25E" w14:textId="77777777" w:rsidR="00B75BFB" w:rsidRDefault="00B75BFB" w:rsidP="00B75BFB">
      <w:pPr>
        <w:ind w:left="1440"/>
      </w:pPr>
    </w:p>
    <w:p w14:paraId="219F2D8E" w14:textId="77777777" w:rsidR="00C06FDA" w:rsidRDefault="00C06FDA" w:rsidP="00C06FDA">
      <w:r>
        <w:tab/>
        <w:t>802.11af (TVHT)</w:t>
      </w:r>
    </w:p>
    <w:p w14:paraId="72A351F6" w14:textId="77777777" w:rsidR="00C06FDA" w:rsidRDefault="00C06FDA" w:rsidP="00C06FDA">
      <w:r>
        <w:tab/>
        <w:t>802.22</w:t>
      </w:r>
    </w:p>
    <w:p w14:paraId="7E8C3F1A" w14:textId="77777777" w:rsidR="003D09DD" w:rsidRDefault="003D09DD" w:rsidP="00C06FDA">
      <w:r>
        <w:tab/>
        <w:t>802.19.1</w:t>
      </w:r>
    </w:p>
    <w:p w14:paraId="4379165E" w14:textId="77777777" w:rsidR="00684730" w:rsidRDefault="00684730" w:rsidP="00B271FE"/>
    <w:p w14:paraId="0CFD24E0" w14:textId="6F50E863" w:rsidR="00B271FE" w:rsidRDefault="00684730" w:rsidP="00B271FE">
      <w:r>
        <w:t>Application-domain s</w:t>
      </w:r>
      <w:r w:rsidR="00B271FE">
        <w:t xml:space="preserve">tandards that </w:t>
      </w:r>
      <w:r w:rsidR="00FC3F5C">
        <w:t xml:space="preserve">build on IEEE 802 </w:t>
      </w:r>
      <w:r w:rsidR="00B271FE">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w:t>
      </w:r>
      <w:r w:rsidR="00A331D0">
        <w:t>m</w:t>
      </w:r>
      <w:r>
        <w:t>, 802.1X, 802.15.9, security mechanisms from 802.11</w:t>
      </w:r>
      <w:r w:rsidR="009E6E1B">
        <w:t>, and</w:t>
      </w:r>
      <w:r w:rsidR="009E6E1B" w:rsidRPr="009E6E1B">
        <w:t xml:space="preserve"> </w:t>
      </w:r>
      <w:r w:rsidR="009E6E1B">
        <w:t>ANSI 4957</w:t>
      </w:r>
      <w:r w:rsidR="009E6E1B">
        <w:t xml:space="preserve">.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Default="00C06FDA" w:rsidP="00C06FDA">
      <w:r>
        <w:t>Applications</w:t>
      </w:r>
    </w:p>
    <w:p w14:paraId="1058084A" w14:textId="77777777" w:rsidR="00B271FE" w:rsidRDefault="00B271FE" w:rsidP="00176293">
      <w:pPr>
        <w:ind w:left="720"/>
      </w:pP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2CDC40BC" w14:textId="77777777" w:rsidR="00C06FDA" w:rsidRDefault="00176293" w:rsidP="00C06FDA">
      <w:r>
        <w:tab/>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t>Summary of characteristics</w:t>
      </w:r>
      <w:r w:rsidR="00176293">
        <w:t xml:space="preserve"> and key comparisons</w:t>
      </w:r>
    </w:p>
    <w:p w14:paraId="13A6C35E" w14:textId="29F783A6" w:rsidR="003D09DD" w:rsidRDefault="003D09DD" w:rsidP="003D09DD">
      <w:r>
        <w:tab/>
        <w:t>PAP 2 table for facts about the standards</w:t>
      </w:r>
    </w:p>
    <w:p w14:paraId="031A54AA" w14:textId="77777777" w:rsidR="001A547D" w:rsidRDefault="008D7130" w:rsidP="001A547D">
      <w:pPr>
        <w:keepNext/>
      </w:pPr>
      <w:r w:rsidRPr="008D7130">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fldSimple w:instr=" SEQ Figure \* ARABIC ">
        <w:r>
          <w:rPr>
            <w:noProof/>
          </w:rPr>
          <w:t>1</w:t>
        </w:r>
      </w:fldSimple>
      <w:r>
        <w:t xml:space="preserve"> Excerpt from SGIP PAP</w:t>
      </w:r>
      <w:r>
        <w:rPr>
          <w:noProof/>
        </w:rPr>
        <w:t xml:space="preserve"> 2 Wireless Characteristics Matrix for standards operating in sub-1 GHz spectrum</w:t>
      </w:r>
    </w:p>
    <w:p w14:paraId="24B51A8C" w14:textId="77777777" w:rsidR="001A547D" w:rsidRDefault="001A547D" w:rsidP="001A547D"/>
    <w:p w14:paraId="49F75064" w14:textId="33786AC2" w:rsidR="00F75AE8" w:rsidRPr="00F75AE8" w:rsidRDefault="00F75AE8" w:rsidP="001A547D">
      <w:pPr>
        <w:rPr>
          <w:i/>
        </w:rPr>
      </w:pPr>
      <w:r w:rsidRPr="00F75AE8">
        <w:rPr>
          <w:i/>
        </w:rPr>
        <w:t>{Need a table showing standards on one axis, and supported frequencies on the other axis}</w:t>
      </w:r>
    </w:p>
    <w:p w14:paraId="2FD3D742" w14:textId="77777777" w:rsidR="00F75AE8" w:rsidRDefault="00F75AE8" w:rsidP="001A547D"/>
    <w:p w14:paraId="7FA19D2D" w14:textId="626020FE" w:rsidR="003D09DD" w:rsidRDefault="003D09DD" w:rsidP="001A547D">
      <w:r>
        <w:t>Explanation and Interpretations of the data</w:t>
      </w:r>
      <w:r>
        <w:tab/>
      </w:r>
    </w:p>
    <w:p w14:paraId="1CDEA6E3" w14:textId="77777777" w:rsidR="001A547D" w:rsidRDefault="001A547D" w:rsidP="00121408"/>
    <w:p w14:paraId="2F606FE7" w14:textId="0873B811" w:rsidR="00121408" w:rsidRDefault="00121408" w:rsidP="00121408">
      <w:r>
        <w:t>Key differences between the standards</w:t>
      </w:r>
    </w:p>
    <w:p w14:paraId="3B3557BD" w14:textId="7E64E337" w:rsidR="00121408" w:rsidRDefault="00121408" w:rsidP="00121408">
      <w:pPr>
        <w:ind w:left="720"/>
      </w:pPr>
      <w:r>
        <w:t>802.11ah uses a wider bandwidth and can provide a higher data rate</w:t>
      </w:r>
    </w:p>
    <w:p w14:paraId="4799D03A" w14:textId="1B0F8B9A" w:rsidR="00626DF8" w:rsidRDefault="00626DF8" w:rsidP="00121408">
      <w:pPr>
        <w:ind w:left="720"/>
      </w:pPr>
      <w:r>
        <w:lastRenderedPageBreak/>
        <w:tab/>
        <w:t>(Insert specifics of BW and data rates in a chart)</w:t>
      </w:r>
    </w:p>
    <w:p w14:paraId="2C06E3EE" w14:textId="6AC12FFB" w:rsidR="00121408" w:rsidRDefault="00121408" w:rsidP="00121408">
      <w:pPr>
        <w:ind w:left="720"/>
      </w:pPr>
      <w:r>
        <w:t>802.11ah is not generally deployed as a mesh, it is more suitable for star networks (although it does implement a one-hop repeater function for range extension)</w:t>
      </w:r>
    </w:p>
    <w:p w14:paraId="5A1ECD92" w14:textId="7D2A256C" w:rsidR="00121408" w:rsidRDefault="00121408" w:rsidP="00121408">
      <w:pPr>
        <w:ind w:left="720"/>
      </w:pPr>
      <w:r>
        <w:t xml:space="preserve">802.15.4g </w:t>
      </w:r>
      <w:r w:rsidR="00626DF8">
        <w:t xml:space="preserve">and 802.15.4m are </w:t>
      </w:r>
      <w:r>
        <w:t>typically combined with a meshing standard (at layer 2 or layer 3) to provide coverage over an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7617B1BE" w14:textId="77777777" w:rsidR="00C06FDA" w:rsidRDefault="003D09DD" w:rsidP="00121408">
      <w:r>
        <w:t>Explanations of coexistence between similar standards in each group</w:t>
      </w:r>
    </w:p>
    <w:p w14:paraId="7FD55E1F" w14:textId="312D4A9D" w:rsidR="00490467" w:rsidRDefault="00490467" w:rsidP="007E3108">
      <w:pPr>
        <w:ind w:left="720"/>
      </w:pPr>
      <w:r>
        <w:t>Applicability of 802.19.1 TVWS coexistence standard</w:t>
      </w:r>
    </w:p>
    <w:p w14:paraId="17824216" w14:textId="77777777" w:rsidR="00121408" w:rsidRDefault="00121408" w:rsidP="003D09DD"/>
    <w:p w14:paraId="060AC388" w14:textId="77777777" w:rsidR="003D09DD" w:rsidRDefault="003D09DD" w:rsidP="003D09DD">
      <w:r>
        <w:t>Global regulatory environment</w:t>
      </w:r>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tab/>
      </w:r>
      <w:r>
        <w:tab/>
        <w:t xml:space="preserve">References to defining documents for further information </w:t>
      </w:r>
    </w:p>
    <w:p w14:paraId="4DCF80F8" w14:textId="77777777" w:rsidR="003D09DD" w:rsidRDefault="003D09DD" w:rsidP="003D09DD">
      <w:r>
        <w:tab/>
        <w:t>Coexistence in global bands</w:t>
      </w:r>
    </w:p>
    <w:p w14:paraId="35A5C4CB" w14:textId="59DC70C3" w:rsidR="005508BD" w:rsidRDefault="005508BD" w:rsidP="003D09DD">
      <w:r>
        <w:tab/>
      </w:r>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3194359D" w14:textId="3FDD0BAD" w:rsidR="00490467" w:rsidRDefault="00490467" w:rsidP="003D09DD">
      <w:r>
        <w:tab/>
        <w:t>Unlicensed spectrum is valuable and beneficial for Smart Grid applications, due to the scarcity and cost of licensed spectrum in comparable frequency ranges</w:t>
      </w:r>
    </w:p>
    <w:p w14:paraId="6A461C16" w14:textId="4619ADEB" w:rsidR="00490467" w:rsidRDefault="00490467" w:rsidP="003D09DD">
      <w:r>
        <w:tab/>
        <w:t xml:space="preserve">The Sub-1GHz standards implement coexistence mechanisms that make it possible to operate effectively in this shared spectrum. </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765FB" w14:textId="77777777" w:rsidR="0085208E" w:rsidRDefault="0085208E" w:rsidP="00A619FD">
      <w:pPr>
        <w:spacing w:after="0" w:line="240" w:lineRule="auto"/>
      </w:pPr>
      <w:r>
        <w:separator/>
      </w:r>
    </w:p>
  </w:endnote>
  <w:endnote w:type="continuationSeparator" w:id="0">
    <w:p w14:paraId="3266D722" w14:textId="77777777" w:rsidR="0085208E" w:rsidRDefault="0085208E"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C379D" w14:textId="77777777" w:rsidR="0085208E" w:rsidRDefault="0085208E" w:rsidP="00A619FD">
      <w:pPr>
        <w:spacing w:after="0" w:line="240" w:lineRule="auto"/>
      </w:pPr>
      <w:r>
        <w:separator/>
      </w:r>
    </w:p>
  </w:footnote>
  <w:footnote w:type="continuationSeparator" w:id="0">
    <w:p w14:paraId="1E32B137" w14:textId="77777777" w:rsidR="0085208E" w:rsidRDefault="0085208E" w:rsidP="00A61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54946"/>
    <w:rsid w:val="000850CE"/>
    <w:rsid w:val="000A48AF"/>
    <w:rsid w:val="000B5063"/>
    <w:rsid w:val="000D34A1"/>
    <w:rsid w:val="000E7A15"/>
    <w:rsid w:val="00121408"/>
    <w:rsid w:val="00167FCA"/>
    <w:rsid w:val="00176293"/>
    <w:rsid w:val="001767F6"/>
    <w:rsid w:val="001A547D"/>
    <w:rsid w:val="001A66F7"/>
    <w:rsid w:val="001B09B4"/>
    <w:rsid w:val="001C482F"/>
    <w:rsid w:val="001D6013"/>
    <w:rsid w:val="001E5D75"/>
    <w:rsid w:val="001E6FA4"/>
    <w:rsid w:val="002244F1"/>
    <w:rsid w:val="00225F31"/>
    <w:rsid w:val="00234E37"/>
    <w:rsid w:val="00290810"/>
    <w:rsid w:val="0030045B"/>
    <w:rsid w:val="003063EF"/>
    <w:rsid w:val="00324309"/>
    <w:rsid w:val="003326EE"/>
    <w:rsid w:val="0035060E"/>
    <w:rsid w:val="00357B93"/>
    <w:rsid w:val="00357E24"/>
    <w:rsid w:val="00366BC8"/>
    <w:rsid w:val="0037058C"/>
    <w:rsid w:val="00373179"/>
    <w:rsid w:val="003848CB"/>
    <w:rsid w:val="00386F38"/>
    <w:rsid w:val="003915AD"/>
    <w:rsid w:val="00394B56"/>
    <w:rsid w:val="003B2DFA"/>
    <w:rsid w:val="003D09DD"/>
    <w:rsid w:val="0041479A"/>
    <w:rsid w:val="004248A0"/>
    <w:rsid w:val="00453BB8"/>
    <w:rsid w:val="00460722"/>
    <w:rsid w:val="00480D14"/>
    <w:rsid w:val="004851B7"/>
    <w:rsid w:val="00490467"/>
    <w:rsid w:val="004F305C"/>
    <w:rsid w:val="00530261"/>
    <w:rsid w:val="00533242"/>
    <w:rsid w:val="0053338A"/>
    <w:rsid w:val="005378CF"/>
    <w:rsid w:val="00544BFB"/>
    <w:rsid w:val="0054589E"/>
    <w:rsid w:val="005508BD"/>
    <w:rsid w:val="005C3E79"/>
    <w:rsid w:val="0060152A"/>
    <w:rsid w:val="00607BFC"/>
    <w:rsid w:val="00626DF8"/>
    <w:rsid w:val="0065695C"/>
    <w:rsid w:val="0065701D"/>
    <w:rsid w:val="006755EE"/>
    <w:rsid w:val="00684730"/>
    <w:rsid w:val="006904A5"/>
    <w:rsid w:val="006906A6"/>
    <w:rsid w:val="00693FE3"/>
    <w:rsid w:val="006B138C"/>
    <w:rsid w:val="006C1E65"/>
    <w:rsid w:val="006C26CA"/>
    <w:rsid w:val="00717433"/>
    <w:rsid w:val="00727A4C"/>
    <w:rsid w:val="00784CC8"/>
    <w:rsid w:val="007D207E"/>
    <w:rsid w:val="007D6E1C"/>
    <w:rsid w:val="007E3108"/>
    <w:rsid w:val="007F7EC1"/>
    <w:rsid w:val="00830335"/>
    <w:rsid w:val="00831308"/>
    <w:rsid w:val="0083343D"/>
    <w:rsid w:val="0085208E"/>
    <w:rsid w:val="008578B8"/>
    <w:rsid w:val="00894E6F"/>
    <w:rsid w:val="008B784B"/>
    <w:rsid w:val="008D7130"/>
    <w:rsid w:val="00904FC8"/>
    <w:rsid w:val="00916F29"/>
    <w:rsid w:val="009358CA"/>
    <w:rsid w:val="00940479"/>
    <w:rsid w:val="009440D1"/>
    <w:rsid w:val="00962D5D"/>
    <w:rsid w:val="009654B7"/>
    <w:rsid w:val="00976C6A"/>
    <w:rsid w:val="009A50CD"/>
    <w:rsid w:val="009D2456"/>
    <w:rsid w:val="009E6E1B"/>
    <w:rsid w:val="00A21BA8"/>
    <w:rsid w:val="00A3060D"/>
    <w:rsid w:val="00A331D0"/>
    <w:rsid w:val="00A619FD"/>
    <w:rsid w:val="00A776A8"/>
    <w:rsid w:val="00A87A4C"/>
    <w:rsid w:val="00A9599A"/>
    <w:rsid w:val="00AD0A83"/>
    <w:rsid w:val="00AD287F"/>
    <w:rsid w:val="00B02DE2"/>
    <w:rsid w:val="00B271FE"/>
    <w:rsid w:val="00B74564"/>
    <w:rsid w:val="00B74BCA"/>
    <w:rsid w:val="00B75BFB"/>
    <w:rsid w:val="00B8618A"/>
    <w:rsid w:val="00BA5491"/>
    <w:rsid w:val="00BB0F99"/>
    <w:rsid w:val="00C06FDA"/>
    <w:rsid w:val="00C123A4"/>
    <w:rsid w:val="00C1760A"/>
    <w:rsid w:val="00C4057A"/>
    <w:rsid w:val="00C41373"/>
    <w:rsid w:val="00C4774B"/>
    <w:rsid w:val="00C506CE"/>
    <w:rsid w:val="00C81AC7"/>
    <w:rsid w:val="00CA0BD6"/>
    <w:rsid w:val="00CE1A4D"/>
    <w:rsid w:val="00CE5D7D"/>
    <w:rsid w:val="00D064A4"/>
    <w:rsid w:val="00D50980"/>
    <w:rsid w:val="00D52A80"/>
    <w:rsid w:val="00D67333"/>
    <w:rsid w:val="00D77FA1"/>
    <w:rsid w:val="00D84DC8"/>
    <w:rsid w:val="00D9237F"/>
    <w:rsid w:val="00D94BD1"/>
    <w:rsid w:val="00DA3C53"/>
    <w:rsid w:val="00DD1A8A"/>
    <w:rsid w:val="00DE762B"/>
    <w:rsid w:val="00E06B30"/>
    <w:rsid w:val="00E24EAE"/>
    <w:rsid w:val="00E24EFF"/>
    <w:rsid w:val="00E27135"/>
    <w:rsid w:val="00E47879"/>
    <w:rsid w:val="00E83F45"/>
    <w:rsid w:val="00EA4E6A"/>
    <w:rsid w:val="00ED7190"/>
    <w:rsid w:val="00F00DAB"/>
    <w:rsid w:val="00F03B17"/>
    <w:rsid w:val="00F10E0C"/>
    <w:rsid w:val="00F65950"/>
    <w:rsid w:val="00F75AE8"/>
    <w:rsid w:val="00F86F25"/>
    <w:rsid w:val="00F90D86"/>
    <w:rsid w:val="00FC3F5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chartTrackingRefBased/>
  <w15:docId w15:val="{C49FF6FB-2D72-40A6-87C6-CDF4896E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1221</Words>
  <Characters>7221</Characters>
  <Application>Microsoft Office Word</Application>
  <DocSecurity>0</DocSecurity>
  <Lines>195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20</cp:revision>
  <dcterms:created xsi:type="dcterms:W3CDTF">2015-09-15T09:15:00Z</dcterms:created>
  <dcterms:modified xsi:type="dcterms:W3CDTF">2015-09-15T10:32:00Z</dcterms:modified>
</cp:coreProperties>
</file>