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4B" w14:textId="77777777" w:rsidR="00F90D86" w:rsidRDefault="00F90D86" w:rsidP="00F90D86">
      <w:pPr>
        <w:jc w:val="center"/>
        <w:rPr>
          <w:b/>
          <w:sz w:val="28"/>
        </w:rPr>
      </w:pPr>
      <w:r>
        <w:rPr>
          <w:b/>
          <w:sz w:val="28"/>
        </w:rPr>
        <w:t>IEEE P802.24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69E95A80" w:rsidR="00F90D86" w:rsidRDefault="00F90D86" w:rsidP="00F90D86">
            <w:pPr>
              <w:pStyle w:val="covertext"/>
            </w:pPr>
            <w:r>
              <w:t>IEEE P802.24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3ADA3B94" w:rsidR="00F90D86" w:rsidRDefault="00F90D86">
            <w:pPr>
              <w:pStyle w:val="covertext"/>
              <w:rPr>
                <w:b/>
                <w:szCs w:val="24"/>
              </w:rPr>
            </w:pPr>
            <w:r>
              <w:t>Smart Grid Task Group – Sub 1 GHz White Paper Outline</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047583C1" w:rsidR="00F90D86" w:rsidRDefault="008114F9">
            <w:pPr>
              <w:pStyle w:val="covertext"/>
            </w:pPr>
            <w:r>
              <w:t>15 July</w:t>
            </w:r>
            <w:r w:rsidR="00F90D86">
              <w:t xml:space="preserve"> 2015</w:t>
            </w:r>
          </w:p>
        </w:tc>
      </w:tr>
      <w:tr w:rsidR="00F90D86" w14:paraId="0D3C9301" w14:textId="77777777">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2FF30313" w14:textId="723BC403" w:rsidR="00F90D86" w:rsidRDefault="00F90D86">
            <w:pPr>
              <w:pStyle w:val="covertext"/>
              <w:spacing w:before="0" w:after="0"/>
            </w:pPr>
            <w:r>
              <w:t>Tim Godfrey</w:t>
            </w:r>
          </w:p>
        </w:tc>
        <w:tc>
          <w:tcPr>
            <w:tcW w:w="4140" w:type="dxa"/>
            <w:tcBorders>
              <w:top w:val="single" w:sz="4" w:space="0" w:color="auto"/>
              <w:left w:val="nil"/>
              <w:bottom w:val="single" w:sz="4" w:space="0" w:color="auto"/>
              <w:right w:val="nil"/>
            </w:tcBorders>
            <w:hideMark/>
          </w:tcPr>
          <w:p w14:paraId="18C9B54A" w14:textId="1894AAB9" w:rsidR="00F90D86" w:rsidRDefault="00F90D86" w:rsidP="00F90D86">
            <w:pPr>
              <w:pStyle w:val="covertext"/>
              <w:tabs>
                <w:tab w:val="left" w:pos="1152"/>
              </w:tabs>
              <w:spacing w:before="0" w:after="0"/>
              <w:rPr>
                <w:sz w:val="18"/>
              </w:rPr>
            </w:pPr>
            <w:r>
              <w:t>Voice:</w:t>
            </w:r>
            <w:r>
              <w:tab/>
              <w:t>913.706.37777</w:t>
            </w:r>
            <w:r>
              <w:br/>
              <w:t>E-mail:</w:t>
            </w:r>
            <w:r>
              <w:tab/>
            </w:r>
            <w:r w:rsidRPr="00E468EA">
              <w:rPr>
                <w:noProof/>
              </w:rPr>
              <w:drawing>
                <wp:inline distT="0" distB="0" distL="0" distR="0" wp14:anchorId="10AA118F" wp14:editId="680204CE">
                  <wp:extent cx="16383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39999"/>
                          <a:stretch>
                            <a:fillRect/>
                          </a:stretch>
                        </pic:blipFill>
                        <pic:spPr bwMode="auto">
                          <a:xfrm>
                            <a:off x="0" y="0"/>
                            <a:ext cx="1638300" cy="304800"/>
                          </a:xfrm>
                          <a:prstGeom prst="rect">
                            <a:avLst/>
                          </a:prstGeom>
                          <a:noFill/>
                          <a:ln>
                            <a:noFill/>
                          </a:ln>
                        </pic:spPr>
                      </pic:pic>
                    </a:graphicData>
                  </a:graphic>
                </wp:inline>
              </w:drawing>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49828708" w:rsidR="00F90D86" w:rsidRDefault="00F90D86">
            <w:pPr>
              <w:pStyle w:val="covertext"/>
            </w:pPr>
            <w:r>
              <w:t>Outline for the TG’s 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3135FEEC" w:rsidR="00F90D86" w:rsidRDefault="00F90D86" w:rsidP="00F90D86">
            <w:pPr>
              <w:pStyle w:val="covertext"/>
            </w:pPr>
            <w:r>
              <w:t>Provide a framework for developing the 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p w14:paraId="3AC750B9" w14:textId="77777777" w:rsidR="003326EE" w:rsidRDefault="00C06FDA">
      <w:r>
        <w:t>Introduction:  (criteria for inclusion, and evaluation)</w:t>
      </w:r>
    </w:p>
    <w:p w14:paraId="0B709C4E" w14:textId="77777777" w:rsidR="000A48AF" w:rsidRDefault="000A48AF">
      <w:r>
        <w:tab/>
        <w:t>Why Sub 1 GHz is of interest for Smart Grid</w:t>
      </w:r>
    </w:p>
    <w:p w14:paraId="7A2920AB" w14:textId="77777777" w:rsidR="000A48AF" w:rsidRDefault="000A48AF">
      <w:r>
        <w:tab/>
        <w:t>Existing incumbents and uses in the band</w:t>
      </w:r>
    </w:p>
    <w:p w14:paraId="16D73324" w14:textId="77777777" w:rsidR="00C06FDA" w:rsidRPr="00275FC8" w:rsidRDefault="00C06FDA">
      <w:pPr>
        <w:rPr>
          <w:b/>
        </w:rPr>
      </w:pPr>
      <w:r w:rsidRPr="00275FC8">
        <w:rPr>
          <w:b/>
        </w:rPr>
        <w:t>Standards for regional sub-GHz channel plans</w:t>
      </w:r>
    </w:p>
    <w:p w14:paraId="09902861" w14:textId="7A69C071" w:rsidR="00033AE0" w:rsidRDefault="00033AE0" w:rsidP="00D77FA1">
      <w:pPr>
        <w:tabs>
          <w:tab w:val="left" w:pos="2595"/>
        </w:tabs>
        <w:ind w:firstLine="720"/>
      </w:pPr>
      <w:r>
        <w:t>Including targeted applications spaces and use cases</w:t>
      </w:r>
    </w:p>
    <w:p w14:paraId="58D198A9" w14:textId="77777777" w:rsidR="00C06FDA" w:rsidRDefault="00C06FDA" w:rsidP="00D77FA1">
      <w:pPr>
        <w:tabs>
          <w:tab w:val="left" w:pos="2595"/>
        </w:tabs>
        <w:ind w:firstLine="720"/>
      </w:pPr>
      <w:r>
        <w:t>802.15.4g (SUN)</w:t>
      </w:r>
      <w:r w:rsidR="00D77FA1">
        <w:tab/>
        <w:t xml:space="preserve">   (Steve Pope)</w:t>
      </w:r>
    </w:p>
    <w:p w14:paraId="7C314311" w14:textId="72C6C245" w:rsidR="00AC3C04" w:rsidRDefault="00AC3C04" w:rsidP="00D77FA1">
      <w:pPr>
        <w:tabs>
          <w:tab w:val="left" w:pos="2595"/>
        </w:tabs>
        <w:ind w:firstLine="720"/>
      </w:pPr>
      <w:r>
        <w:tab/>
        <w:t xml:space="preserve">802.15.4g standard for SUN operation   </w:t>
      </w:r>
    </w:p>
    <w:p w14:paraId="1A4F6447" w14:textId="002EF390" w:rsidR="00AC3C04" w:rsidRDefault="00AC3C04" w:rsidP="00D77FA1">
      <w:pPr>
        <w:tabs>
          <w:tab w:val="left" w:pos="2595"/>
        </w:tabs>
        <w:ind w:firstLine="720"/>
      </w:pPr>
      <w:r>
        <w:tab/>
        <w:t>History, overview, bands internationally.</w:t>
      </w:r>
    </w:p>
    <w:p w14:paraId="7FBAA0A2" w14:textId="24B44B61" w:rsidR="00AC3C04" w:rsidRDefault="00AC3C04" w:rsidP="00D77FA1">
      <w:pPr>
        <w:tabs>
          <w:tab w:val="left" w:pos="2595"/>
        </w:tabs>
        <w:ind w:firstLine="720"/>
      </w:pPr>
      <w:r>
        <w:tab/>
      </w:r>
      <w:r>
        <w:tab/>
        <w:t>40-200 Available channels</w:t>
      </w:r>
      <w:r w:rsidR="004F4FEE">
        <w:t xml:space="preserve"> in many cases</w:t>
      </w:r>
    </w:p>
    <w:p w14:paraId="33BC8B73" w14:textId="633E91FE" w:rsidR="004F4FEE" w:rsidRDefault="004F4FEE" w:rsidP="00D77FA1">
      <w:pPr>
        <w:tabs>
          <w:tab w:val="left" w:pos="2595"/>
        </w:tabs>
        <w:ind w:firstLine="720"/>
      </w:pPr>
      <w:r>
        <w:tab/>
      </w:r>
      <w:r>
        <w:tab/>
        <w:t>Support for licensed and unlicensed spectrums</w:t>
      </w:r>
    </w:p>
    <w:p w14:paraId="4E17C009" w14:textId="6F449301" w:rsidR="00AC3C04" w:rsidRDefault="00AC3C04" w:rsidP="00D77FA1">
      <w:pPr>
        <w:tabs>
          <w:tab w:val="left" w:pos="2595"/>
        </w:tabs>
        <w:ind w:firstLine="720"/>
      </w:pPr>
      <w:r>
        <w:tab/>
      </w:r>
      <w:r>
        <w:tab/>
        <w:t>Review of channels structure within bands</w:t>
      </w:r>
    </w:p>
    <w:p w14:paraId="48E3CAC0" w14:textId="704CD9DB" w:rsidR="00AC3C04" w:rsidRDefault="00AC3C04" w:rsidP="00D77FA1">
      <w:pPr>
        <w:tabs>
          <w:tab w:val="left" w:pos="2595"/>
        </w:tabs>
        <w:ind w:firstLine="720"/>
      </w:pPr>
      <w:r>
        <w:tab/>
      </w:r>
      <w:r>
        <w:tab/>
        <w:t>Benefits of FH and channel plan</w:t>
      </w:r>
    </w:p>
    <w:p w14:paraId="1FCF5717" w14:textId="46089986" w:rsidR="00AC3C04" w:rsidRDefault="004F4FEE" w:rsidP="00D77FA1">
      <w:pPr>
        <w:tabs>
          <w:tab w:val="left" w:pos="2595"/>
        </w:tabs>
        <w:ind w:firstLine="720"/>
      </w:pPr>
      <w:r>
        <w:tab/>
      </w:r>
      <w:r>
        <w:tab/>
      </w:r>
      <w:r w:rsidR="00033AE0">
        <w:t>Benefits of mesh architecture</w:t>
      </w:r>
    </w:p>
    <w:p w14:paraId="7BDA6827" w14:textId="4B04D676" w:rsidR="00C06FDA" w:rsidRDefault="00C06FDA">
      <w:r>
        <w:tab/>
        <w:t>802.11ah (S1G)</w:t>
      </w:r>
      <w:r w:rsidR="00DE71CE">
        <w:tab/>
      </w:r>
      <w:r w:rsidR="00DE71CE">
        <w:tab/>
        <w:t>(</w:t>
      </w:r>
      <w:proofErr w:type="spellStart"/>
      <w:r w:rsidR="00DE71CE">
        <w:t>Yongho</w:t>
      </w:r>
      <w:proofErr w:type="spellEnd"/>
      <w:r w:rsidR="00DE71CE">
        <w:t xml:space="preserve"> </w:t>
      </w:r>
      <w:proofErr w:type="spellStart"/>
      <w:r w:rsidR="00DE71CE">
        <w:t>Seok</w:t>
      </w:r>
      <w:proofErr w:type="spellEnd"/>
      <w:r w:rsidR="00DE71CE">
        <w:t>)</w:t>
      </w:r>
    </w:p>
    <w:p w14:paraId="35C44171" w14:textId="03A78046" w:rsidR="00DE71CE" w:rsidRDefault="00DE71CE">
      <w:r>
        <w:tab/>
      </w:r>
      <w:r>
        <w:tab/>
        <w:t>(1 page summaries)</w:t>
      </w:r>
    </w:p>
    <w:p w14:paraId="04DA9B6E" w14:textId="77777777" w:rsidR="00C06FDA" w:rsidRDefault="00C06FDA" w:rsidP="00C06FDA">
      <w:r>
        <w:t>Standards for TV White Space</w:t>
      </w:r>
    </w:p>
    <w:p w14:paraId="518976CB" w14:textId="6251417E" w:rsidR="00C06FDA" w:rsidRDefault="00C06FDA" w:rsidP="00C06FDA">
      <w:r>
        <w:tab/>
        <w:t>802.15.4m (TVWS)</w:t>
      </w:r>
      <w:r w:rsidR="00DE71CE">
        <w:tab/>
      </w:r>
      <w:r w:rsidR="000B2ED2">
        <w:t>(</w:t>
      </w:r>
      <w:proofErr w:type="spellStart"/>
      <w:r w:rsidR="000B2ED2">
        <w:t>Kunal</w:t>
      </w:r>
      <w:proofErr w:type="spellEnd"/>
      <w:r w:rsidR="000B2ED2">
        <w:t xml:space="preserve"> and Ben)</w:t>
      </w:r>
    </w:p>
    <w:p w14:paraId="219F2D8E" w14:textId="624A6845" w:rsidR="00C06FDA" w:rsidRDefault="00C06FDA" w:rsidP="00C06FDA">
      <w:r>
        <w:tab/>
        <w:t>802.11af (TVHT)</w:t>
      </w:r>
      <w:r w:rsidR="000B2ED2">
        <w:t xml:space="preserve">           </w:t>
      </w:r>
    </w:p>
    <w:p w14:paraId="72A351F6" w14:textId="76439F2C" w:rsidR="00C06FDA" w:rsidRDefault="00C06FDA" w:rsidP="00C06FDA">
      <w:r>
        <w:tab/>
        <w:t>802.22</w:t>
      </w:r>
      <w:r w:rsidR="00DE71CE">
        <w:tab/>
      </w:r>
      <w:r w:rsidR="00DE71CE">
        <w:tab/>
      </w:r>
      <w:r w:rsidR="00DE71CE">
        <w:tab/>
        <w:t>(Apurva Mody)</w:t>
      </w:r>
    </w:p>
    <w:p w14:paraId="7E8C3F1A" w14:textId="5FAC6723" w:rsidR="003D09DD" w:rsidRDefault="003D09DD" w:rsidP="00C06FDA">
      <w:r>
        <w:tab/>
        <w:t>802.19.1</w:t>
      </w:r>
      <w:r w:rsidR="000B2ED2">
        <w:tab/>
      </w:r>
      <w:r w:rsidR="000B2ED2">
        <w:tab/>
      </w:r>
      <w:r w:rsidR="0096566A">
        <w:t xml:space="preserve">(Steve </w:t>
      </w:r>
      <w:proofErr w:type="spellStart"/>
      <w:r w:rsidR="0096566A">
        <w:t>Shellhammer</w:t>
      </w:r>
      <w:proofErr w:type="spellEnd"/>
      <w:r w:rsidR="0096566A">
        <w:t>)</w:t>
      </w:r>
    </w:p>
    <w:p w14:paraId="7BFFF759" w14:textId="3EABAAD1" w:rsidR="002D21A5" w:rsidRDefault="002D21A5" w:rsidP="00C06FDA">
      <w:r>
        <w:tab/>
        <w:t xml:space="preserve">Other types of systems </w:t>
      </w:r>
      <w:bookmarkStart w:id="0" w:name="_GoBack"/>
      <w:bookmarkEnd w:id="0"/>
    </w:p>
    <w:p w14:paraId="655DC8A5" w14:textId="0822A6C4" w:rsidR="00C06FDA" w:rsidRPr="00275FC8" w:rsidRDefault="00C06FDA" w:rsidP="00C06FDA">
      <w:pPr>
        <w:rPr>
          <w:b/>
        </w:rPr>
      </w:pPr>
      <w:proofErr w:type="gramStart"/>
      <w:r w:rsidRPr="00275FC8">
        <w:rPr>
          <w:b/>
        </w:rPr>
        <w:t>Applications</w:t>
      </w:r>
      <w:r w:rsidR="00B30690">
        <w:rPr>
          <w:b/>
        </w:rPr>
        <w:t xml:space="preserve">  (</w:t>
      </w:r>
      <w:proofErr w:type="spellStart"/>
      <w:proofErr w:type="gramEnd"/>
      <w:r w:rsidR="00033AE0">
        <w:rPr>
          <w:b/>
        </w:rPr>
        <w:t>Jeritt</w:t>
      </w:r>
      <w:proofErr w:type="spellEnd"/>
      <w:r w:rsidR="00033AE0">
        <w:rPr>
          <w:b/>
        </w:rPr>
        <w:t xml:space="preserve"> Kent)</w:t>
      </w:r>
    </w:p>
    <w:p w14:paraId="59E75A0D" w14:textId="77777777" w:rsidR="00176293" w:rsidRDefault="00176293" w:rsidP="00176293">
      <w:pPr>
        <w:ind w:left="720"/>
      </w:pPr>
      <w:r>
        <w:t>List of applications (Elec, Gas, Water meters, DA (PV/DER), street lights, “smart cities”, heat use sensors, DR, EV Charging)</w:t>
      </w:r>
    </w:p>
    <w:p w14:paraId="1B768515" w14:textId="77777777" w:rsidR="00176293" w:rsidRDefault="00176293" w:rsidP="00C06FDA">
      <w:r>
        <w:tab/>
      </w:r>
      <w:r>
        <w:tab/>
        <w:t>Application for backhaul from (GW/Concentrator/Router/Collector)</w:t>
      </w:r>
    </w:p>
    <w:p w14:paraId="7EB4A5FB" w14:textId="2193955E" w:rsidR="00B30690" w:rsidRDefault="00B30690" w:rsidP="00C06FDA">
      <w:r>
        <w:tab/>
      </w:r>
      <w:r>
        <w:tab/>
        <w:t>IoT Applications</w:t>
      </w:r>
    </w:p>
    <w:p w14:paraId="2CDC40BC" w14:textId="56C70F7C" w:rsidR="00C06FDA" w:rsidRDefault="00033AE0" w:rsidP="00C06FDA">
      <w:r>
        <w:tab/>
      </w:r>
      <w:r>
        <w:tab/>
      </w:r>
      <w:r w:rsidR="00176293">
        <w:t>Duty Cycle Requirements, Power Limitations, and their impact on usable applications</w:t>
      </w:r>
    </w:p>
    <w:p w14:paraId="18AC386D" w14:textId="77777777" w:rsidR="00176293" w:rsidRDefault="00176293" w:rsidP="00C06FDA">
      <w:r>
        <w:tab/>
        <w:t>Specific limitations of applications to portions of bands.</w:t>
      </w:r>
    </w:p>
    <w:p w14:paraId="21FD760E" w14:textId="77777777" w:rsidR="00C06FDA" w:rsidRDefault="00C06FDA" w:rsidP="00C06FDA">
      <w:r>
        <w:lastRenderedPageBreak/>
        <w:t>Summary of characteristics</w:t>
      </w:r>
      <w:r w:rsidR="00176293">
        <w:t xml:space="preserve"> and key comparisons</w:t>
      </w:r>
    </w:p>
    <w:p w14:paraId="13A6C35E" w14:textId="77777777" w:rsidR="003D09DD" w:rsidRDefault="003D09DD" w:rsidP="003D09DD">
      <w:r>
        <w:tab/>
      </w:r>
      <w:commentRangeStart w:id="1"/>
      <w:r>
        <w:t xml:space="preserve">Reference PAP 2 </w:t>
      </w:r>
      <w:commentRangeEnd w:id="1"/>
      <w:r w:rsidR="00D77FA1">
        <w:rPr>
          <w:rStyle w:val="CommentReference"/>
        </w:rPr>
        <w:commentReference w:id="1"/>
      </w:r>
      <w:r>
        <w:t>table for facts about the standards</w:t>
      </w:r>
    </w:p>
    <w:p w14:paraId="7FA19D2D" w14:textId="77777777" w:rsidR="003D09DD" w:rsidRDefault="003D09DD" w:rsidP="003D09DD">
      <w:r>
        <w:tab/>
      </w:r>
      <w:r>
        <w:tab/>
        <w:t>Explanation and Interpretations of the data</w:t>
      </w:r>
      <w:r>
        <w:tab/>
      </w:r>
    </w:p>
    <w:p w14:paraId="5E79B8D5" w14:textId="2B4C3671" w:rsidR="00B30690" w:rsidRDefault="00B30690" w:rsidP="00B30690">
      <w:pPr>
        <w:rPr>
          <w:b/>
        </w:rPr>
      </w:pPr>
    </w:p>
    <w:p w14:paraId="7617B1BE" w14:textId="225B0293" w:rsidR="00C06FDA" w:rsidRPr="00275FC8" w:rsidRDefault="00033AE0" w:rsidP="00275FC8">
      <w:pPr>
        <w:rPr>
          <w:b/>
        </w:rPr>
      </w:pPr>
      <w:r>
        <w:rPr>
          <w:b/>
        </w:rPr>
        <w:t>C</w:t>
      </w:r>
      <w:r w:rsidR="003D09DD" w:rsidRPr="00B30690">
        <w:rPr>
          <w:b/>
        </w:rPr>
        <w:t>oexistence</w:t>
      </w:r>
      <w:r w:rsidR="003D09DD" w:rsidRPr="00275FC8">
        <w:rPr>
          <w:b/>
        </w:rPr>
        <w:t xml:space="preserve"> between similar standards in each group</w:t>
      </w:r>
      <w:r>
        <w:rPr>
          <w:b/>
        </w:rPr>
        <w:t xml:space="preserve">      (</w:t>
      </w:r>
      <w:r w:rsidR="0096566A">
        <w:rPr>
          <w:b/>
        </w:rPr>
        <w:t>Tim to find owner</w:t>
      </w:r>
      <w:r>
        <w:rPr>
          <w:b/>
        </w:rPr>
        <w:t>)</w:t>
      </w:r>
    </w:p>
    <w:p w14:paraId="79FCC011" w14:textId="45904EDC" w:rsidR="00397B6B" w:rsidRPr="00275FC8" w:rsidRDefault="00397B6B" w:rsidP="00033AE0">
      <w:pPr>
        <w:ind w:firstLine="720"/>
      </w:pPr>
      <w:r w:rsidRPr="00275FC8">
        <w:t>915 MHz ISM Band</w:t>
      </w:r>
      <w:r w:rsidR="00FB703C" w:rsidRPr="00275FC8">
        <w:t xml:space="preserve"> (and similar bands in other regulatory domains)</w:t>
      </w:r>
      <w:r w:rsidRPr="00275FC8">
        <w:t xml:space="preserve"> </w:t>
      </w:r>
    </w:p>
    <w:p w14:paraId="5DEA4BEF" w14:textId="77777777" w:rsidR="00397B6B" w:rsidRDefault="00397B6B" w:rsidP="00275FC8">
      <w:pPr>
        <w:ind w:firstLine="720"/>
      </w:pPr>
      <w:r>
        <w:t>Behavior of 802.11ah in the presence of 802.15.4g and vice versa.</w:t>
      </w:r>
    </w:p>
    <w:p w14:paraId="6CABA3E8" w14:textId="25D150CA" w:rsidR="00FB703C" w:rsidRDefault="00FB703C" w:rsidP="00275FC8">
      <w:pPr>
        <w:ind w:firstLine="720"/>
      </w:pPr>
      <w:r>
        <w:t>Based on CSMA/CA access mechanism</w:t>
      </w:r>
    </w:p>
    <w:p w14:paraId="106D75E2" w14:textId="1FABC300" w:rsidR="00397B6B" w:rsidRDefault="00397B6B" w:rsidP="00397B6B">
      <w:pPr>
        <w:ind w:left="720" w:firstLine="720"/>
      </w:pPr>
      <w:r>
        <w:t xml:space="preserve">General interference resilience mechanisms </w:t>
      </w:r>
    </w:p>
    <w:p w14:paraId="67C56854" w14:textId="337C0D96" w:rsidR="00397B6B" w:rsidRPr="00FB703C" w:rsidRDefault="00397B6B" w:rsidP="003D09DD">
      <w:pPr>
        <w:ind w:firstLine="720"/>
        <w:rPr>
          <w:b/>
        </w:rPr>
      </w:pPr>
      <w:r w:rsidRPr="00FB703C">
        <w:rPr>
          <w:b/>
        </w:rPr>
        <w:t>TVWS</w:t>
      </w:r>
    </w:p>
    <w:p w14:paraId="255B1D34" w14:textId="1C7C6D3F" w:rsidR="00397B6B" w:rsidRDefault="00397B6B" w:rsidP="003D09DD">
      <w:pPr>
        <w:ind w:firstLine="720"/>
      </w:pPr>
      <w:r>
        <w:tab/>
        <w:t>Database and geolocation operation to avoid interference with other users and broadcasters</w:t>
      </w:r>
    </w:p>
    <w:p w14:paraId="7B734EEE" w14:textId="77777777" w:rsidR="00FB703C" w:rsidRDefault="00FB703C" w:rsidP="003D09DD">
      <w:pPr>
        <w:ind w:firstLine="720"/>
      </w:pPr>
    </w:p>
    <w:p w14:paraId="060AC388" w14:textId="42D0B6B7" w:rsidR="003D09DD" w:rsidRPr="00275FC8" w:rsidRDefault="003D09DD" w:rsidP="003D09DD">
      <w:pPr>
        <w:rPr>
          <w:b/>
        </w:rPr>
      </w:pPr>
      <w:r w:rsidRPr="00275FC8">
        <w:rPr>
          <w:b/>
        </w:rPr>
        <w:t>Global regulatory environment</w:t>
      </w:r>
      <w:r w:rsidR="004F4FEE" w:rsidRPr="009616AD">
        <w:rPr>
          <w:b/>
        </w:rPr>
        <w:t xml:space="preserve">     </w:t>
      </w:r>
      <w:r w:rsidR="009616AD">
        <w:rPr>
          <w:b/>
        </w:rPr>
        <w:t xml:space="preserve">  (</w:t>
      </w:r>
      <w:proofErr w:type="spellStart"/>
      <w:r w:rsidR="009616AD">
        <w:rPr>
          <w:b/>
        </w:rPr>
        <w:t>Kunal</w:t>
      </w:r>
      <w:proofErr w:type="spellEnd"/>
      <w:r w:rsidR="009616AD">
        <w:rPr>
          <w:b/>
        </w:rPr>
        <w:t xml:space="preserve"> / Phil</w:t>
      </w:r>
      <w:r w:rsidR="00B41D0A">
        <w:rPr>
          <w:b/>
        </w:rPr>
        <w:t xml:space="preserve">   for </w:t>
      </w:r>
      <w:proofErr w:type="gramStart"/>
      <w:r w:rsidR="00B41D0A">
        <w:rPr>
          <w:b/>
        </w:rPr>
        <w:t xml:space="preserve">15.4g </w:t>
      </w:r>
      <w:r w:rsidR="009616AD">
        <w:rPr>
          <w:b/>
        </w:rPr>
        <w:t>)</w:t>
      </w:r>
      <w:proofErr w:type="gramEnd"/>
    </w:p>
    <w:p w14:paraId="65FBF579" w14:textId="77777777" w:rsidR="003D09DD" w:rsidRDefault="003D09DD" w:rsidP="003D09DD">
      <w:r>
        <w:tab/>
        <w:t xml:space="preserve">FCC, CEPT, ARIB, CENELEC, ETSI, ITU, </w:t>
      </w:r>
    </w:p>
    <w:p w14:paraId="69FB11E0" w14:textId="5069E6F2" w:rsidR="00916522" w:rsidRDefault="00916522" w:rsidP="00916522">
      <w:r>
        <w:tab/>
      </w:r>
      <w:r>
        <w:tab/>
        <w:t>Related ETSI groups– TG28, ETSI TS303</w:t>
      </w:r>
      <w:r w:rsidR="00275FC8">
        <w:t>, TC294</w:t>
      </w:r>
    </w:p>
    <w:p w14:paraId="0E04FE39" w14:textId="77777777" w:rsidR="003D09DD" w:rsidRDefault="003D09DD" w:rsidP="003D09DD">
      <w:r>
        <w:tab/>
        <w:t>Areas that adopt other domain’s rules</w:t>
      </w:r>
    </w:p>
    <w:p w14:paraId="70998D52" w14:textId="77777777" w:rsidR="003D09DD" w:rsidRDefault="003D09DD" w:rsidP="003D09DD">
      <w:r>
        <w:tab/>
        <w:t>(Map of world with regulatory agencies highlighted)</w:t>
      </w:r>
    </w:p>
    <w:p w14:paraId="4DCF80F8" w14:textId="77777777" w:rsidR="003D09DD" w:rsidRDefault="003D09DD" w:rsidP="003D09DD">
      <w:r>
        <w:tab/>
        <w:t>Coexistence in global bands</w:t>
      </w:r>
    </w:p>
    <w:p w14:paraId="4C2E2B48" w14:textId="3D69C451" w:rsidR="00FB703C" w:rsidRDefault="00FB703C" w:rsidP="003D09DD">
      <w:r>
        <w:tab/>
      </w:r>
      <w:r>
        <w:tab/>
        <w:t>Regulations call for fair and open access in unregulated spectrum.</w:t>
      </w:r>
    </w:p>
    <w:p w14:paraId="48BB6FB7" w14:textId="4BD6DCFC" w:rsidR="00BF655C" w:rsidRDefault="00FB703C" w:rsidP="00B41D0A">
      <w:pPr>
        <w:ind w:left="1440"/>
      </w:pPr>
      <w:r>
        <w:t>Investigation in Europe shows that the slower technology loses in comparison to the faster technology</w:t>
      </w:r>
      <w:r w:rsidR="00BF655C">
        <w:t xml:space="preserve">. </w:t>
      </w:r>
      <w:r w:rsidR="009616AD">
        <w:t xml:space="preserve"> (</w:t>
      </w:r>
      <w:r w:rsidR="00275FC8">
        <w:t>Comparison</w:t>
      </w:r>
      <w:r w:rsidR="009616AD">
        <w:t xml:space="preserve"> to </w:t>
      </w:r>
      <w:proofErr w:type="spellStart"/>
      <w:r w:rsidR="009616AD">
        <w:t>SigFox</w:t>
      </w:r>
      <w:proofErr w:type="spellEnd"/>
      <w:r w:rsidR="009616AD">
        <w:t xml:space="preserve"> and similar)</w:t>
      </w:r>
    </w:p>
    <w:p w14:paraId="2457C51F" w14:textId="77777777" w:rsidR="00B41D0A" w:rsidRDefault="00B41D0A" w:rsidP="00B41D0A">
      <w:pPr>
        <w:ind w:left="1440"/>
      </w:pPr>
    </w:p>
    <w:p w14:paraId="563207B5" w14:textId="3D958A22" w:rsidR="00B41D0A" w:rsidRDefault="00B41D0A" w:rsidP="00B41D0A">
      <w:r>
        <w:t xml:space="preserve">ETSI TG28: What about spectrum that has become available since 802.15.4g was published? What is the applicability of these standards in those bands?   </w:t>
      </w:r>
    </w:p>
    <w:p w14:paraId="3F27DE27" w14:textId="246F0345" w:rsidR="00B41D0A" w:rsidRDefault="00B41D0A" w:rsidP="00B41D0A">
      <w:r>
        <w:t xml:space="preserve">Description of how 802 standards can take advantage of new spectrum allocations (and vice versa). </w:t>
      </w:r>
    </w:p>
    <w:p w14:paraId="2CE10C53" w14:textId="77777777" w:rsidR="00B41D0A" w:rsidRDefault="00B41D0A" w:rsidP="00B41D0A"/>
    <w:p w14:paraId="092325D5" w14:textId="77777777" w:rsidR="00B41D0A" w:rsidRDefault="00B41D0A" w:rsidP="00B41D0A"/>
    <w:p w14:paraId="2C937F70" w14:textId="77777777" w:rsidR="003D09DD" w:rsidRDefault="003D09DD" w:rsidP="003D09DD">
      <w:r>
        <w:t>Conclusions</w:t>
      </w:r>
    </w:p>
    <w:p w14:paraId="318CC142" w14:textId="77777777" w:rsidR="003D09DD" w:rsidRDefault="003D09DD" w:rsidP="00C06FDA"/>
    <w:p w14:paraId="7FDEC515" w14:textId="77777777" w:rsidR="00C06FDA" w:rsidRDefault="00C06FDA" w:rsidP="00C06FDA"/>
    <w:p w14:paraId="203BBB1B" w14:textId="77777777" w:rsidR="00C06FDA" w:rsidRDefault="00C06FDA"/>
    <w:sectPr w:rsidR="00C06FD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odfrey, Tim" w:date="2015-03-10T11:10:00Z" w:initials="GT">
    <w:p w14:paraId="672EA1CC" w14:textId="5AC4F841" w:rsidR="00D77FA1" w:rsidRDefault="00D77FA1">
      <w:pPr>
        <w:pStyle w:val="CommentText"/>
      </w:pPr>
      <w:r>
        <w:rPr>
          <w:rStyle w:val="CommentReference"/>
        </w:rPr>
        <w:annotationRef/>
      </w:r>
      <w:r>
        <w:t xml:space="preserve">Import from </w:t>
      </w:r>
      <w:r w:rsidR="002D21A5">
        <w:t xml:space="preserve">reduced size </w:t>
      </w:r>
      <w:r>
        <w:t>PAP2 tables</w:t>
      </w:r>
    </w:p>
    <w:p w14:paraId="0301F6AA" w14:textId="77777777" w:rsidR="00D77FA1" w:rsidRDefault="00D77FA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1F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25485"/>
    <w:rsid w:val="00033AE0"/>
    <w:rsid w:val="00054946"/>
    <w:rsid w:val="000850CE"/>
    <w:rsid w:val="000A48AF"/>
    <w:rsid w:val="000B2ED2"/>
    <w:rsid w:val="000D34A1"/>
    <w:rsid w:val="000E7A15"/>
    <w:rsid w:val="00167FCA"/>
    <w:rsid w:val="00176293"/>
    <w:rsid w:val="001767F6"/>
    <w:rsid w:val="001A66F7"/>
    <w:rsid w:val="001B09B4"/>
    <w:rsid w:val="001C482F"/>
    <w:rsid w:val="001D6013"/>
    <w:rsid w:val="001E6FA4"/>
    <w:rsid w:val="002244F1"/>
    <w:rsid w:val="00225F31"/>
    <w:rsid w:val="00234E37"/>
    <w:rsid w:val="00275FC8"/>
    <w:rsid w:val="002D21A5"/>
    <w:rsid w:val="0030045B"/>
    <w:rsid w:val="00324309"/>
    <w:rsid w:val="003326EE"/>
    <w:rsid w:val="0035060E"/>
    <w:rsid w:val="00357B93"/>
    <w:rsid w:val="00357E24"/>
    <w:rsid w:val="00366BC8"/>
    <w:rsid w:val="0037058C"/>
    <w:rsid w:val="00373179"/>
    <w:rsid w:val="00386F38"/>
    <w:rsid w:val="003915AD"/>
    <w:rsid w:val="00394B56"/>
    <w:rsid w:val="00397B6B"/>
    <w:rsid w:val="003D09DD"/>
    <w:rsid w:val="0041479A"/>
    <w:rsid w:val="004248A0"/>
    <w:rsid w:val="00453BB8"/>
    <w:rsid w:val="00460722"/>
    <w:rsid w:val="00480D14"/>
    <w:rsid w:val="004851B7"/>
    <w:rsid w:val="004F305C"/>
    <w:rsid w:val="004F4FEE"/>
    <w:rsid w:val="00530261"/>
    <w:rsid w:val="0053338A"/>
    <w:rsid w:val="005378CF"/>
    <w:rsid w:val="00544BFB"/>
    <w:rsid w:val="0054589E"/>
    <w:rsid w:val="005C3E79"/>
    <w:rsid w:val="00607BFC"/>
    <w:rsid w:val="0065695C"/>
    <w:rsid w:val="0065701D"/>
    <w:rsid w:val="006904A5"/>
    <w:rsid w:val="006906A6"/>
    <w:rsid w:val="00693FE3"/>
    <w:rsid w:val="006B138C"/>
    <w:rsid w:val="006C1E65"/>
    <w:rsid w:val="006C26CA"/>
    <w:rsid w:val="00717433"/>
    <w:rsid w:val="00727A4C"/>
    <w:rsid w:val="00784CC8"/>
    <w:rsid w:val="007D207E"/>
    <w:rsid w:val="007D36E6"/>
    <w:rsid w:val="007D6E1C"/>
    <w:rsid w:val="007F7EC1"/>
    <w:rsid w:val="008114F9"/>
    <w:rsid w:val="00830335"/>
    <w:rsid w:val="00831308"/>
    <w:rsid w:val="0083343D"/>
    <w:rsid w:val="008578B8"/>
    <w:rsid w:val="00894E6F"/>
    <w:rsid w:val="008B784B"/>
    <w:rsid w:val="00904FC8"/>
    <w:rsid w:val="00916522"/>
    <w:rsid w:val="00916F29"/>
    <w:rsid w:val="009358CA"/>
    <w:rsid w:val="00940479"/>
    <w:rsid w:val="009440D1"/>
    <w:rsid w:val="009616AD"/>
    <w:rsid w:val="00962D5D"/>
    <w:rsid w:val="009654B7"/>
    <w:rsid w:val="0096566A"/>
    <w:rsid w:val="00976C6A"/>
    <w:rsid w:val="009A50CD"/>
    <w:rsid w:val="009D2456"/>
    <w:rsid w:val="00A21BA8"/>
    <w:rsid w:val="00A3060D"/>
    <w:rsid w:val="00A8242F"/>
    <w:rsid w:val="00A87A4C"/>
    <w:rsid w:val="00A9599A"/>
    <w:rsid w:val="00AC3C04"/>
    <w:rsid w:val="00AD0A83"/>
    <w:rsid w:val="00AD0CAF"/>
    <w:rsid w:val="00AD287F"/>
    <w:rsid w:val="00B02DE2"/>
    <w:rsid w:val="00B30690"/>
    <w:rsid w:val="00B41D0A"/>
    <w:rsid w:val="00B74564"/>
    <w:rsid w:val="00B74BCA"/>
    <w:rsid w:val="00B8618A"/>
    <w:rsid w:val="00BA5491"/>
    <w:rsid w:val="00BB0F99"/>
    <w:rsid w:val="00BF655C"/>
    <w:rsid w:val="00C06FDA"/>
    <w:rsid w:val="00C123A4"/>
    <w:rsid w:val="00C1760A"/>
    <w:rsid w:val="00C25F51"/>
    <w:rsid w:val="00C4057A"/>
    <w:rsid w:val="00C41373"/>
    <w:rsid w:val="00C4774B"/>
    <w:rsid w:val="00C506CE"/>
    <w:rsid w:val="00C81AC7"/>
    <w:rsid w:val="00CA0BD6"/>
    <w:rsid w:val="00CE1A4D"/>
    <w:rsid w:val="00D0208B"/>
    <w:rsid w:val="00D064A4"/>
    <w:rsid w:val="00D50980"/>
    <w:rsid w:val="00D52A80"/>
    <w:rsid w:val="00D67333"/>
    <w:rsid w:val="00D77FA1"/>
    <w:rsid w:val="00D84DC8"/>
    <w:rsid w:val="00D9237F"/>
    <w:rsid w:val="00D94BD1"/>
    <w:rsid w:val="00DA3C53"/>
    <w:rsid w:val="00DD1A8A"/>
    <w:rsid w:val="00DE71CE"/>
    <w:rsid w:val="00E06B30"/>
    <w:rsid w:val="00E24EAE"/>
    <w:rsid w:val="00E24EFF"/>
    <w:rsid w:val="00E27135"/>
    <w:rsid w:val="00E47879"/>
    <w:rsid w:val="00E83F45"/>
    <w:rsid w:val="00EA4E6A"/>
    <w:rsid w:val="00ED7190"/>
    <w:rsid w:val="00F00DAB"/>
    <w:rsid w:val="00F03B17"/>
    <w:rsid w:val="00F10E0C"/>
    <w:rsid w:val="00F65950"/>
    <w:rsid w:val="00F86F25"/>
    <w:rsid w:val="00F90D86"/>
    <w:rsid w:val="00FB703C"/>
    <w:rsid w:val="00FD60E0"/>
    <w:rsid w:val="00FD7C60"/>
    <w:rsid w:val="00FE113B"/>
    <w:rsid w:val="00F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C88"/>
  <w15:chartTrackingRefBased/>
  <w15:docId w15:val="{C49FF6FB-2D72-40A6-87C6-CDF4896E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Tim</dc:creator>
  <cp:keywords/>
  <dc:description/>
  <cp:lastModifiedBy>Godfrey, Tim</cp:lastModifiedBy>
  <cp:revision>2</cp:revision>
  <dcterms:created xsi:type="dcterms:W3CDTF">2015-07-14T02:41:00Z</dcterms:created>
  <dcterms:modified xsi:type="dcterms:W3CDTF">2015-07-15T23:49:00Z</dcterms:modified>
</cp:coreProperties>
</file>