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b/>
          <w:sz w:val="28"/>
        </w:rPr>
      </w:pPr>
      <w:r>
        <w:rPr>
          <w:b/>
          <w:sz w:val="28"/>
        </w:rPr>
        <w:t>IEEE P802.24</w:t>
      </w:r>
    </w:p>
    <w:p>
      <w:pPr>
        <w:pStyle w:val="style0"/>
        <w:jc w:val="center"/>
        <w:rPr>
          <w:b/>
          <w:sz w:val="28"/>
        </w:rPr>
      </w:pPr>
      <w:r>
        <w:rPr>
          <w:b/>
          <w:sz w:val="28"/>
        </w:rPr>
        <w:t>Smart Grid TAG</w:t>
      </w:r>
    </w:p>
    <w:p>
      <w:pPr>
        <w:pStyle w:val="style0"/>
        <w:jc w:val="center"/>
        <w:rPr>
          <w:b/>
          <w:sz w:val="28"/>
        </w:rPr>
      </w:pPr>
      <w:r>
        <w:rPr>
          <w:b/>
          <w:sz w:val="28"/>
        </w:rPr>
      </w:r>
    </w:p>
    <w:tbl>
      <w:tblPr>
        <w:jc w:val="left"/>
        <w:tblInd w:type="dxa" w:w="109"/>
        <w:tblBorders>
          <w:top w:color="00000A" w:space="0" w:sz="6" w:val="single"/>
          <w:left w:val="nil"/>
          <w:bottom w:val="nil"/>
          <w:insideH w:val="nil"/>
          <w:right w:val="nil"/>
          <w:insideV w:val="nil"/>
        </w:tblBorders>
        <w:tblCellMar>
          <w:top w:type="dxa" w:w="0"/>
          <w:left w:type="dxa" w:w="108"/>
          <w:bottom w:type="dxa" w:w="0"/>
          <w:right w:type="dxa" w:w="108"/>
        </w:tblCellMar>
      </w:tblPr>
      <w:tblGrid>
        <w:gridCol w:w="1259"/>
        <w:gridCol w:w="8192"/>
      </w:tblGrid>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Project</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IEEE P802.24 Smart Grid Technical Advisory Group</w:t>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Title</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fldChar w:fldCharType="begin"/>
            </w:r>
            <w:r>
              <w:instrText> TITLE </w:instrText>
            </w:r>
            <w:r>
              <w:fldChar w:fldCharType="separate"/>
            </w:r>
            <w:r>
              <w:t>Minutes-TAG-July-2014</w:t>
            </w:r>
            <w:r>
              <w:fldChar w:fldCharType="end"/>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Date Submitted</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14 July 2014</w:t>
            </w:r>
          </w:p>
        </w:tc>
      </w:tr>
      <w:tr>
        <w:trPr>
          <w:cantSplit w:val="false"/>
        </w:trPr>
        <w:tc>
          <w:tcPr>
            <w:tcW w:type="dxa" w:w="1259"/>
            <w:tcBorders>
              <w:top w:color="00000A" w:space="0" w:sz="4" w:val="single"/>
              <w:left w:val="nil"/>
              <w:bottom w:color="00000A" w:space="0" w:sz="4" w:val="single"/>
              <w:right w:val="nil"/>
            </w:tcBorders>
            <w:shd w:fill="auto" w:val="clear"/>
          </w:tcPr>
          <w:p>
            <w:pPr>
              <w:pStyle w:val="style35"/>
              <w:spacing w:after="120" w:before="120"/>
              <w:contextualSpacing w:val="false"/>
              <w:rPr/>
            </w:pPr>
            <w:r>
              <w:rPr/>
              <w:t>Source</w:t>
            </w:r>
          </w:p>
        </w:tc>
        <w:tc>
          <w:tcPr>
            <w:tcW w:type="dxa" w:w="4050"/>
            <w:tcBorders>
              <w:top w:color="00000A" w:space="0" w:sz="4" w:val="single"/>
              <w:left w:val="nil"/>
              <w:bottom w:color="00000A" w:space="0" w:sz="4" w:val="single"/>
              <w:right w:val="nil"/>
            </w:tcBorders>
            <w:shd w:fill="auto" w:val="clear"/>
          </w:tcPr>
          <w:p>
            <w:pPr>
              <w:pStyle w:val="style35"/>
              <w:spacing w:after="0" w:before="0"/>
              <w:contextualSpacing w:val="false"/>
              <w:rPr/>
            </w:pPr>
            <w:r>
              <w:rPr/>
              <w:t>[Benjamin Rolfe]</w:t>
              <w:br/>
              <w:t>[</w:t>
            </w:r>
            <w:r>
              <w:rPr/>
              <w:fldChar w:fldCharType="begin"/>
            </w:r>
            <w:r>
              <w:instrText> DOCPROPERTY "Company"</w:instrText>
            </w:r>
            <w:r>
              <w:fldChar w:fldCharType="separate"/>
            </w:r>
            <w:r>
              <w:t>BCA</w:t>
            </w:r>
            <w:r>
              <w:fldChar w:fldCharType="end"/>
            </w:r>
            <w:r>
              <w:rPr/>
              <w:t>]</w:t>
              <w:br/>
              <w:t>[PO Box 798 Los Gatos CA 95031]</w:t>
            </w:r>
          </w:p>
        </w:tc>
        <w:tc>
          <w:tcPr>
            <w:tcW w:type="dxa" w:w="4142"/>
            <w:tcBorders>
              <w:top w:color="00000A" w:space="0" w:sz="4" w:val="single"/>
              <w:left w:val="nil"/>
              <w:bottom w:color="00000A" w:space="0" w:sz="4" w:val="single"/>
              <w:right w:val="nil"/>
            </w:tcBorders>
            <w:shd w:fill="auto" w:val="clear"/>
          </w:tcPr>
          <w:p>
            <w:pPr>
              <w:pStyle w:val="style35"/>
              <w:tabs>
                <w:tab w:leader="none" w:pos="1152" w:val="left"/>
              </w:tabs>
              <w:spacing w:after="0" w:before="0"/>
              <w:contextualSpacing w:val="false"/>
              <w:rPr/>
            </w:pPr>
            <w:r>
              <w:rPr/>
              <w:t>Voice:</w:t>
              <w:tab/>
              <w:t>[+1-408-395-7207]</w:t>
              <w:br/>
              <w:t>Fax:</w:t>
              <w:tab/>
              <w:t>[ Deprecated ]</w:t>
              <w:br/>
              <w:t>E-mail:</w:t>
              <w:tab/>
              <w:t>ben.rolfe @ ieee.org]</w:t>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Re:</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 xml:space="preserve">TAG Meeting, July 14 - 17 2014, San Diego, CA, USA. </w:t>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Abstract</w:t>
            </w:r>
          </w:p>
        </w:tc>
        <w:tc>
          <w:tcPr>
            <w:tcW w:type="dxa" w:w="8192"/>
            <w:gridSpan w:val="2"/>
            <w:tcBorders>
              <w:top w:color="00000A" w:space="0" w:sz="6" w:val="single"/>
              <w:left w:val="nil"/>
              <w:bottom w:val="nil"/>
              <w:right w:val="nil"/>
            </w:tcBorders>
            <w:shd w:fill="auto" w:val="clear"/>
          </w:tcPr>
          <w:p>
            <w:pPr>
              <w:pStyle w:val="style35"/>
              <w:tabs>
                <w:tab w:leader="none" w:pos="7974" w:val="right"/>
              </w:tabs>
              <w:spacing w:after="120" w:before="120"/>
              <w:contextualSpacing w:val="false"/>
              <w:rPr/>
            </w:pPr>
            <w:r>
              <w:rPr/>
              <w:t>Meeting minutes, 802.24 TAG session, July 2014 held in San Diego.</w:t>
              <w:tab/>
            </w:r>
          </w:p>
          <w:p>
            <w:pPr>
              <w:pStyle w:val="style35"/>
              <w:spacing w:after="120" w:before="120"/>
              <w:contextualSpacing w:val="false"/>
              <w:rPr/>
            </w:pPr>
            <w:r>
              <w:rPr/>
            </w:r>
          </w:p>
        </w:tc>
      </w:tr>
      <w:tr>
        <w:trPr>
          <w:cantSplit w:val="false"/>
        </w:trPr>
        <w:tc>
          <w:tcPr>
            <w:tcW w:type="dxa" w:w="1259"/>
            <w:tcBorders>
              <w:top w:color="00000A" w:space="0" w:sz="6" w:val="single"/>
              <w:left w:val="nil"/>
              <w:bottom w:val="nil"/>
              <w:right w:val="nil"/>
            </w:tcBorders>
            <w:shd w:fill="auto" w:val="clear"/>
          </w:tcPr>
          <w:p>
            <w:pPr>
              <w:pStyle w:val="style35"/>
              <w:spacing w:after="120" w:before="120"/>
              <w:contextualSpacing w:val="false"/>
              <w:rPr/>
            </w:pPr>
            <w:r>
              <w:rPr/>
              <w:t>Purpose</w:t>
            </w:r>
          </w:p>
        </w:tc>
        <w:tc>
          <w:tcPr>
            <w:tcW w:type="dxa" w:w="8192"/>
            <w:gridSpan w:val="2"/>
            <w:tcBorders>
              <w:top w:color="00000A" w:space="0" w:sz="6" w:val="single"/>
              <w:left w:val="nil"/>
              <w:bottom w:val="nil"/>
              <w:right w:val="nil"/>
            </w:tcBorders>
            <w:shd w:fill="auto" w:val="clear"/>
          </w:tcPr>
          <w:p>
            <w:pPr>
              <w:pStyle w:val="style35"/>
              <w:spacing w:after="120" w:before="120"/>
              <w:contextualSpacing w:val="false"/>
              <w:rPr/>
            </w:pPr>
            <w:r>
              <w:rPr/>
              <w:t>Document meeting activity and action items.</w:t>
            </w:r>
          </w:p>
        </w:tc>
      </w:tr>
      <w:tr>
        <w:trPr>
          <w:cantSplit w:val="false"/>
        </w:trPr>
        <w:tc>
          <w:tcPr>
            <w:tcW w:type="dxa" w:w="1259"/>
            <w:tcBorders>
              <w:top w:color="00000A" w:space="0" w:sz="6" w:val="single"/>
              <w:left w:val="nil"/>
              <w:bottom w:color="00000A" w:space="0" w:sz="6" w:val="single"/>
              <w:right w:val="nil"/>
            </w:tcBorders>
            <w:shd w:fill="auto" w:val="clear"/>
          </w:tcPr>
          <w:p>
            <w:pPr>
              <w:pStyle w:val="style35"/>
              <w:spacing w:after="120" w:before="120"/>
              <w:contextualSpacing w:val="false"/>
              <w:rPr/>
            </w:pPr>
            <w:r>
              <w:rPr/>
              <w:t>Notice</w:t>
            </w:r>
          </w:p>
        </w:tc>
        <w:tc>
          <w:tcPr>
            <w:tcW w:type="dxa" w:w="8192"/>
            <w:gridSpan w:val="2"/>
            <w:tcBorders>
              <w:top w:color="00000A" w:space="0" w:sz="6" w:val="single"/>
              <w:left w:val="nil"/>
              <w:bottom w:color="00000A" w:space="0" w:sz="6" w:val="single"/>
              <w:right w:val="nil"/>
            </w:tcBorders>
            <w:shd w:fill="auto" w:val="clear"/>
          </w:tcPr>
          <w:p>
            <w:pPr>
              <w:pStyle w:val="style35"/>
              <w:spacing w:after="120" w:before="120"/>
              <w:contextualSpacing w:val="false"/>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cantSplit w:val="false"/>
        </w:trPr>
        <w:tc>
          <w:tcPr>
            <w:tcW w:type="dxa" w:w="1259"/>
            <w:tcBorders>
              <w:top w:color="00000A" w:space="0" w:sz="6" w:val="single"/>
              <w:left w:val="nil"/>
              <w:bottom w:color="00000A" w:space="0" w:sz="6" w:val="single"/>
              <w:right w:val="nil"/>
            </w:tcBorders>
            <w:shd w:fill="auto" w:val="clear"/>
          </w:tcPr>
          <w:p>
            <w:pPr>
              <w:pStyle w:val="style35"/>
              <w:spacing w:after="120" w:before="120"/>
              <w:contextualSpacing w:val="false"/>
              <w:rPr/>
            </w:pPr>
            <w:r>
              <w:rPr/>
              <w:t>Release</w:t>
            </w:r>
          </w:p>
        </w:tc>
        <w:tc>
          <w:tcPr>
            <w:tcW w:type="dxa" w:w="8192"/>
            <w:gridSpan w:val="2"/>
            <w:tcBorders>
              <w:top w:color="00000A" w:space="0" w:sz="6" w:val="single"/>
              <w:left w:val="nil"/>
              <w:bottom w:color="00000A" w:space="0" w:sz="6" w:val="single"/>
              <w:right w:val="nil"/>
            </w:tcBorders>
            <w:shd w:fill="auto" w:val="clear"/>
          </w:tcPr>
          <w:p>
            <w:pPr>
              <w:pStyle w:val="style35"/>
              <w:spacing w:after="120" w:before="120"/>
              <w:contextualSpacing w:val="false"/>
              <w:rPr/>
            </w:pPr>
            <w:r>
              <w:rPr/>
              <w:t>The contributor acknowledges and accepts that this contribution becomes the property of IEEE and may be made publicly available by P802.24.</w:t>
            </w:r>
          </w:p>
        </w:tc>
      </w:tr>
    </w:tbl>
    <w:p>
      <w:pPr>
        <w:pStyle w:val="style37"/>
        <w:pageBreakBefore/>
        <w:rPr/>
      </w:pPr>
      <w:r>
        <w:rPr/>
        <w:t xml:space="preserve">Minutes </w:t>
      </w:r>
      <w:r>
        <w:rPr/>
        <w:t>802.</w:t>
      </w:r>
      <w:r>
        <w:rPr/>
        <w:t>24 session May 2014</w:t>
      </w:r>
    </w:p>
    <w:p>
      <w:pPr>
        <w:pStyle w:val="style40"/>
        <w:rPr/>
      </w:pPr>
      <w:r>
        <w:rPr/>
        <w:t>San Diego, CA, USA.</w:t>
      </w:r>
    </w:p>
    <w:tbl>
      <w:tblPr>
        <w:jc w:val="left"/>
        <w:tblInd w:type="dxa" w:w="738"/>
        <w:tblBorders>
          <w:top w:color="00000A" w:space="0" w:sz="4" w:val="single"/>
          <w:left w:val="nil"/>
          <w:bottom w:val="nil"/>
          <w:insideH w:val="nil"/>
          <w:right w:color="00000A" w:space="0" w:sz="4" w:val="single"/>
          <w:insideV w:color="00000A" w:space="0" w:sz="4" w:val="single"/>
        </w:tblBorders>
        <w:tblCellMar>
          <w:top w:type="dxa" w:w="0"/>
          <w:left w:type="dxa" w:w="108"/>
          <w:bottom w:type="dxa" w:w="0"/>
          <w:right w:type="dxa" w:w="108"/>
        </w:tblCellMar>
      </w:tblPr>
      <w:tblGrid>
        <w:gridCol w:w="8279"/>
      </w:tblGrid>
      <w:tr>
        <w:trPr>
          <w:trHeight w:hRule="atLeast" w:val="63"/>
          <w:cantSplit w:val="false"/>
        </w:trPr>
        <w:tc>
          <w:tcPr>
            <w:tcW w:type="dxa" w:w="8279"/>
            <w:gridSpan w:val="2"/>
            <w:tcBorders>
              <w:top w:color="00000A" w:space="0" w:sz="4" w:val="single"/>
              <w:left w:val="nil"/>
              <w:bottom w:val="nil"/>
              <w:right w:color="00000A" w:space="0" w:sz="4" w:val="single"/>
            </w:tcBorders>
            <w:shd w:fill="auto" w:val="clear"/>
            <w:vAlign w:val="center"/>
          </w:tcPr>
          <w:p>
            <w:pPr>
              <w:pStyle w:val="style0"/>
              <w:jc w:val="center"/>
              <w:rPr>
                <w:b/>
                <w:bCs/>
              </w:rPr>
            </w:pPr>
            <w:r>
              <w:rPr>
                <w:b/>
                <w:bCs/>
              </w:rPr>
              <w:t>802.24 TAG</w:t>
            </w:r>
          </w:p>
        </w:tc>
      </w:tr>
      <w:tr>
        <w:trPr>
          <w:cantSplit w:val="false"/>
        </w:trPr>
        <w:tc>
          <w:tcPr>
            <w:tcW w:type="dxa" w:w="4049"/>
            <w:tcBorders>
              <w:top w:val="nil"/>
              <w:left w:val="nil"/>
              <w:bottom w:val="nil"/>
              <w:right w:val="nil"/>
            </w:tcBorders>
            <w:shd w:fill="auto" w:val="clear"/>
            <w:vAlign w:val="center"/>
          </w:tcPr>
          <w:p>
            <w:pPr>
              <w:pStyle w:val="style0"/>
              <w:jc w:val="right"/>
              <w:rPr>
                <w:b/>
                <w:bCs/>
              </w:rPr>
            </w:pPr>
            <w:r>
              <w:rPr>
                <w:b/>
                <w:bCs/>
              </w:rPr>
              <w:t>Chair:</w:t>
            </w:r>
          </w:p>
        </w:tc>
        <w:tc>
          <w:tcPr>
            <w:tcW w:type="dxa" w:w="4230"/>
            <w:tcBorders>
              <w:top w:val="nil"/>
              <w:left w:val="nil"/>
              <w:bottom w:val="nil"/>
              <w:right w:val="nil"/>
            </w:tcBorders>
            <w:shd w:fill="auto" w:val="clear"/>
            <w:vAlign w:val="center"/>
          </w:tcPr>
          <w:p>
            <w:pPr>
              <w:pStyle w:val="style0"/>
              <w:rPr/>
            </w:pPr>
            <w:r>
              <w:rPr/>
              <w:t>James Gilb (Tensorcom)</w:t>
            </w:r>
          </w:p>
        </w:tc>
      </w:tr>
      <w:tr>
        <w:trPr>
          <w:cantSplit w:val="false"/>
        </w:trPr>
        <w:tc>
          <w:tcPr>
            <w:tcW w:type="dxa" w:w="4049"/>
            <w:tcBorders>
              <w:top w:val="nil"/>
              <w:left w:val="nil"/>
              <w:bottom w:val="nil"/>
              <w:right w:val="nil"/>
            </w:tcBorders>
            <w:shd w:fill="auto" w:val="clear"/>
            <w:vAlign w:val="center"/>
          </w:tcPr>
          <w:p>
            <w:pPr>
              <w:pStyle w:val="style0"/>
              <w:jc w:val="right"/>
              <w:rPr>
                <w:b/>
              </w:rPr>
            </w:pPr>
            <w:r>
              <w:rPr>
                <w:b/>
              </w:rPr>
              <w:t>Vice Chair:</w:t>
            </w:r>
          </w:p>
        </w:tc>
        <w:tc>
          <w:tcPr>
            <w:tcW w:type="dxa" w:w="4230"/>
            <w:tcBorders>
              <w:top w:val="nil"/>
              <w:left w:val="nil"/>
              <w:bottom w:val="nil"/>
              <w:right w:val="nil"/>
            </w:tcBorders>
            <w:shd w:fill="auto" w:val="clear"/>
            <w:vAlign w:val="center"/>
          </w:tcPr>
          <w:p>
            <w:pPr>
              <w:pStyle w:val="style0"/>
              <w:rPr/>
            </w:pPr>
            <w:r>
              <w:rPr/>
              <w:t>Tim Godfrey (EPRI)</w:t>
            </w:r>
          </w:p>
        </w:tc>
      </w:tr>
      <w:tr>
        <w:trPr>
          <w:trHeight w:hRule="atLeast" w:val="117"/>
          <w:cantSplit w:val="false"/>
        </w:trPr>
        <w:tc>
          <w:tcPr>
            <w:tcW w:type="dxa" w:w="4049"/>
            <w:tcBorders>
              <w:top w:val="nil"/>
              <w:left w:val="nil"/>
              <w:bottom w:color="00000A" w:space="0" w:sz="4" w:val="single"/>
              <w:right w:val="nil"/>
            </w:tcBorders>
            <w:shd w:fill="auto" w:val="clear"/>
            <w:vAlign w:val="center"/>
          </w:tcPr>
          <w:p>
            <w:pPr>
              <w:pStyle w:val="style0"/>
              <w:jc w:val="right"/>
              <w:rPr>
                <w:b/>
              </w:rPr>
            </w:pPr>
            <w:r>
              <w:rPr>
                <w:b/>
              </w:rPr>
              <w:t>Recording Secretary:</w:t>
            </w:r>
          </w:p>
        </w:tc>
        <w:tc>
          <w:tcPr>
            <w:tcW w:type="dxa" w:w="4230"/>
            <w:tcBorders>
              <w:top w:val="nil"/>
              <w:left w:val="nil"/>
              <w:bottom w:color="00000A" w:space="0" w:sz="4" w:val="single"/>
              <w:right w:val="nil"/>
            </w:tcBorders>
            <w:shd w:fill="auto" w:val="clear"/>
            <w:vAlign w:val="center"/>
          </w:tcPr>
          <w:p>
            <w:pPr>
              <w:pStyle w:val="style0"/>
              <w:rPr/>
            </w:pPr>
            <w:r>
              <w:rPr/>
              <w:t>Benjamin Rolfe (Blind Creek Associates)</w:t>
            </w:r>
          </w:p>
        </w:tc>
      </w:tr>
    </w:tbl>
    <w:p>
      <w:pPr>
        <w:pStyle w:val="style0"/>
        <w:rPr/>
      </w:pPr>
      <w:r>
        <w:rPr/>
      </w:r>
    </w:p>
    <w:p>
      <w:pPr>
        <w:pStyle w:val="style38"/>
        <w:rPr/>
      </w:pPr>
      <w:r>
        <w:rPr/>
        <w:t>Table of Contents</w:t>
      </w:r>
    </w:p>
    <w:p>
      <w:pPr>
        <w:sectPr>
          <w:headerReference r:id="rId2" w:type="default"/>
          <w:footerReference r:id="rId3" w:type="default"/>
          <w:type w:val="nextPage"/>
          <w:pgSz w:h="15840" w:w="12240"/>
          <w:pgMar w:bottom="1800" w:footer="1296" w:gutter="0" w:header="1296" w:left="1440" w:right="1440" w:top="1800"/>
          <w:pgNumType w:fmt="decimal"/>
          <w:formProt w:val="false"/>
          <w:textDirection w:val="lrTb"/>
          <w:docGrid w:charSpace="0" w:linePitch="240" w:type="default"/>
        </w:sectPr>
      </w:pPr>
    </w:p>
    <w:p>
      <w:pPr>
        <w:pStyle w:val="style39"/>
        <w:tabs>
          <w:tab w:leader="dot" w:pos="9360" w:val="right"/>
        </w:tabs>
        <w:rPr>
          <w:rStyle w:val="style23"/>
        </w:rPr>
      </w:pPr>
      <w:r>
        <w:fldChar w:fldCharType="begin"/>
      </w:r>
      <w:r>
        <w:instrText> TOC </w:instrText>
      </w:r>
      <w:r>
        <w:fldChar w:fldCharType="separate"/>
      </w:r>
      <w:hyperlink w:anchor="__RefHeading__500_2075141387">
        <w:r>
          <w:rPr>
            <w:rStyle w:val="style23"/>
          </w:rPr>
          <w:t>PM2 Monday 14 July 2014</w:t>
          <w:tab/>
          <w:t>2</w:t>
        </w:r>
      </w:hyperlink>
    </w:p>
    <w:p>
      <w:pPr>
        <w:pStyle w:val="style39"/>
        <w:tabs>
          <w:tab w:leader="dot" w:pos="9360" w:val="right"/>
        </w:tabs>
        <w:rPr>
          <w:rStyle w:val="style23"/>
        </w:rPr>
      </w:pPr>
      <w:hyperlink w:anchor="__RefHeading__502_2075141387">
        <w:r>
          <w:rPr>
            <w:rStyle w:val="style23"/>
          </w:rPr>
          <w:t>PM2 Tuesday 15 July 2014</w:t>
          <w:tab/>
          <w:t>4</w:t>
        </w:r>
      </w:hyperlink>
    </w:p>
    <w:p>
      <w:pPr>
        <w:pStyle w:val="style39"/>
        <w:tabs>
          <w:tab w:leader="dot" w:pos="9360" w:val="right"/>
        </w:tabs>
        <w:rPr>
          <w:rStyle w:val="style23"/>
        </w:rPr>
      </w:pPr>
      <w:hyperlink w:anchor="__RefHeading__504_2075141387">
        <w:r>
          <w:rPr>
            <w:rStyle w:val="style23"/>
          </w:rPr>
          <w:t>PM3 Tuesday 15 July 2014</w:t>
          <w:tab/>
          <w:t>4</w:t>
        </w:r>
      </w:hyperlink>
    </w:p>
    <w:p>
      <w:pPr>
        <w:pStyle w:val="style39"/>
        <w:tabs>
          <w:tab w:leader="dot" w:pos="9360" w:val="right"/>
        </w:tabs>
        <w:rPr>
          <w:rStyle w:val="style23"/>
        </w:rPr>
      </w:pPr>
      <w:hyperlink w:anchor="__RefHeading__506_2075141387">
        <w:r>
          <w:rPr>
            <w:rStyle w:val="style23"/>
          </w:rPr>
          <w:t>PM2 Wednesday 16 July 2014</w:t>
          <w:tab/>
          <w:t>5</w:t>
        </w:r>
      </w:hyperlink>
      <w:r>
        <w:fldChar w:fldCharType="end"/>
      </w:r>
    </w:p>
    <w:p>
      <w:pPr>
        <w:sectPr>
          <w:type w:val="continuous"/>
          <w:pgSz w:h="15840" w:w="12240"/>
          <w:pgMar w:bottom="1800" w:footer="1296" w:gutter="0" w:header="1296" w:left="1440" w:right="1440" w:top="1800"/>
          <w:formProt/>
          <w:textDirection w:val="lrTb"/>
          <w:docGrid w:charSpace="0" w:linePitch="240" w:type="default"/>
        </w:sectPr>
      </w:pPr>
    </w:p>
    <w:p>
      <w:pPr>
        <w:pStyle w:val="style0"/>
        <w:rPr/>
      </w:pPr>
      <w:hyperlink w:anchor="_Toc393384671">
        <w:r>
          <w:rPr/>
        </w:r>
      </w:hyperlink>
    </w:p>
    <w:p>
      <w:pPr>
        <w:pStyle w:val="style0"/>
        <w:rPr/>
      </w:pPr>
      <w:r>
        <w:rPr/>
      </w:r>
    </w:p>
    <w:p>
      <w:pPr>
        <w:pStyle w:val="style1"/>
        <w:rPr/>
      </w:pPr>
      <w:bookmarkStart w:id="0" w:name="__RefHeading__500_2075141387"/>
      <w:bookmarkStart w:id="1" w:name="_Toc393384671"/>
      <w:bookmarkEnd w:id="0"/>
      <w:r>
        <w:rPr/>
        <w:t>PM2 Monday 14 July 2014</w:t>
      </w:r>
      <w:bookmarkEnd w:id="1"/>
      <w:r>
        <w:rPr/>
        <w:t xml:space="preserve"> </w:t>
      </w:r>
    </w:p>
    <w:p>
      <w:pPr>
        <w:pStyle w:val="style0"/>
        <w:rPr/>
      </w:pPr>
      <w:r>
        <w:rPr/>
        <w:t xml:space="preserve">Meeting called to order at 1612 local time by </w:t>
      </w:r>
      <w:r>
        <w:rPr/>
        <w:t>TAG</w:t>
      </w:r>
      <w:r>
        <w:rPr/>
        <w:t xml:space="preserve"> Chair James Gilb.</w:t>
      </w:r>
    </w:p>
    <w:p>
      <w:pPr>
        <w:pStyle w:val="style0"/>
        <w:rPr/>
      </w:pPr>
      <w:r>
        <w:rPr/>
        <w:t>Chair, vice chair and recording secretary present.</w:t>
      </w:r>
    </w:p>
    <w:p>
      <w:pPr>
        <w:pStyle w:val="style0"/>
        <w:rPr/>
      </w:pPr>
      <w:r>
        <w:rPr/>
        <w:t>Tim presents the meeting preamble material:</w:t>
      </w:r>
    </w:p>
    <w:p>
      <w:pPr>
        <w:pStyle w:val="style0"/>
        <w:rPr/>
      </w:pPr>
      <w:r>
        <w:rPr/>
        <w:t xml:space="preserve"> </w:t>
      </w:r>
      <w:r>
        <w:rPr/>
        <w:t xml:space="preserve">Doc # 24-14-0019-01, opening report and meeting preamble slides.  No questions, discussion or disclosures heard. </w:t>
      </w:r>
    </w:p>
    <w:p>
      <w:pPr>
        <w:pStyle w:val="style0"/>
        <w:rPr/>
      </w:pPr>
      <w:r>
        <w:rPr/>
      </w:r>
    </w:p>
    <w:p>
      <w:pPr>
        <w:pStyle w:val="style0"/>
        <w:rPr/>
      </w:pPr>
      <w:r>
        <w:rPr/>
        <w:t xml:space="preserve">Tim presents Doc # 24-14-0018-01, meeting agenda.  After discussion updated agenda posted as 24-14-0018-02.  </w:t>
      </w:r>
    </w:p>
    <w:p>
      <w:pPr>
        <w:pStyle w:val="style0"/>
        <w:ind w:hanging="0" w:left="720" w:right="0"/>
        <w:rPr/>
      </w:pPr>
      <w:r>
        <w:rPr/>
        <w:t xml:space="preserve">Motion to approve agenda </w:t>
      </w:r>
    </w:p>
    <w:p>
      <w:pPr>
        <w:pStyle w:val="style0"/>
        <w:ind w:hanging="0" w:left="720" w:right="0"/>
        <w:rPr/>
      </w:pPr>
      <w:r>
        <w:rPr/>
        <w:t xml:space="preserve">Moved by Gary Stuebing (Cisco) </w:t>
      </w:r>
    </w:p>
    <w:p>
      <w:pPr>
        <w:pStyle w:val="style0"/>
        <w:ind w:hanging="0" w:left="720" w:right="0"/>
        <w:rPr/>
      </w:pPr>
      <w:r>
        <w:rPr/>
        <w:t>Second by Ben Rolfe (BCA)</w:t>
      </w:r>
    </w:p>
    <w:p>
      <w:pPr>
        <w:pStyle w:val="style0"/>
        <w:ind w:hanging="0" w:left="720" w:right="0"/>
        <w:rPr/>
      </w:pPr>
      <w:r>
        <w:rPr/>
        <w:t xml:space="preserve">No discussion on the motion. </w:t>
      </w:r>
    </w:p>
    <w:p>
      <w:pPr>
        <w:pStyle w:val="style0"/>
        <w:ind w:hanging="0" w:left="720" w:right="0"/>
        <w:rPr/>
      </w:pPr>
      <w:r>
        <w:rPr/>
        <w:t xml:space="preserve">No objections heard, motion carries by unanimous consent. </w:t>
      </w:r>
    </w:p>
    <w:p>
      <w:pPr>
        <w:pStyle w:val="style0"/>
        <w:ind w:hanging="0" w:left="720" w:right="0"/>
        <w:rPr/>
      </w:pPr>
      <w:r>
        <w:rPr/>
      </w:r>
    </w:p>
    <w:p>
      <w:pPr>
        <w:pStyle w:val="style0"/>
        <w:rPr/>
      </w:pPr>
      <w:r>
        <w:rPr/>
        <w:t xml:space="preserve">Tim presents status of action item from previous meeting. </w:t>
      </w:r>
    </w:p>
    <w:p>
      <w:pPr>
        <w:pStyle w:val="style0"/>
        <w:rPr/>
      </w:pPr>
      <w:r>
        <w:rPr/>
      </w:r>
    </w:p>
    <w:p>
      <w:pPr>
        <w:pStyle w:val="style0"/>
        <w:rPr/>
      </w:pPr>
      <w:r>
        <w:rPr/>
        <w:t>Tim leads a discussion on document Doc # 24-14-16-01 Procedures to Create a TG.</w:t>
      </w:r>
    </w:p>
    <w:p>
      <w:pPr>
        <w:pStyle w:val="style0"/>
        <w:rPr/>
      </w:pPr>
      <w:r>
        <w:rPr/>
        <w:t>Changes as result of discussion incorporated and posted as Doc # 24-14-16-02.</w:t>
      </w:r>
    </w:p>
    <w:p>
      <w:pPr>
        <w:pStyle w:val="style0"/>
        <w:rPr/>
      </w:pPr>
      <w:r>
        <w:rPr/>
      </w:r>
    </w:p>
    <w:p>
      <w:pPr>
        <w:pStyle w:val="style0"/>
        <w:rPr/>
      </w:pPr>
      <w:r>
        <w:rPr/>
        <w:t>Call for volunteer to serve as 802.24 delegates with 802 WGs.  The following volunteers are assigned by the chair:</w:t>
      </w:r>
    </w:p>
    <w:p>
      <w:pPr>
        <w:pStyle w:val="style0"/>
        <w:rPr/>
      </w:pPr>
      <w:r>
        <w:rPr/>
      </w:r>
    </w:p>
    <w:p>
      <w:pPr>
        <w:pStyle w:val="style0"/>
        <w:rPr/>
      </w:pPr>
      <w:r>
        <w:rPr/>
        <w:t>Assignment of WG delegates:</w:t>
      </w:r>
    </w:p>
    <w:p>
      <w:pPr>
        <w:pStyle w:val="style0"/>
        <w:rPr/>
      </w:pPr>
      <w:r>
        <w:rPr/>
      </w:r>
    </w:p>
    <w:tbl>
      <w:tblPr>
        <w:jc w:val="left"/>
        <w:tblInd w:type="dxa" w:w="72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97"/>
        <w:gridCol w:w="4880"/>
      </w:tblGrid>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Working Group</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Delegate</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11</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James Gilb</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15</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Benjamin Rolfe</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16</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Tim Godfrey</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3</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James Gilb</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19</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James Gilb</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21</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Farrokh Khatibi</w:t>
            </w:r>
          </w:p>
        </w:tc>
      </w:tr>
      <w:tr>
        <w:trPr>
          <w:cantSplit w:val="false"/>
        </w:trPr>
        <w:tc>
          <w:tcPr>
            <w:tcW w:type="dxa" w:w="109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22</w:t>
            </w:r>
          </w:p>
        </w:tc>
        <w:tc>
          <w:tcPr>
            <w:tcW w:type="dxa" w:w="48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rPr/>
            </w:pPr>
            <w:r>
              <w:rPr/>
              <w:t>Apurva Mody</w:t>
            </w:r>
          </w:p>
        </w:tc>
      </w:tr>
    </w:tbl>
    <w:p>
      <w:pPr>
        <w:pStyle w:val="style0"/>
        <w:rPr/>
      </w:pPr>
      <w:r>
        <w:rPr/>
      </w:r>
    </w:p>
    <w:p>
      <w:pPr>
        <w:pStyle w:val="style0"/>
        <w:rPr/>
      </w:pPr>
      <w:r>
        <w:rPr/>
        <w:t>Recessed at 1707 Local Time.</w:t>
      </w:r>
    </w:p>
    <w:p>
      <w:pPr>
        <w:pStyle w:val="style1"/>
        <w:rPr/>
      </w:pPr>
      <w:bookmarkStart w:id="2" w:name="__RefHeading__502_2075141387"/>
      <w:bookmarkStart w:id="3" w:name="_Toc393384672"/>
      <w:bookmarkEnd w:id="2"/>
      <w:bookmarkEnd w:id="3"/>
      <w:r>
        <w:rPr/>
        <w:t>PM2 Tuesday 15 July 2014</w:t>
      </w:r>
    </w:p>
    <w:p>
      <w:pPr>
        <w:pStyle w:val="style0"/>
        <w:rPr/>
      </w:pPr>
      <w:r>
        <w:rPr/>
        <w:t>Meeting called to order at 16:03 Local Time</w:t>
      </w:r>
    </w:p>
    <w:p>
      <w:pPr>
        <w:pStyle w:val="style0"/>
        <w:rPr/>
      </w:pPr>
      <w:r>
        <w:rPr/>
      </w:r>
    </w:p>
    <w:p>
      <w:pPr>
        <w:pStyle w:val="style0"/>
        <w:rPr/>
      </w:pPr>
      <w:r>
        <w:rPr/>
        <w:t xml:space="preserve">Farrokh Khatibi presents document 24-14-0021-00 on “oneM2M” and leads a discussion on collaboration opportunities. </w:t>
      </w:r>
    </w:p>
    <w:p>
      <w:pPr>
        <w:pStyle w:val="style0"/>
        <w:rPr/>
      </w:pPr>
      <w:r>
        <w:rPr/>
      </w:r>
    </w:p>
    <w:p>
      <w:pPr>
        <w:pStyle w:val="style0"/>
        <w:rPr/>
      </w:pPr>
      <w:r>
        <w:rPr/>
        <w:t>James a discussion and resolution of comments received from Bob Heile on the TAG scope and procedures comments Doc # 24-14-0015-01. Following discussion and agreed resolutions to Bob’s comments changes are posted in  post as Doc # 24-14-0015-02.</w:t>
      </w:r>
    </w:p>
    <w:p>
      <w:pPr>
        <w:pStyle w:val="style0"/>
        <w:rPr/>
      </w:pPr>
      <w:r>
        <w:rPr/>
      </w:r>
    </w:p>
    <w:p>
      <w:pPr>
        <w:pStyle w:val="style0"/>
        <w:rPr/>
      </w:pPr>
      <w:r>
        <w:rPr/>
        <w:t>James leads work session on doc Doc # 24-14-0016-02 and the Results are posted as Doc # 24-14-0016-03;</w:t>
      </w:r>
    </w:p>
    <w:p>
      <w:pPr>
        <w:pStyle w:val="style0"/>
        <w:rPr/>
      </w:pPr>
      <w:r>
        <w:rPr/>
      </w:r>
    </w:p>
    <w:p>
      <w:pPr>
        <w:pStyle w:val="style0"/>
        <w:rPr/>
      </w:pPr>
      <w:r>
        <w:rPr/>
        <w:t>Recessed at 17:22 Local Time.</w:t>
      </w:r>
    </w:p>
    <w:p>
      <w:pPr>
        <w:pStyle w:val="style0"/>
        <w:rPr/>
      </w:pPr>
      <w:r>
        <w:rPr/>
      </w:r>
    </w:p>
    <w:p>
      <w:pPr>
        <w:pStyle w:val="style1"/>
        <w:rPr/>
      </w:pPr>
      <w:bookmarkStart w:id="4" w:name="__RefHeading__504_2075141387"/>
      <w:bookmarkStart w:id="5" w:name="_Toc393384673"/>
      <w:bookmarkEnd w:id="4"/>
      <w:bookmarkEnd w:id="5"/>
      <w:r>
        <w:rPr/>
        <w:t>PM3 Tuesday 15 July 2014</w:t>
      </w:r>
    </w:p>
    <w:p>
      <w:pPr>
        <w:pStyle w:val="style0"/>
        <w:rPr/>
      </w:pPr>
      <w:r>
        <w:rPr/>
        <w:t xml:space="preserve">802.24 hosts the “Nuts and Bolts of Internet of Things” </w:t>
      </w:r>
    </w:p>
    <w:p>
      <w:pPr>
        <w:pStyle w:val="style0"/>
        <w:rPr/>
      </w:pPr>
      <w:r>
        <w:rPr/>
        <w:t xml:space="preserve">Presentations posted in Doc # 24-14-0022-00. </w:t>
      </w:r>
    </w:p>
    <w:p>
      <w:pPr>
        <w:pStyle w:val="style0"/>
        <w:rPr/>
      </w:pPr>
      <w:r>
        <w:rPr/>
        <w:t xml:space="preserve">James introduces Chris DiMinico;  Chris presents agenda and background.  </w:t>
      </w:r>
    </w:p>
    <w:p>
      <w:pPr>
        <w:pStyle w:val="style0"/>
        <w:rPr/>
      </w:pPr>
      <w:r>
        <w:rPr/>
        <w:t>Chris presents and leads discussion on Case Study: data center sensors at LBNL.</w:t>
      </w:r>
    </w:p>
    <w:p>
      <w:pPr>
        <w:pStyle w:val="style0"/>
        <w:rPr/>
      </w:pPr>
      <w:r>
        <w:rPr/>
        <w:t>Andy Jimenez (Anixter) presents and leads discussion on IP based physical security.</w:t>
      </w:r>
    </w:p>
    <w:p>
      <w:pPr>
        <w:pStyle w:val="style0"/>
        <w:rPr/>
      </w:pPr>
      <w:r>
        <w:rPr/>
        <w:t xml:space="preserve">Fanny Mlinarsky (octoScope) presents and leads discussion on Wireless Internet of Things </w:t>
      </w:r>
    </w:p>
    <w:p>
      <w:pPr>
        <w:pStyle w:val="style0"/>
        <w:rPr/>
      </w:pPr>
      <w:r>
        <w:rPr/>
        <w:t>Chris presents summary of Data Center Standards.</w:t>
      </w:r>
    </w:p>
    <w:p>
      <w:pPr>
        <w:pStyle w:val="style0"/>
        <w:rPr/>
      </w:pPr>
      <w:r>
        <w:rPr/>
      </w:r>
    </w:p>
    <w:p>
      <w:pPr>
        <w:pStyle w:val="style0"/>
        <w:rPr/>
      </w:pPr>
      <w:r>
        <w:rPr/>
        <w:t>Recessed at 9:32pm local</w:t>
      </w:r>
    </w:p>
    <w:p>
      <w:pPr>
        <w:pStyle w:val="style0"/>
        <w:rPr/>
      </w:pPr>
      <w:r>
        <w:rPr/>
      </w:r>
    </w:p>
    <w:p>
      <w:pPr>
        <w:pStyle w:val="style1"/>
        <w:rPr/>
      </w:pPr>
      <w:bookmarkStart w:id="6" w:name="__RefHeading__506_2075141387"/>
      <w:bookmarkStart w:id="7" w:name="_Toc393384674"/>
      <w:bookmarkEnd w:id="6"/>
      <w:bookmarkEnd w:id="7"/>
      <w:r>
        <w:rPr/>
        <w:t>PM2 Wednesday 16 July 2014</w:t>
      </w:r>
    </w:p>
    <w:p>
      <w:pPr>
        <w:pStyle w:val="style0"/>
        <w:rPr/>
      </w:pPr>
      <w:r>
        <w:rPr/>
      </w:r>
    </w:p>
    <w:p>
      <w:pPr>
        <w:pStyle w:val="style0"/>
        <w:rPr/>
      </w:pPr>
      <w:r>
        <w:rPr/>
        <w:t>Meeting called to order at 16:00</w:t>
      </w:r>
    </w:p>
    <w:p>
      <w:pPr>
        <w:pStyle w:val="style0"/>
        <w:rPr/>
      </w:pPr>
      <w:r>
        <w:rPr/>
        <w:t>The chair edits and discusses Scope Document comment responses in 24-14-0016-r2</w:t>
      </w:r>
    </w:p>
    <w:p>
      <w:pPr>
        <w:pStyle w:val="style0"/>
        <w:rPr/>
      </w:pPr>
      <w:r>
        <w:rPr/>
        <w:t>Discussion on 802.21 comments:</w:t>
      </w:r>
    </w:p>
    <w:p>
      <w:pPr>
        <w:pStyle w:val="style0"/>
        <w:ind w:hanging="0" w:left="720" w:right="0"/>
        <w:rPr/>
      </w:pPr>
      <w:r>
        <w:rPr/>
        <w:t>Subir thinks EC approval might be too restrictive and restrain discussion.</w:t>
      </w:r>
    </w:p>
    <w:p>
      <w:pPr>
        <w:pStyle w:val="style0"/>
        <w:ind w:hanging="0" w:left="720" w:right="0"/>
        <w:rPr/>
      </w:pPr>
      <w:r>
        <w:rPr/>
        <w:t>It is noted that if an 802.24 TG discoverers a gap in 802 standards, they could develop a PAR, which would subsequently be assigned to another WG.</w:t>
      </w:r>
    </w:p>
    <w:p>
      <w:pPr>
        <w:pStyle w:val="style0"/>
        <w:ind w:hanging="0" w:left="720" w:right="0"/>
        <w:rPr/>
      </w:pPr>
      <w:r>
        <w:rPr/>
        <w:t xml:space="preserve">Subir wants the EC to approve the formation of the Subgroup (the same process as starting an study group) </w:t>
      </w:r>
    </w:p>
    <w:p>
      <w:pPr>
        <w:pStyle w:val="style0"/>
        <w:ind w:hanging="0" w:left="720" w:right="0"/>
        <w:rPr/>
      </w:pPr>
      <w:r>
        <w:rPr/>
        <w:t xml:space="preserve">Response: The reason the .24 process is different is because we don't make standards. </w:t>
      </w:r>
    </w:p>
    <w:p>
      <w:pPr>
        <w:pStyle w:val="style0"/>
        <w:ind w:hanging="0" w:left="720" w:right="0"/>
        <w:rPr/>
      </w:pPr>
      <w:r>
        <w:rPr/>
        <w:t>Question to the group - should the formation of the SubGroup be approved by the EC first? Possibility - the Study Group could be reported as pre-PAR activities like 802.1 does.</w:t>
      </w:r>
    </w:p>
    <w:p>
      <w:pPr>
        <w:pStyle w:val="style0"/>
        <w:ind w:hanging="0" w:left="720" w:right="0"/>
        <w:rPr/>
      </w:pPr>
      <w:r>
        <w:rPr/>
      </w:r>
    </w:p>
    <w:p>
      <w:pPr>
        <w:pStyle w:val="style0"/>
        <w:ind w:hanging="0" w:left="720" w:right="0"/>
        <w:rPr/>
      </w:pPr>
      <w:r>
        <w:rPr/>
        <w:t>Discussion on Certification - 802.24 does not certify, but it only provides information and disambiguation of 802 standards to the certification bodies and industry alliances.  802.24 only addresses an item if it is a cross-WG issue.  Otherwise it directs to the appropriate WG</w:t>
      </w:r>
    </w:p>
    <w:p>
      <w:pPr>
        <w:pStyle w:val="style0"/>
        <w:ind w:hanging="0" w:left="720" w:right="0"/>
        <w:rPr/>
      </w:pPr>
      <w:r>
        <w:rPr/>
      </w:r>
    </w:p>
    <w:p>
      <w:pPr>
        <w:pStyle w:val="style0"/>
        <w:ind w:hanging="0" w:left="720" w:right="0"/>
        <w:rPr/>
      </w:pPr>
      <w:r>
        <w:rPr/>
        <w:t xml:space="preserve">Discussion on 802.19 comments: </w:t>
      </w:r>
    </w:p>
    <w:p>
      <w:pPr>
        <w:pStyle w:val="style0"/>
        <w:ind w:hanging="0" w:left="1440" w:right="0"/>
        <w:rPr/>
      </w:pPr>
      <w:r>
        <w:rPr/>
        <w:t>Group modifies the statements regarding regulatory bodies to clarify that 802.18 is the first point of contact for external regulatory bodies.</w:t>
      </w:r>
    </w:p>
    <w:p>
      <w:pPr>
        <w:pStyle w:val="style0"/>
        <w:ind w:hanging="0" w:left="720" w:right="0"/>
        <w:rPr/>
      </w:pPr>
      <w:r>
        <w:rPr/>
      </w:r>
    </w:p>
    <w:p>
      <w:pPr>
        <w:pStyle w:val="style0"/>
        <w:ind w:hanging="0" w:left="720" w:right="0"/>
        <w:rPr/>
      </w:pPr>
      <w:r>
        <w:rPr/>
        <w:t xml:space="preserve">    </w:t>
      </w:r>
      <w:r>
        <w:rPr/>
        <w:tab/>
        <w:t>Will a CSD be filled out?   No.</w:t>
      </w:r>
    </w:p>
    <w:p>
      <w:pPr>
        <w:pStyle w:val="style0"/>
        <w:ind w:hanging="0" w:left="720" w:right="0"/>
        <w:rPr/>
      </w:pPr>
      <w:r>
        <w:rPr/>
      </w:r>
    </w:p>
    <w:p>
      <w:pPr>
        <w:pStyle w:val="style0"/>
        <w:ind w:hanging="0" w:left="1440" w:right="0"/>
        <w:rPr/>
      </w:pPr>
      <w:r>
        <w:rPr/>
        <w:t>Delete "clear need for standards in the applications space” to clarify that we are not making standards – done.</w:t>
      </w:r>
    </w:p>
    <w:p>
      <w:pPr>
        <w:pStyle w:val="style0"/>
        <w:ind w:hanging="0" w:left="1440" w:right="0"/>
        <w:rPr/>
      </w:pPr>
      <w:r>
        <w:rPr/>
      </w:r>
    </w:p>
    <w:p>
      <w:pPr>
        <w:pStyle w:val="style0"/>
        <w:rPr/>
      </w:pPr>
      <w:r>
        <w:rPr/>
        <w:t>Results of discussion and work captured in Doc # 24-14-0015-02.</w:t>
      </w:r>
    </w:p>
    <w:p>
      <w:pPr>
        <w:pStyle w:val="style0"/>
        <w:rPr/>
      </w:pPr>
      <w:r>
        <w:rPr/>
        <w:t>TAG motion:  Moved to direct TAG chair to present Doc # 24-14-0015-02 to EC for approval. Moved: Rolfe; Second: Gilb; No discussion or objections heard, motion carries by unanimous consent.</w:t>
      </w:r>
    </w:p>
    <w:p>
      <w:pPr>
        <w:pStyle w:val="style0"/>
        <w:rPr/>
      </w:pPr>
      <w:r>
        <w:rPr/>
      </w:r>
    </w:p>
    <w:p>
      <w:pPr>
        <w:pStyle w:val="style0"/>
        <w:rPr/>
      </w:pPr>
      <w:r>
        <w:rPr/>
        <w:t>Suggestion made to adopt the Pteromys volans as the 802.24 mascot. No opposition heard.</w:t>
      </w:r>
    </w:p>
    <w:p>
      <w:pPr>
        <w:pStyle w:val="style0"/>
        <w:rPr/>
      </w:pPr>
      <w:r>
        <w:rPr/>
      </w:r>
    </w:p>
    <w:p>
      <w:pPr>
        <w:pStyle w:val="style0"/>
        <w:rPr/>
      </w:pPr>
      <w:r>
        <w:rPr/>
        <w:t>Meeting adjourned at 1720 Local</w:t>
      </w:r>
    </w:p>
    <w:sectPr>
      <w:type w:val="continuous"/>
      <w:pgSz w:h="15840" w:w="12240"/>
      <w:pgMar w:bottom="1800" w:footer="1296" w:gutter="0" w:header="1296" w:left="1440" w:right="1440" w:top="1800"/>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New York">
    <w:charset w:val="01"/>
    <w:family w:val="roman"/>
    <w:pitch w:val="variable"/>
  </w:font>
  <w:font w:name="Arial">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Arial">
    <w:charset w:val="01"/>
    <w:family w:val="swiss"/>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t>Submission</w:t>
      <w:tab/>
      <w:t xml:space="preserve">Page </w:t>
      <w:tab/>
    </w:r>
    <w:r>
      <w:rPr/>
      <w:fldChar w:fldCharType="begin"/>
    </w:r>
    <w:r>
      <w:instrText> DOCPROPERTY "Author"</w:instrText>
    </w:r>
    <w:r>
      <w:fldChar w:fldCharType="separate"/>
    </w:r>
    <w:r>
      <w:t>Benjamin Rolfe</w:t>
    </w:r>
    <w:r>
      <w:fldChar w:fldCharType="end"/>
    </w:r>
    <w:r>
      <w:rPr/>
      <w:t xml:space="preserve">, </w:t>
    </w:r>
    <w:r>
      <w:rPr/>
      <w:fldChar w:fldCharType="begin"/>
    </w:r>
    <w:r>
      <w:instrText> DOCPROPERTY "Company"</w:instrText>
    </w:r>
    <w:r>
      <w:fldChar w:fldCharType="separate"/>
    </w:r>
    <w:r>
      <w:t>BCA</w:t>
    </w:r>
    <w:r>
      <w:fldChar w:fldCharType="end"/>
    </w:r>
    <w:pStyle w:val="style29"/>
    <w:widowControl w:val="false"/>
    <w:tabs>
      <w:tab w:leader="none" w:pos="4680" w:val="center"/>
      <w:tab w:leader="none" w:pos="9360" w:val="right"/>
    </w:tabs>
    <w:contextualSpacing w:val="false"/>
    <w:top w:color="00000A" w:space="0" w:sz="6" w:val="single"/>
    <w:left w:val="nil"/>
    <w:bottom w:val="nil"/>
    <w:insideH w:val="nil"/>
    <w:right w:val="nil"/>
    <w:insideV w:val="nil"/>
    <w:pPr>
      <w:spacing w:after="0" w:before="240"/>
      <w:rPr/>
    </w:pP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b/>
        <w:sz w:val="28"/>
      </w:rPr>
      <w:t>May, 2014</w:t>
      <w:tab/>
      <w:t xml:space="preserve"> IEEE P802.</w:t>
    </w:r>
    <w:r>
      <w:rPr>
        <w:b/>
        <w:sz w:val="28"/>
      </w:rPr>
      <w:fldChar w:fldCharType="begin"/>
    </w:r>
    <w:r>
      <w:instrText> DOCPROPERTY "Category"</w:instrText>
    </w:r>
    <w:r>
      <w:fldChar w:fldCharType="separate"/>
    </w:r>
    <w:r>
      <w:t>24-14-0020-00-0000</w:t>
    </w:r>
    <w:r>
      <w:fldChar w:fldCharType="end"/>
    </w:r>
    <w:pStyle w:val="style30"/>
    <w:widowControl w:val="false"/>
    <w:tabs>
      <w:tab w:leader="none" w:pos="9270" w:val="right"/>
    </w:tabs>
    <w:contextualSpacing w:val="false"/>
    <w:top w:val="nil"/>
    <w:left w:val="nil"/>
    <w:bottom w:color="00000A" w:space="0" w:sz="6" w:val="single"/>
    <w:insideH w:color="00000A" w:space="0" w:sz="6" w:val="single"/>
    <w:right w:val="nil"/>
    <w:insideV w:val="nil"/>
    <w:jc w:val="both"/>
    <w:pPr>
      <w:spacing w:after="360" w:before="0"/>
      <w:rPr>
        <w:b/>
        <w:sz w:val="28"/>
      </w:rPr>
    </w:pPr>
  </w:p>
</w:hd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0"/>
      <w:lang w:bidi="ar-SA" w:eastAsia="en-US" w:val="en-US"/>
    </w:rPr>
  </w:style>
  <w:style w:styleId="style1" w:type="paragraph">
    <w:name w:val="Heading 1"/>
    <w:basedOn w:val="style0"/>
    <w:next w:val="style1"/>
    <w:pPr>
      <w:keepNext/>
      <w:spacing w:after="60" w:before="240"/>
      <w:contextualSpacing w:val="false"/>
    </w:pPr>
    <w:rPr>
      <w:rFonts w:ascii="Arial" w:hAnsi="Arial"/>
      <w:b/>
      <w:sz w:val="28"/>
      <w:u w:val="double"/>
    </w:rPr>
  </w:style>
  <w:style w:styleId="style2" w:type="paragraph">
    <w:name w:val="Heading 2"/>
    <w:basedOn w:val="style0"/>
    <w:next w:val="style2"/>
    <w:pPr>
      <w:keepNext/>
      <w:spacing w:after="60" w:before="240"/>
      <w:contextualSpacing w:val="false"/>
    </w:pPr>
    <w:rPr>
      <w:rFonts w:ascii="Arial" w:hAnsi="Arial"/>
      <w:b/>
      <w:i/>
      <w:sz w:val="28"/>
      <w:u w:val="wave"/>
    </w:rPr>
  </w:style>
  <w:style w:styleId="style3" w:type="paragraph">
    <w:name w:val="Heading 3"/>
    <w:basedOn w:val="style0"/>
    <w:next w:val="style3"/>
    <w:pPr>
      <w:keepNext/>
      <w:tabs>
        <w:tab w:leader="none" w:pos="792" w:val="left"/>
      </w:tabs>
      <w:spacing w:after="60" w:before="240"/>
      <w:contextualSpacing w:val="false"/>
    </w:pPr>
    <w:rPr>
      <w:rFonts w:ascii="Arial" w:hAnsi="Arial"/>
      <w:sz w:val="26"/>
    </w:rPr>
  </w:style>
  <w:style w:styleId="style4" w:type="paragraph">
    <w:name w:val="Heading 4"/>
    <w:basedOn w:val="style0"/>
    <w:next w:val="style4"/>
    <w:pPr>
      <w:ind w:hanging="0" w:left="360" w:right="0"/>
    </w:pPr>
    <w:rPr>
      <w:rFonts w:ascii="Times" w:hAnsi="Times"/>
      <w:u w:val="single"/>
    </w:rPr>
  </w:style>
  <w:style w:styleId="style5" w:type="paragraph">
    <w:name w:val="Heading 5"/>
    <w:basedOn w:val="style0"/>
    <w:next w:val="style5"/>
    <w:pPr>
      <w:spacing w:after="60" w:before="240"/>
      <w:contextualSpacing w:val="false"/>
    </w:pPr>
    <w:rPr>
      <w:sz w:val="22"/>
      <w:u w:val="single"/>
    </w:rPr>
  </w:style>
  <w:style w:styleId="style6" w:type="paragraph">
    <w:name w:val="Heading 6"/>
    <w:basedOn w:val="style0"/>
    <w:next w:val="style6"/>
    <w:pPr>
      <w:spacing w:after="60" w:before="240"/>
      <w:contextualSpacing w:val="false"/>
    </w:pPr>
    <w:rPr>
      <w:i/>
      <w:sz w:val="22"/>
    </w:rPr>
  </w:style>
  <w:style w:styleId="style7" w:type="paragraph">
    <w:name w:val="Heading 7"/>
    <w:basedOn w:val="style0"/>
    <w:next w:val="style7"/>
    <w:pPr>
      <w:spacing w:after="60" w:before="240"/>
      <w:contextualSpacing w:val="false"/>
    </w:pPr>
    <w:rPr>
      <w:rFonts w:ascii="Arial" w:hAnsi="Arial"/>
      <w:sz w:val="20"/>
    </w:rPr>
  </w:style>
  <w:style w:styleId="style8" w:type="paragraph">
    <w:name w:val="Heading 8"/>
    <w:basedOn w:val="style0"/>
    <w:next w:val="style8"/>
    <w:pPr>
      <w:spacing w:after="60" w:before="240"/>
      <w:contextualSpacing w:val="false"/>
    </w:pPr>
    <w:rPr>
      <w:rFonts w:ascii="Arial" w:hAnsi="Arial"/>
      <w:i/>
      <w:sz w:val="20"/>
    </w:rPr>
  </w:style>
  <w:style w:styleId="style9" w:type="paragraph">
    <w:name w:val="Heading 9"/>
    <w:basedOn w:val="style0"/>
    <w:next w:val="style9"/>
    <w:pPr>
      <w:spacing w:after="60" w:before="240"/>
      <w:contextualSpacing w:val="false"/>
    </w:pPr>
    <w:rPr>
      <w:rFonts w:ascii="Arial" w:hAnsi="Arial"/>
      <w:b/>
      <w:i/>
      <w:sz w:val="18"/>
    </w:rPr>
  </w:style>
  <w:style w:styleId="style15" w:type="character">
    <w:name w:val="Default Paragraph Font"/>
    <w:next w:val="style15"/>
    <w:rPr/>
  </w:style>
  <w:style w:styleId="style16" w:type="character">
    <w:name w:val="page number"/>
    <w:basedOn w:val="style15"/>
    <w:next w:val="style16"/>
    <w:rPr/>
  </w:style>
  <w:style w:styleId="style17" w:type="character">
    <w:name w:val="Body Text Char"/>
    <w:basedOn w:val="style15"/>
    <w:next w:val="style17"/>
    <w:rPr>
      <w:rFonts w:ascii="Times New Roman" w:hAnsi="Times New Roman"/>
      <w:color w:val="000000"/>
      <w:sz w:val="24"/>
    </w:rPr>
  </w:style>
  <w:style w:styleId="style18" w:type="character">
    <w:name w:val="Title Char"/>
    <w:basedOn w:val="style15"/>
    <w:next w:val="style18"/>
    <w:rPr>
      <w:rFonts w:ascii="Cambria" w:cs="" w:hAnsi="Cambria"/>
      <w:spacing w:val="-10"/>
      <w:sz w:val="56"/>
      <w:szCs w:val="56"/>
    </w:rPr>
  </w:style>
  <w:style w:styleId="style19" w:type="character">
    <w:name w:val="Internet Link"/>
    <w:basedOn w:val="style15"/>
    <w:next w:val="style19"/>
    <w:rPr>
      <w:color w:val="0000FF"/>
      <w:u w:val="single"/>
      <w:lang w:bidi="zxx-" w:eastAsia="zxx-" w:val="zxx-"/>
    </w:rPr>
  </w:style>
  <w:style w:styleId="style20" w:type="character">
    <w:name w:val="Subtitle Char"/>
    <w:basedOn w:val="style15"/>
    <w:next w:val="style20"/>
    <w:rPr>
      <w:rFonts w:ascii="Calibri" w:cs="" w:hAnsi="Calibri"/>
      <w:color w:val="5A5A5A"/>
      <w:spacing w:val="15"/>
      <w:sz w:val="22"/>
      <w:szCs w:val="22"/>
    </w:rPr>
  </w:style>
  <w:style w:styleId="style21" w:type="character">
    <w:name w:val="ListLabel 1"/>
    <w:next w:val="style21"/>
    <w:rPr>
      <w:rFonts w:cs=""/>
    </w:rPr>
  </w:style>
  <w:style w:styleId="style22" w:type="character">
    <w:name w:val="ListLabel 2"/>
    <w:next w:val="style22"/>
    <w:rPr>
      <w:rFonts w:cs="Courier New"/>
    </w:rPr>
  </w:style>
  <w:style w:styleId="style23" w:type="character">
    <w:name w:val="Index Link"/>
    <w:next w:val="style23"/>
    <w:rPr/>
  </w:style>
  <w:style w:styleId="style24" w:type="paragraph">
    <w:name w:val="Heading"/>
    <w:basedOn w:val="style0"/>
    <w:next w:val="style25"/>
    <w:pPr>
      <w:keepNext/>
      <w:spacing w:after="120" w:before="240"/>
      <w:contextualSpacing w:val="false"/>
    </w:pPr>
    <w:rPr>
      <w:rFonts w:ascii="Arial" w:cs="Lohit Hindi" w:eastAsia="DejaVu Sans" w:hAnsi="Arial"/>
      <w:sz w:val="28"/>
      <w:szCs w:val="28"/>
    </w:rPr>
  </w:style>
  <w:style w:styleId="style25" w:type="paragraph">
    <w:name w:val="Text Body"/>
    <w:basedOn w:val="style0"/>
    <w:next w:val="style25"/>
    <w:pPr/>
    <w:rPr>
      <w:color w:val="000000"/>
    </w:rPr>
  </w:style>
  <w:style w:styleId="style26" w:type="paragraph">
    <w:name w:val="List"/>
    <w:basedOn w:val="style25"/>
    <w:next w:val="style26"/>
    <w:pPr/>
    <w:rPr>
      <w:rFonts w:cs="Lohit Hindi"/>
    </w:rPr>
  </w:style>
  <w:style w:styleId="style27" w:type="paragraph">
    <w:name w:val="Caption"/>
    <w:basedOn w:val="style0"/>
    <w:next w:val="style27"/>
    <w:pPr>
      <w:suppressLineNumbers/>
      <w:spacing w:after="120" w:before="120"/>
      <w:contextualSpacing w:val="false"/>
    </w:pPr>
    <w:rPr>
      <w:rFonts w:cs="Lohit Hindi"/>
      <w:i/>
      <w:iCs/>
      <w:sz w:val="24"/>
      <w:szCs w:val="24"/>
    </w:rPr>
  </w:style>
  <w:style w:styleId="style28" w:type="paragraph">
    <w:name w:val="Index"/>
    <w:basedOn w:val="style0"/>
    <w:next w:val="style28"/>
    <w:pPr>
      <w:suppressLineNumbers/>
    </w:pPr>
    <w:rPr>
      <w:rFonts w:cs="Lohit Hindi"/>
    </w:rPr>
  </w:style>
  <w:style w:styleId="style29" w:type="paragraph">
    <w:name w:val="Footer"/>
    <w:basedOn w:val="style0"/>
    <w:next w:val="style29"/>
    <w:pPr>
      <w:tabs>
        <w:tab w:leader="none" w:pos="4320" w:val="center"/>
        <w:tab w:leader="none" w:pos="8640" w:val="right"/>
      </w:tabs>
    </w:pPr>
    <w:rPr/>
  </w:style>
  <w:style w:styleId="style30" w:type="paragraph">
    <w:name w:val="Header"/>
    <w:basedOn w:val="style0"/>
    <w:next w:val="style30"/>
    <w:pPr>
      <w:tabs>
        <w:tab w:leader="none" w:pos="4320" w:val="center"/>
        <w:tab w:leader="none" w:pos="8640" w:val="right"/>
      </w:tabs>
    </w:pPr>
    <w:rPr/>
  </w:style>
  <w:style w:styleId="style31" w:type="paragraph">
    <w:name w:val="Bit Heading"/>
    <w:basedOn w:val="style0"/>
    <w:next w:val="style31"/>
    <w:pPr>
      <w:spacing w:after="0" w:before="120"/>
      <w:contextualSpacing w:val="false"/>
      <w:jc w:val="both"/>
    </w:pPr>
    <w:rPr>
      <w:rFonts w:ascii="Palatino" w:hAnsi="Palatino"/>
      <w:i/>
    </w:rPr>
  </w:style>
  <w:style w:styleId="style32" w:type="paragraph">
    <w:name w:val="BlockParagraph"/>
    <w:basedOn w:val="style0"/>
    <w:next w:val="style32"/>
    <w:pPr>
      <w:spacing w:after="0" w:before="120"/>
      <w:contextualSpacing w:val="false"/>
    </w:pPr>
    <w:rPr>
      <w:rFonts w:ascii="Palatino" w:hAnsi="Palatino"/>
    </w:rPr>
  </w:style>
  <w:style w:styleId="style33" w:type="paragraph">
    <w:name w:val="Definition"/>
    <w:basedOn w:val="style0"/>
    <w:next w:val="style33"/>
    <w:pPr>
      <w:spacing w:after="200" w:before="0"/>
      <w:ind w:hanging="0" w:left="0" w:right="-720"/>
      <w:contextualSpacing w:val="false"/>
      <w:jc w:val="both"/>
    </w:pPr>
    <w:rPr>
      <w:rFonts w:ascii="New Century Schlbk" w:hAnsi="New Century Schlbk"/>
      <w:sz w:val="20"/>
    </w:rPr>
  </w:style>
  <w:style w:styleId="style34" w:type="paragraph">
    <w:name w:val="Document Map"/>
    <w:basedOn w:val="style0"/>
    <w:next w:val="style34"/>
    <w:pPr>
      <w:shd w:fill="000080" w:val="clear"/>
    </w:pPr>
    <w:rPr>
      <w:rFonts w:ascii="Tahoma" w:hAnsi="Tahoma"/>
    </w:rPr>
  </w:style>
  <w:style w:styleId="style35" w:type="paragraph">
    <w:name w:val="cover text"/>
    <w:basedOn w:val="style0"/>
    <w:next w:val="style35"/>
    <w:pPr>
      <w:spacing w:after="120" w:before="120"/>
      <w:contextualSpacing w:val="false"/>
    </w:pPr>
    <w:rPr/>
  </w:style>
  <w:style w:styleId="style36" w:type="paragraph">
    <w:name w:val="No Spacing"/>
    <w:next w:val="style36"/>
    <w:pPr>
      <w:widowControl/>
      <w:suppressAutoHyphens w:val="true"/>
    </w:pPr>
    <w:rPr>
      <w:rFonts w:ascii="Calibri" w:cs="" w:eastAsia="Times New Roman" w:hAnsi="Calibri"/>
      <w:color w:val="auto"/>
      <w:sz w:val="22"/>
      <w:szCs w:val="22"/>
      <w:lang w:bidi="ar-SA" w:eastAsia="en-US" w:val="en-US"/>
    </w:rPr>
  </w:style>
  <w:style w:styleId="style37" w:type="paragraph">
    <w:name w:val="Title"/>
    <w:basedOn w:val="style0"/>
    <w:next w:val="style37"/>
    <w:pPr>
      <w:spacing w:after="0" w:before="0"/>
      <w:contextualSpacing/>
      <w:jc w:val="center"/>
    </w:pPr>
    <w:rPr>
      <w:rFonts w:ascii="Cambria" w:cs="" w:hAnsi="Cambria"/>
      <w:spacing w:val="-10"/>
      <w:sz w:val="56"/>
      <w:szCs w:val="56"/>
    </w:rPr>
  </w:style>
  <w:style w:styleId="style38" w:type="paragraph">
    <w:name w:val="Contents Heading"/>
    <w:basedOn w:val="style1"/>
    <w:next w:val="style38"/>
    <w:pPr>
      <w:keepLines/>
      <w:spacing w:after="0" w:before="240" w:line="256" w:lineRule="auto"/>
      <w:contextualSpacing w:val="false"/>
    </w:pPr>
    <w:rPr>
      <w:rFonts w:ascii="Cambria" w:cs="" w:hAnsi="Cambria"/>
      <w:b w:val="false"/>
      <w:color w:val="365F91"/>
      <w:sz w:val="32"/>
      <w:szCs w:val="32"/>
      <w:u w:val="none"/>
    </w:rPr>
  </w:style>
  <w:style w:styleId="style39" w:type="paragraph">
    <w:name w:val="Contents 1"/>
    <w:basedOn w:val="style0"/>
    <w:next w:val="style39"/>
    <w:pPr>
      <w:spacing w:after="100" w:before="0"/>
      <w:contextualSpacing w:val="false"/>
    </w:pPr>
    <w:rPr/>
  </w:style>
  <w:style w:styleId="style40" w:type="paragraph">
    <w:name w:val="Subtitle"/>
    <w:basedOn w:val="style0"/>
    <w:next w:val="style40"/>
    <w:pPr>
      <w:spacing w:after="160" w:before="0" w:line="360" w:lineRule="auto"/>
      <w:contextualSpacing w:val="false"/>
      <w:jc w:val="center"/>
    </w:pPr>
    <w:rPr>
      <w:rFonts w:ascii="Calibri" w:cs="" w:hAnsi="Calibri"/>
      <w:color w:val="5A5A5A"/>
      <w:spacing w:val="15"/>
      <w:sz w:val="22"/>
      <w:szCs w:val="22"/>
    </w:rPr>
  </w:style>
  <w:style w:styleId="style41" w:type="paragraph">
    <w:name w:val="List Paragraph"/>
    <w:basedOn w:val="style0"/>
    <w:next w:val="style41"/>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IEEE-P802_15.dot</Template>
  <TotalTime>1078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2014-03-20T09:04:00Z</dcterms:created>
  <dc:creator>Benjamin Rolfe</dc:creator>
  <cp:lastModifiedBy>Benjamin Rolfe</cp:lastModifiedBy>
  <cp:lastPrinted>2013-07-15T15:59:00Z</cp:lastPrinted>
  <dcterms:modified xsi:type="dcterms:W3CDTF">2014-07-18T02:57:00Z</dcterms:modified>
  <cp:revision>20</cp:revision>
  <dc:title>Minutes-TAG-July-2014</dc:title>
</cp:coreProperties>
</file>