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pPr>
      <w:r>
        <w:rPr/>
        <w:t>802.24 Operations Manual</w:t>
      </w:r>
    </w:p>
    <w:p>
      <w:pPr>
        <w:pStyle w:val="style1"/>
      </w:pPr>
      <w:r>
        <w:rPr/>
        <w:t>Scope</w:t>
      </w:r>
    </w:p>
    <w:p>
      <w:pPr>
        <w:pStyle w:val="style21"/>
      </w:pPr>
      <w:r>
        <w:rPr/>
      </w:r>
    </w:p>
    <w:p>
      <w:pPr>
        <w:pStyle w:val="style21"/>
      </w:pPr>
      <w:r>
        <w:rPr/>
        <w:t>IEEE 802.24 Vertical Applications TAG focuses on application categories that use IEEE 802 technology and are of interest to multiple IEEE 802 WGs.  The applications assigned to IEEE 802.24 are:</w:t>
      </w:r>
    </w:p>
    <w:p>
      <w:pPr>
        <w:pStyle w:val="style21"/>
        <w:numPr>
          <w:ilvl w:val="0"/>
          <w:numId w:val="4"/>
        </w:numPr>
      </w:pPr>
      <w:r>
        <w:rPr/>
        <w:t>Smart Grid</w:t>
      </w:r>
    </w:p>
    <w:p>
      <w:pPr>
        <w:pStyle w:val="style21"/>
        <w:numPr>
          <w:ilvl w:val="0"/>
          <w:numId w:val="4"/>
        </w:numPr>
      </w:pPr>
      <w:r>
        <w:rPr/>
        <w:t>Internet of Things (is this everything?  Should the scope be smaller?)</w:t>
      </w:r>
    </w:p>
    <w:p>
      <w:pPr>
        <w:pStyle w:val="style21"/>
      </w:pPr>
      <w:r>
        <w:rPr/>
        <w:t>For those applications, IEEE 802.24:</w:t>
      </w:r>
    </w:p>
    <w:p>
      <w:pPr>
        <w:pStyle w:val="style21"/>
        <w:numPr>
          <w:ilvl w:val="0"/>
          <w:numId w:val="5"/>
        </w:numPr>
      </w:pPr>
      <w:r>
        <w:rPr/>
        <w:t>Acts as a liaison and point of contact with regulatory agencies, industry organizations, other SDOs, government agencies, IEEE societies, etc., for questions regarding the use of 802 standards in those emerging applications.</w:t>
      </w:r>
    </w:p>
    <w:p>
      <w:pPr>
        <w:pStyle w:val="style21"/>
        <w:numPr>
          <w:ilvl w:val="0"/>
          <w:numId w:val="5"/>
        </w:numPr>
      </w:pPr>
      <w:r>
        <w:rPr/>
        <w:t>Develops white papers, guidelines, presentations and other documents that do not require a PAR that describe the application of 802 standards to those emerging applications</w:t>
      </w:r>
    </w:p>
    <w:p>
      <w:pPr>
        <w:pStyle w:val="style21"/>
        <w:numPr>
          <w:ilvl w:val="0"/>
          <w:numId w:val="5"/>
        </w:numPr>
      </w:pPr>
      <w:r>
        <w:rPr/>
        <w:t>Acts as a resource for understanding 802 standards for certification efforts by industry bodies.</w:t>
      </w:r>
    </w:p>
    <w:p>
      <w:pPr>
        <w:pStyle w:val="style21"/>
      </w:pPr>
      <w:r>
        <w:rPr/>
        <w:t>NOTE: The horizontal technologies are applied to the vertical applications.  We figure out what makes that horizontal technology or what enhancements are required to make them more applicable to a specific vertical application.</w:t>
      </w:r>
    </w:p>
    <w:p>
      <w:pPr>
        <w:pStyle w:val="style21"/>
      </w:pPr>
      <w:r>
        <w:rPr/>
        <w:t>Names that did not win: Mother of all PARs (MOAP), Application Focus, Application Coordination</w:t>
      </w:r>
    </w:p>
    <w:p>
      <w:pPr>
        <w:pStyle w:val="style1"/>
      </w:pPr>
      <w:r>
        <w:rPr/>
        <w:t>Elections</w:t>
      </w:r>
    </w:p>
    <w:p>
      <w:pPr>
        <w:pStyle w:val="style0"/>
      </w:pPr>
      <w:r>
        <w:rPr/>
        <w:t>Candidates shall announce their intention to run for Chair or Vice Chair by 24 hours in advance of the start of the plenary session in which the election will be held.</w:t>
      </w:r>
    </w:p>
    <w:p>
      <w:pPr>
        <w:pStyle w:val="style0"/>
      </w:pPr>
      <w:r>
        <w:rPr/>
        <w:t>The election of officers will be held on the Tuesday meeting slot of the IEEE 802.24 meeting plenary session during which the election is to be held.</w:t>
      </w:r>
    </w:p>
    <w:p>
      <w:pPr>
        <w:pStyle w:val="style0"/>
      </w:pPr>
      <w:r>
        <w:rPr/>
        <w:t>If there is more than one candidate for an office, each candidate will have 5 minutes to speak in favor of their candidacy.  IEEE 802.24 voting members will have a chance to ask the candidates questions. After the speeches, if any, any, the election will be held by secret ballot.</w:t>
      </w:r>
    </w:p>
    <w:p>
      <w:pPr>
        <w:pStyle w:val="style25"/>
        <w:numPr>
          <w:ilvl w:val="0"/>
          <w:numId w:val="1"/>
        </w:numPr>
      </w:pPr>
      <w:r>
        <w:rPr/>
        <w:t>In order to be elected, any candidate shall receive a simple majority (over 50%) of the votes cast in the election for the respective position.</w:t>
      </w:r>
    </w:p>
    <w:p>
      <w:pPr>
        <w:pStyle w:val="style25"/>
        <w:numPr>
          <w:ilvl w:val="0"/>
          <w:numId w:val="1"/>
        </w:numPr>
      </w:pPr>
      <w:r>
        <w:rPr/>
        <w:t>Should no candidate receive a majority in the election, a runoff election shall be held. The process shall be similar to the initial election, except that:</w:t>
      </w:r>
    </w:p>
    <w:p>
      <w:pPr>
        <w:pStyle w:val="style25"/>
        <w:numPr>
          <w:ilvl w:val="1"/>
          <w:numId w:val="1"/>
        </w:numPr>
      </w:pPr>
      <w:r>
        <w:rPr/>
        <w:t>New nominations shall not be permitted.</w:t>
      </w:r>
    </w:p>
    <w:p>
      <w:pPr>
        <w:pStyle w:val="style25"/>
        <w:numPr>
          <w:ilvl w:val="1"/>
          <w:numId w:val="1"/>
        </w:numPr>
      </w:pPr>
      <w:r>
        <w:rPr/>
        <w:t>In the runoff election, the nominated candidate having received the fewest votes in the previous election round shall not be an eligible candidate (in case a tie prevents this possibility, all the nominated candidates’ shall remain eligible).</w:t>
      </w:r>
    </w:p>
    <w:p>
      <w:pPr>
        <w:pStyle w:val="style25"/>
        <w:numPr>
          <w:ilvl w:val="1"/>
          <w:numId w:val="1"/>
        </w:numPr>
      </w:pPr>
      <w:r>
        <w:rPr/>
        <w:t>If the process is inconclusive, another runoff election shall be held, as described above.</w:t>
      </w:r>
    </w:p>
    <w:p>
      <w:pPr>
        <w:pStyle w:val="style0"/>
      </w:pPr>
      <w:r>
        <w:rPr/>
      </w:r>
    </w:p>
    <w:p>
      <w:pPr>
        <w:pStyle w:val="style1"/>
      </w:pPr>
      <w:r>
        <w:rPr/>
        <w:t>Forming a New Task Group</w:t>
      </w:r>
    </w:p>
    <w:p>
      <w:pPr>
        <w:pStyle w:val="style25"/>
        <w:numPr>
          <w:ilvl w:val="0"/>
          <w:numId w:val="2"/>
        </w:numPr>
      </w:pPr>
      <w:r>
        <w:rPr/>
        <w:t>Schedule a presentation (or tutorial) that describes the new area. It should be 1) application focused 2) supported by multiple members, and multiple companies.</w:t>
      </w:r>
    </w:p>
    <w:p>
      <w:pPr>
        <w:pStyle w:val="style25"/>
        <w:numPr>
          <w:ilvl w:val="0"/>
          <w:numId w:val="2"/>
        </w:numPr>
      </w:pPr>
      <w:r>
        <w:rPr/>
        <w:t xml:space="preserve">Write a scope, purpose, and a shortened CSD. Submit the document following the rules for a PAR for a new project. </w:t>
      </w:r>
    </w:p>
    <w:p>
      <w:pPr>
        <w:pStyle w:val="style25"/>
        <w:numPr>
          <w:ilvl w:val="0"/>
          <w:numId w:val="2"/>
        </w:numPr>
      </w:pPr>
      <w:r>
        <w:rPr/>
        <w:t xml:space="preserve">Get a motion in a minimum of three IEEE 802 working groups (not TAGs) that expresses support for adding this area, and that they will be active participants. The WGs should identify areas of interest. </w:t>
      </w:r>
    </w:p>
    <w:p>
      <w:pPr>
        <w:pStyle w:val="style25"/>
        <w:numPr>
          <w:ilvl w:val="0"/>
          <w:numId w:val="2"/>
        </w:numPr>
      </w:pPr>
      <w:r>
        <w:rPr/>
        <w:t>Designate volunteers for the following positions: TG Chair, TG Vice Chair, TG Secretary, TG Editor</w:t>
      </w:r>
    </w:p>
    <w:p>
      <w:pPr>
        <w:pStyle w:val="style25"/>
        <w:numPr>
          <w:ilvl w:val="0"/>
          <w:numId w:val="2"/>
        </w:numPr>
      </w:pPr>
      <w:r>
        <w:rPr/>
        <w:t xml:space="preserve">The EC approves adding the area to 802.24. </w:t>
      </w:r>
    </w:p>
    <w:p>
      <w:pPr>
        <w:pStyle w:val="style1"/>
      </w:pPr>
      <w:r>
        <w:rPr/>
        <w:t>Scope document for forming a new Task Group</w:t>
      </w:r>
    </w:p>
    <w:p>
      <w:pPr>
        <w:pStyle w:val="style0"/>
      </w:pPr>
      <w:r>
        <w:rPr/>
        <w:t>Prior to forming a new Task Group, TG scope document shall be created that addresses the following areas:</w:t>
      </w:r>
    </w:p>
    <w:p>
      <w:pPr>
        <w:pStyle w:val="style25"/>
        <w:numPr>
          <w:ilvl w:val="0"/>
          <w:numId w:val="3"/>
        </w:numPr>
      </w:pPr>
      <w:r>
        <w:rPr/>
        <w:t>Scope – Provide a clear description of the application.</w:t>
      </w:r>
    </w:p>
    <w:p>
      <w:pPr>
        <w:pStyle w:val="style25"/>
        <w:numPr>
          <w:ilvl w:val="0"/>
          <w:numId w:val="3"/>
        </w:numPr>
      </w:pPr>
      <w:r>
        <w:rPr/>
        <w:t>Stakeholders – Who is the target audience?</w:t>
      </w:r>
    </w:p>
    <w:p>
      <w:pPr>
        <w:pStyle w:val="style25"/>
        <w:numPr>
          <w:ilvl w:val="0"/>
          <w:numId w:val="3"/>
        </w:numPr>
      </w:pPr>
      <w:r>
        <w:rPr/>
        <w:t>Similar groups – What are the liaison opportunities?</w:t>
      </w:r>
    </w:p>
    <w:p>
      <w:pPr>
        <w:pStyle w:val="style25"/>
        <w:numPr>
          <w:ilvl w:val="0"/>
          <w:numId w:val="3"/>
        </w:numPr>
      </w:pPr>
      <w:r>
        <w:rPr/>
        <w:t>Broad market applicability – Will there be numerous users of the information?  Does the application have broad applicability?  Is it supported by multiple vendors?</w:t>
      </w:r>
    </w:p>
    <w:p>
      <w:pPr>
        <w:pStyle w:val="style25"/>
        <w:numPr>
          <w:ilvl w:val="0"/>
          <w:numId w:val="3"/>
        </w:numPr>
      </w:pPr>
      <w:r>
        <w:rPr/>
        <w:t>Compatibility – Will this improve compatibility among 802 standards?</w:t>
      </w:r>
    </w:p>
    <w:p>
      <w:pPr>
        <w:pStyle w:val="style25"/>
        <w:numPr>
          <w:ilvl w:val="0"/>
          <w:numId w:val="3"/>
        </w:numPr>
      </w:pPr>
      <w:r>
        <w:rPr/>
        <w:t>Distinct identity – Is this area something already being addressed in 802?  Does it require cross WG support?</w:t>
      </w:r>
    </w:p>
    <w:p>
      <w:pPr>
        <w:pStyle w:val="style25"/>
        <w:numPr>
          <w:ilvl w:val="0"/>
          <w:numId w:val="3"/>
        </w:numPr>
      </w:pPr>
      <w:r>
        <w:rPr/>
        <w:t>Feasibility – The proposed work will serve the identified users.  Initial work items have already been identified.</w:t>
      </w:r>
    </w:p>
    <w:p>
      <w:pPr>
        <w:pStyle w:val="style1"/>
      </w:pPr>
      <w:r>
        <w:rPr/>
        <w:t>Sub Group Chairs and Vice Chairs</w:t>
      </w:r>
    </w:p>
    <w:p>
      <w:pPr>
        <w:pStyle w:val="style0"/>
      </w:pPr>
      <w:r>
        <w:rPr/>
        <w:t>The selection of a TG Chair by the TAG Chair shall be confirmed by a simple majority vote of the TAG.  The TG Chair may appoint a TG Vice Chair and should appoint a TG Secretary.  The TG Chair may act as the TG Secretary if necessary.</w:t>
      </w:r>
    </w:p>
    <w:p>
      <w:pPr>
        <w:pStyle w:val="style0"/>
      </w:pPr>
      <w:r>
        <w:rPr/>
        <w:t>The TG Chair is responsible for preparing and posting an agenda 2 weeks in advance of a TG meeting.  The TG Chair runs the TG meeting.  The TG Chair may schedule teleconferences to conduct work of the TG.</w:t>
      </w:r>
    </w:p>
    <w:p>
      <w:pPr>
        <w:pStyle w:val="style0"/>
      </w:pPr>
      <w:r>
        <w:rPr/>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 w:name="Symbol">
    <w:charset w:val="02"/>
    <w:family w:val="auto"/>
    <w:pitch w:val="default"/>
  </w:font>
  <w:font w:name="OpenSymbol">
    <w:altName w:val="Arial Unicode MS"/>
    <w:charset w:val="80"/>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DejaVu Sans" w:hAnsi="Calibri"/>
      <w:color w:val="auto"/>
      <w:sz w:val="22"/>
      <w:szCs w:val="22"/>
      <w:lang w:bidi="ar-SA" w:eastAsia="en-US" w:val="en-US"/>
    </w:rPr>
  </w:style>
  <w:style w:styleId="style1" w:type="paragraph">
    <w:name w:val="Heading 1"/>
    <w:basedOn w:val="style0"/>
    <w:next w:val="style21"/>
    <w:pPr>
      <w:keepNext/>
      <w:keepLines/>
      <w:spacing w:after="0" w:before="480"/>
      <w:contextualSpacing w:val="false"/>
    </w:pPr>
    <w:rPr>
      <w:rFonts w:ascii="Cambria" w:cs="" w:hAnsi="Cambria"/>
      <w:b/>
      <w:bCs/>
      <w:color w:val="365F91"/>
      <w:sz w:val="28"/>
      <w:szCs w:val="28"/>
    </w:rPr>
  </w:style>
  <w:style w:styleId="style15" w:type="character">
    <w:name w:val="Default Paragraph Font"/>
    <w:next w:val="style15"/>
    <w:rPr/>
  </w:style>
  <w:style w:styleId="style16" w:type="character">
    <w:name w:val="Heading 1 Char"/>
    <w:basedOn w:val="style15"/>
    <w:next w:val="style16"/>
    <w:rPr>
      <w:rFonts w:ascii="Cambria" w:cs="" w:hAnsi="Cambria"/>
      <w:b/>
      <w:bCs/>
      <w:color w:val="365F91"/>
      <w:sz w:val="28"/>
      <w:szCs w:val="28"/>
    </w:rPr>
  </w:style>
  <w:style w:styleId="style17" w:type="character">
    <w:name w:val="Title Char"/>
    <w:basedOn w:val="style15"/>
    <w:next w:val="style17"/>
    <w:rPr>
      <w:rFonts w:ascii="Cambria" w:cs="" w:hAnsi="Cambria"/>
      <w:color w:val="17365D"/>
      <w:spacing w:val="5"/>
      <w:sz w:val="52"/>
      <w:szCs w:val="52"/>
    </w:rPr>
  </w:style>
  <w:style w:styleId="style18" w:type="character">
    <w:name w:val="ListLabel 1"/>
    <w:next w:val="style18"/>
    <w:rPr>
      <w:rFonts w:cs="Courier New"/>
    </w:rPr>
  </w:style>
  <w:style w:styleId="style19" w:type="character">
    <w:name w:val="Bullets"/>
    <w:next w:val="style19"/>
    <w:rPr>
      <w:rFonts w:ascii="OpenSymbol" w:cs="OpenSymbol" w:eastAsia="OpenSymbol" w:hAnsi="OpenSymbol"/>
    </w:rPr>
  </w:style>
  <w:style w:styleId="style20" w:type="paragraph">
    <w:name w:val="Heading"/>
    <w:basedOn w:val="style0"/>
    <w:next w:val="style21"/>
    <w:pPr>
      <w:keepNext/>
      <w:spacing w:after="120" w:before="240"/>
      <w:contextualSpacing w:val="false"/>
    </w:pPr>
    <w:rPr>
      <w:rFonts w:ascii="Arial" w:cs="Lohit Hindi" w:eastAsia="DejaVu Sans"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contextualSpacing w:val="false"/>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List Paragraph"/>
    <w:basedOn w:val="style0"/>
    <w:next w:val="style25"/>
    <w:pPr>
      <w:spacing w:after="200" w:before="0"/>
      <w:ind w:hanging="0" w:left="720" w:right="0"/>
      <w:contextualSpacing/>
    </w:pPr>
    <w:rPr/>
  </w:style>
  <w:style w:styleId="style26" w:type="paragraph">
    <w:name w:val="Title"/>
    <w:basedOn w:val="style0"/>
    <w:next w:val="style27"/>
    <w:pPr>
      <w:pBdr>
        <w:bottom w:color="4F81BD" w:space="0" w:sz="8" w:val="single"/>
      </w:pBdr>
      <w:spacing w:after="300" w:before="0" w:line="100" w:lineRule="atLeast"/>
      <w:contextualSpacing/>
      <w:jc w:val="center"/>
    </w:pPr>
    <w:rPr>
      <w:rFonts w:ascii="Cambria" w:cs="" w:hAnsi="Cambria"/>
      <w:b/>
      <w:bCs/>
      <w:color w:val="17365D"/>
      <w:spacing w:val="5"/>
      <w:sz w:val="52"/>
      <w:szCs w:val="52"/>
    </w:rPr>
  </w:style>
  <w:style w:styleId="style27" w:type="paragraph">
    <w:name w:val="Subtitle"/>
    <w:basedOn w:val="style20"/>
    <w:next w:val="style21"/>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2014-03-17T08:29:00.00Z</dcterms:created>
  <dc:creator>Tim Godfrey</dc:creator>
  <cp:lastModifiedBy>James P. K. Gilb</cp:lastModifiedBy>
  <dcterms:modified xsi:type="dcterms:W3CDTF">2014-03-18T09:15:00.00Z</dcterms:modified>
  <cp:revision>10</cp:revision>
</cp:coreProperties>
</file>