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7AB" w:rsidRDefault="002800A4">
      <w:pPr>
        <w:jc w:val="center"/>
        <w:rPr>
          <w:b/>
          <w:sz w:val="28"/>
        </w:rPr>
      </w:pPr>
      <w:r>
        <w:rPr>
          <w:b/>
          <w:sz w:val="28"/>
        </w:rPr>
        <w:t>IEEE P802.</w:t>
      </w:r>
      <w:r w:rsidR="00A240F0">
        <w:rPr>
          <w:b/>
          <w:sz w:val="28"/>
        </w:rPr>
        <w:t>24</w:t>
      </w:r>
    </w:p>
    <w:p w:rsidR="00A417AB" w:rsidRDefault="00A240F0">
      <w:pPr>
        <w:jc w:val="center"/>
        <w:rPr>
          <w:b/>
          <w:sz w:val="28"/>
        </w:rPr>
      </w:pPr>
      <w:r>
        <w:rPr>
          <w:b/>
          <w:sz w:val="28"/>
        </w:rPr>
        <w:t>Smart Grid</w:t>
      </w:r>
      <w:r w:rsidR="0042089F">
        <w:rPr>
          <w:b/>
          <w:sz w:val="28"/>
        </w:rPr>
        <w:t xml:space="preserve"> TAG</w:t>
      </w:r>
    </w:p>
    <w:p w:rsidR="00A417AB" w:rsidRDefault="00A417AB">
      <w:pPr>
        <w:jc w:val="center"/>
        <w:rPr>
          <w:b/>
          <w:sz w:val="28"/>
        </w:rPr>
      </w:pPr>
    </w:p>
    <w:tbl>
      <w:tblPr>
        <w:tblW w:w="0" w:type="auto"/>
        <w:tblInd w:w="108" w:type="dxa"/>
        <w:tblLayout w:type="fixed"/>
        <w:tblLook w:val="0000"/>
      </w:tblPr>
      <w:tblGrid>
        <w:gridCol w:w="1260"/>
        <w:gridCol w:w="4050"/>
        <w:gridCol w:w="4140"/>
      </w:tblGrid>
      <w:tr w:rsidR="00A417AB">
        <w:tc>
          <w:tcPr>
            <w:tcW w:w="1260" w:type="dxa"/>
            <w:tcBorders>
              <w:top w:val="single" w:sz="6" w:space="0" w:color="auto"/>
            </w:tcBorders>
          </w:tcPr>
          <w:p w:rsidR="00A417AB" w:rsidRDefault="002800A4">
            <w:pPr>
              <w:pStyle w:val="covertext"/>
            </w:pPr>
            <w:r>
              <w:t>Project</w:t>
            </w:r>
          </w:p>
        </w:tc>
        <w:tc>
          <w:tcPr>
            <w:tcW w:w="8190" w:type="dxa"/>
            <w:gridSpan w:val="2"/>
            <w:tcBorders>
              <w:top w:val="single" w:sz="6" w:space="0" w:color="auto"/>
            </w:tcBorders>
          </w:tcPr>
          <w:p w:rsidR="00A417AB" w:rsidRDefault="002800A4" w:rsidP="0042089F">
            <w:pPr>
              <w:pStyle w:val="covertext"/>
            </w:pPr>
            <w:r>
              <w:t>IEEE P802.</w:t>
            </w:r>
            <w:r w:rsidR="0042089F">
              <w:t>24</w:t>
            </w:r>
            <w:r>
              <w:t xml:space="preserve"> </w:t>
            </w:r>
            <w:r w:rsidR="0042089F">
              <w:t>Smart Grid Technical Advisory Group</w:t>
            </w:r>
          </w:p>
        </w:tc>
      </w:tr>
      <w:tr w:rsidR="00A417AB">
        <w:tc>
          <w:tcPr>
            <w:tcW w:w="1260" w:type="dxa"/>
            <w:tcBorders>
              <w:top w:val="single" w:sz="6" w:space="0" w:color="auto"/>
            </w:tcBorders>
          </w:tcPr>
          <w:p w:rsidR="00A417AB" w:rsidRDefault="002800A4">
            <w:pPr>
              <w:pStyle w:val="covertext"/>
            </w:pPr>
            <w:r>
              <w:t>Title</w:t>
            </w:r>
          </w:p>
        </w:tc>
        <w:tc>
          <w:tcPr>
            <w:tcW w:w="8190" w:type="dxa"/>
            <w:gridSpan w:val="2"/>
            <w:tcBorders>
              <w:top w:val="single" w:sz="6" w:space="0" w:color="auto"/>
            </w:tcBorders>
          </w:tcPr>
          <w:p w:rsidR="00A417AB" w:rsidRDefault="00FB4CD9" w:rsidP="0084733D">
            <w:pPr>
              <w:pStyle w:val="covertext"/>
            </w:pPr>
            <w:r>
              <w:t xml:space="preserve">Smart Grid Applications </w:t>
            </w:r>
            <w:r w:rsidR="0084733D">
              <w:t xml:space="preserve">References </w:t>
            </w:r>
            <w:r>
              <w:t xml:space="preserve">from NIST </w:t>
            </w:r>
          </w:p>
        </w:tc>
      </w:tr>
      <w:tr w:rsidR="00A417AB">
        <w:tc>
          <w:tcPr>
            <w:tcW w:w="1260" w:type="dxa"/>
            <w:tcBorders>
              <w:top w:val="single" w:sz="6" w:space="0" w:color="auto"/>
            </w:tcBorders>
          </w:tcPr>
          <w:p w:rsidR="00A417AB" w:rsidRDefault="002800A4">
            <w:pPr>
              <w:pStyle w:val="covertext"/>
            </w:pPr>
            <w:r>
              <w:t>Date Submitted</w:t>
            </w:r>
          </w:p>
        </w:tc>
        <w:tc>
          <w:tcPr>
            <w:tcW w:w="8190" w:type="dxa"/>
            <w:gridSpan w:val="2"/>
            <w:tcBorders>
              <w:top w:val="single" w:sz="6" w:space="0" w:color="auto"/>
            </w:tcBorders>
          </w:tcPr>
          <w:p w:rsidR="00A417AB" w:rsidRDefault="00FB4CD9">
            <w:pPr>
              <w:pStyle w:val="covertext"/>
            </w:pPr>
            <w:r>
              <w:t xml:space="preserve">16 Sept </w:t>
            </w:r>
            <w:r w:rsidR="008E1D10">
              <w:t>2013</w:t>
            </w:r>
          </w:p>
        </w:tc>
      </w:tr>
      <w:tr w:rsidR="00A417AB">
        <w:tc>
          <w:tcPr>
            <w:tcW w:w="1260" w:type="dxa"/>
            <w:tcBorders>
              <w:top w:val="single" w:sz="4" w:space="0" w:color="auto"/>
              <w:bottom w:val="single" w:sz="4" w:space="0" w:color="auto"/>
            </w:tcBorders>
          </w:tcPr>
          <w:p w:rsidR="00A417AB" w:rsidRDefault="002800A4">
            <w:pPr>
              <w:pStyle w:val="covertext"/>
            </w:pPr>
            <w:r>
              <w:t>Source</w:t>
            </w:r>
          </w:p>
        </w:tc>
        <w:tc>
          <w:tcPr>
            <w:tcW w:w="4050" w:type="dxa"/>
            <w:tcBorders>
              <w:top w:val="single" w:sz="4" w:space="0" w:color="auto"/>
              <w:bottom w:val="single" w:sz="4" w:space="0" w:color="auto"/>
            </w:tcBorders>
          </w:tcPr>
          <w:p w:rsidR="00A417AB" w:rsidRDefault="002800A4" w:rsidP="00FB4CD9">
            <w:pPr>
              <w:pStyle w:val="covertext"/>
              <w:spacing w:before="0" w:after="0"/>
            </w:pPr>
            <w:r>
              <w:t>[</w:t>
            </w:r>
            <w:r w:rsidR="00FB4CD9">
              <w:t>Tim Godfrey</w:t>
            </w:r>
            <w:r>
              <w:t>]</w:t>
            </w:r>
            <w:r>
              <w:br/>
              <w:t>[</w:t>
            </w:r>
            <w:r w:rsidR="00FB4CD9">
              <w:t>EPRI</w:t>
            </w:r>
            <w:r>
              <w:t>]</w:t>
            </w:r>
            <w:r>
              <w:br/>
            </w:r>
          </w:p>
        </w:tc>
        <w:tc>
          <w:tcPr>
            <w:tcW w:w="4140" w:type="dxa"/>
            <w:tcBorders>
              <w:top w:val="single" w:sz="4" w:space="0" w:color="auto"/>
              <w:bottom w:val="single" w:sz="4" w:space="0" w:color="auto"/>
            </w:tcBorders>
          </w:tcPr>
          <w:p w:rsidR="00FB4CD9" w:rsidRDefault="00FB4CD9" w:rsidP="00FB4CD9">
            <w:pPr>
              <w:pStyle w:val="covertext"/>
              <w:tabs>
                <w:tab w:val="left" w:pos="1152"/>
              </w:tabs>
              <w:spacing w:before="0" w:after="0"/>
            </w:pPr>
            <w:r>
              <w:rPr>
                <w:noProof/>
              </w:rPr>
              <w:drawing>
                <wp:anchor distT="0" distB="0" distL="114300" distR="114300" simplePos="0" relativeHeight="251658240" behindDoc="0" locked="0" layoutInCell="1" allowOverlap="1">
                  <wp:simplePos x="0" y="0"/>
                  <wp:positionH relativeFrom="column">
                    <wp:posOffset>626745</wp:posOffset>
                  </wp:positionH>
                  <wp:positionV relativeFrom="paragraph">
                    <wp:posOffset>23495</wp:posOffset>
                  </wp:positionV>
                  <wp:extent cx="1704975" cy="533400"/>
                  <wp:effectExtent l="1905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04975" cy="533400"/>
                          </a:xfrm>
                          <a:prstGeom prst="rect">
                            <a:avLst/>
                          </a:prstGeom>
                          <a:noFill/>
                          <a:ln w="9525">
                            <a:noFill/>
                            <a:miter lim="800000"/>
                            <a:headEnd/>
                            <a:tailEnd/>
                          </a:ln>
                        </pic:spPr>
                      </pic:pic>
                    </a:graphicData>
                  </a:graphic>
                </wp:anchor>
              </w:drawing>
            </w:r>
            <w:r w:rsidR="002800A4">
              <w:t>Voice:</w:t>
            </w:r>
            <w:r w:rsidR="002800A4">
              <w:tab/>
            </w:r>
            <w:r>
              <w:rPr>
                <w:noProof/>
                <w:color w:val="000000"/>
              </w:rPr>
              <w:t xml:space="preserve">        </w:t>
            </w:r>
            <w:r w:rsidR="002800A4">
              <w:br/>
              <w:t>E-mail:</w:t>
            </w:r>
          </w:p>
          <w:p w:rsidR="00A417AB" w:rsidRDefault="002800A4" w:rsidP="00FB4CD9">
            <w:pPr>
              <w:pStyle w:val="covertext"/>
              <w:tabs>
                <w:tab w:val="left" w:pos="1152"/>
              </w:tabs>
              <w:spacing w:before="0" w:after="0"/>
              <w:rPr>
                <w:sz w:val="18"/>
              </w:rPr>
            </w:pPr>
            <w:r>
              <w:tab/>
            </w:r>
          </w:p>
        </w:tc>
      </w:tr>
      <w:tr w:rsidR="00A417AB">
        <w:tc>
          <w:tcPr>
            <w:tcW w:w="1260" w:type="dxa"/>
            <w:tcBorders>
              <w:top w:val="single" w:sz="6" w:space="0" w:color="auto"/>
            </w:tcBorders>
          </w:tcPr>
          <w:p w:rsidR="00A417AB" w:rsidRDefault="002800A4">
            <w:pPr>
              <w:pStyle w:val="covertext"/>
            </w:pPr>
            <w:r>
              <w:t>Re:</w:t>
            </w:r>
          </w:p>
        </w:tc>
        <w:tc>
          <w:tcPr>
            <w:tcW w:w="8190" w:type="dxa"/>
            <w:gridSpan w:val="2"/>
            <w:tcBorders>
              <w:top w:val="single" w:sz="6" w:space="0" w:color="auto"/>
            </w:tcBorders>
          </w:tcPr>
          <w:p w:rsidR="00A417AB" w:rsidRDefault="008E1D10" w:rsidP="00FB4CD9">
            <w:pPr>
              <w:pStyle w:val="covertext"/>
            </w:pPr>
            <w:r>
              <w:t xml:space="preserve">TAG Meeting, </w:t>
            </w:r>
            <w:r w:rsidR="00FB4CD9">
              <w:t xml:space="preserve">Sept </w:t>
            </w:r>
            <w:r>
              <w:t>1</w:t>
            </w:r>
            <w:r w:rsidR="00FB4CD9">
              <w:t>6</w:t>
            </w:r>
            <w:r>
              <w:t xml:space="preserve"> – 1</w:t>
            </w:r>
            <w:r w:rsidR="00FB4CD9">
              <w:t>9,</w:t>
            </w:r>
            <w:r>
              <w:t xml:space="preserve"> 2013, </w:t>
            </w:r>
            <w:r w:rsidR="00FB4CD9">
              <w:t>Nanjing, China</w:t>
            </w:r>
          </w:p>
        </w:tc>
      </w:tr>
      <w:tr w:rsidR="00A417AB">
        <w:tc>
          <w:tcPr>
            <w:tcW w:w="1260" w:type="dxa"/>
            <w:tcBorders>
              <w:top w:val="single" w:sz="6" w:space="0" w:color="auto"/>
            </w:tcBorders>
          </w:tcPr>
          <w:p w:rsidR="00A417AB" w:rsidRDefault="002800A4">
            <w:pPr>
              <w:pStyle w:val="covertext"/>
            </w:pPr>
            <w:r>
              <w:t>Abstract</w:t>
            </w:r>
          </w:p>
        </w:tc>
        <w:tc>
          <w:tcPr>
            <w:tcW w:w="8190" w:type="dxa"/>
            <w:gridSpan w:val="2"/>
            <w:tcBorders>
              <w:top w:val="single" w:sz="6" w:space="0" w:color="auto"/>
            </w:tcBorders>
          </w:tcPr>
          <w:p w:rsidR="00A417AB" w:rsidRDefault="00FB4CD9">
            <w:pPr>
              <w:pStyle w:val="covertext"/>
            </w:pPr>
            <w:r>
              <w:t>Excerpts and references to NIST documents</w:t>
            </w:r>
            <w:r w:rsidR="00125955">
              <w:t xml:space="preserve"> regarding smart grid applications and use cases</w:t>
            </w:r>
          </w:p>
          <w:p w:rsidR="00A417AB" w:rsidRDefault="00A417AB">
            <w:pPr>
              <w:pStyle w:val="covertext"/>
            </w:pPr>
          </w:p>
        </w:tc>
      </w:tr>
      <w:tr w:rsidR="00A417AB">
        <w:tc>
          <w:tcPr>
            <w:tcW w:w="1260" w:type="dxa"/>
            <w:tcBorders>
              <w:top w:val="single" w:sz="6" w:space="0" w:color="auto"/>
            </w:tcBorders>
          </w:tcPr>
          <w:p w:rsidR="00A417AB" w:rsidRDefault="002800A4">
            <w:pPr>
              <w:pStyle w:val="covertext"/>
            </w:pPr>
            <w:r>
              <w:t>Purpose</w:t>
            </w:r>
          </w:p>
        </w:tc>
        <w:tc>
          <w:tcPr>
            <w:tcW w:w="8190" w:type="dxa"/>
            <w:gridSpan w:val="2"/>
            <w:tcBorders>
              <w:top w:val="single" w:sz="6" w:space="0" w:color="auto"/>
            </w:tcBorders>
          </w:tcPr>
          <w:p w:rsidR="00A417AB" w:rsidRDefault="00FB4CD9" w:rsidP="009314F9">
            <w:pPr>
              <w:pStyle w:val="covertext"/>
            </w:pPr>
            <w:r>
              <w:t>Contribution for 802.24 White Paper</w:t>
            </w:r>
          </w:p>
        </w:tc>
      </w:tr>
      <w:tr w:rsidR="00A417AB">
        <w:tc>
          <w:tcPr>
            <w:tcW w:w="1260" w:type="dxa"/>
            <w:tcBorders>
              <w:top w:val="single" w:sz="6" w:space="0" w:color="auto"/>
              <w:bottom w:val="single" w:sz="6" w:space="0" w:color="auto"/>
            </w:tcBorders>
          </w:tcPr>
          <w:p w:rsidR="00A417AB" w:rsidRDefault="002800A4">
            <w:pPr>
              <w:pStyle w:val="covertext"/>
            </w:pPr>
            <w:r>
              <w:t>Notice</w:t>
            </w:r>
          </w:p>
        </w:tc>
        <w:tc>
          <w:tcPr>
            <w:tcW w:w="8190" w:type="dxa"/>
            <w:gridSpan w:val="2"/>
            <w:tcBorders>
              <w:top w:val="single" w:sz="6" w:space="0" w:color="auto"/>
              <w:bottom w:val="single" w:sz="6" w:space="0" w:color="auto"/>
            </w:tcBorders>
          </w:tcPr>
          <w:p w:rsidR="00A417AB" w:rsidRDefault="002800A4" w:rsidP="0042089F">
            <w:pPr>
              <w:pStyle w:val="covertext"/>
            </w:pPr>
            <w:r>
              <w:t>This document has been prepared to assist the IEEE P802.</w:t>
            </w:r>
            <w:r w:rsidR="0042089F">
              <w:t>24</w:t>
            </w:r>
            <w: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417AB">
        <w:tc>
          <w:tcPr>
            <w:tcW w:w="1260" w:type="dxa"/>
            <w:tcBorders>
              <w:top w:val="single" w:sz="6" w:space="0" w:color="auto"/>
              <w:bottom w:val="single" w:sz="6" w:space="0" w:color="auto"/>
            </w:tcBorders>
          </w:tcPr>
          <w:p w:rsidR="00A417AB" w:rsidRDefault="002800A4">
            <w:pPr>
              <w:pStyle w:val="covertext"/>
            </w:pPr>
            <w:r>
              <w:t>Release</w:t>
            </w:r>
          </w:p>
        </w:tc>
        <w:tc>
          <w:tcPr>
            <w:tcW w:w="8190" w:type="dxa"/>
            <w:gridSpan w:val="2"/>
            <w:tcBorders>
              <w:top w:val="single" w:sz="6" w:space="0" w:color="auto"/>
              <w:bottom w:val="single" w:sz="6" w:space="0" w:color="auto"/>
            </w:tcBorders>
          </w:tcPr>
          <w:p w:rsidR="00A417AB" w:rsidRDefault="002800A4">
            <w:pPr>
              <w:pStyle w:val="covertext"/>
            </w:pPr>
            <w:r>
              <w:t>The contributor acknowledges and accepts that this contribution becomes the property of IEEE and may be ma</w:t>
            </w:r>
            <w:r w:rsidR="0042089F">
              <w:t>de publicly available by P802.2</w:t>
            </w:r>
            <w:r w:rsidR="001773F6">
              <w:t>4</w:t>
            </w:r>
            <w:r>
              <w:t>.</w:t>
            </w:r>
          </w:p>
        </w:tc>
      </w:tr>
    </w:tbl>
    <w:p w:rsidR="00C37938" w:rsidRDefault="002800A4" w:rsidP="00BD2AD6">
      <w:bookmarkStart w:id="0" w:name="_GoBack"/>
      <w:bookmarkEnd w:id="0"/>
      <w:r>
        <w:rPr>
          <w:b/>
          <w:sz w:val="28"/>
        </w:rPr>
        <w:br w:type="page"/>
      </w:r>
      <w:r w:rsidR="008E1D10">
        <w:lastRenderedPageBreak/>
        <w:t xml:space="preserve"> </w:t>
      </w:r>
    </w:p>
    <w:p w:rsidR="00BD2AD6" w:rsidRDefault="00BD2AD6" w:rsidP="00BD2AD6">
      <w:pPr>
        <w:pStyle w:val="Heading3"/>
      </w:pPr>
      <w:r>
        <w:t>Introduction</w:t>
      </w:r>
    </w:p>
    <w:p w:rsidR="00BD2AD6" w:rsidRDefault="00BD2AD6" w:rsidP="00C37938">
      <w:pPr>
        <w:pStyle w:val="NoSpacing"/>
      </w:pPr>
    </w:p>
    <w:p w:rsidR="00C37938" w:rsidRDefault="00BD2AD6" w:rsidP="00C37938">
      <w:pPr>
        <w:pStyle w:val="NoSpacing"/>
      </w:pPr>
      <w:r>
        <w:t>The 802.24 TAG is developing a white paper on the applicability of IEEE 802 standards for the Smart Grid. A comprehensive list of smart grid use cases and applications is needed to provide a framework for the white paper.  NIST documents have created these lists in their documents. This contribution provides a reference to the lists in NIST Documents.</w:t>
      </w:r>
    </w:p>
    <w:p w:rsidR="00BD2AD6" w:rsidRDefault="00BD2AD6" w:rsidP="00C37938">
      <w:pPr>
        <w:pStyle w:val="NoSpacing"/>
      </w:pPr>
    </w:p>
    <w:p w:rsidR="00BD2AD6" w:rsidRDefault="00BD2AD6" w:rsidP="00BD2AD6">
      <w:pPr>
        <w:pStyle w:val="Heading3"/>
      </w:pPr>
      <w:r>
        <w:t>Document 1</w:t>
      </w:r>
    </w:p>
    <w:p w:rsidR="00BD2AD6" w:rsidRDefault="00BD2AD6" w:rsidP="00C37938">
      <w:pPr>
        <w:pStyle w:val="NoSpacing"/>
      </w:pPr>
      <w:r w:rsidRPr="00BD2AD6">
        <w:rPr>
          <w:b/>
        </w:rPr>
        <w:t>Draft NISTIR 7761 V2</w:t>
      </w:r>
      <w:r>
        <w:t>, available as “</w:t>
      </w:r>
      <w:hyperlink r:id="rId9" w:history="1">
        <w:r w:rsidRPr="00BD2AD6">
          <w:rPr>
            <w:rStyle w:val="Hyperlink"/>
          </w:rPr>
          <w:t>24-13-0028-00-0000-draft-release-2-of-nistir-7761-2013-07-12-sgip-pap02wg-00009-pap2-v2.doc</w:t>
        </w:r>
      </w:hyperlink>
      <w:r>
        <w:t>”   (Draft Version, July 2013)</w:t>
      </w:r>
    </w:p>
    <w:p w:rsidR="00BD2AD6" w:rsidRDefault="00BD2AD6" w:rsidP="00C37938">
      <w:pPr>
        <w:pStyle w:val="NoSpacing"/>
      </w:pPr>
    </w:p>
    <w:p w:rsidR="00BD2AD6" w:rsidRDefault="00BD2AD6" w:rsidP="00C37938">
      <w:pPr>
        <w:pStyle w:val="NoSpacing"/>
      </w:pPr>
      <w:r>
        <w:t xml:space="preserve">The list of use cases developed by the </w:t>
      </w:r>
      <w:proofErr w:type="spellStart"/>
      <w:r>
        <w:t>OpenSG</w:t>
      </w:r>
      <w:proofErr w:type="spellEnd"/>
      <w:r>
        <w:t xml:space="preserve"> Network Task Force is listed in a compact form in Table 2, on page 27:</w:t>
      </w:r>
    </w:p>
    <w:p w:rsidR="00BD2AD6" w:rsidRDefault="00BD2AD6" w:rsidP="00C37938">
      <w:pPr>
        <w:pStyle w:val="NoSpacing"/>
      </w:pPr>
    </w:p>
    <w:tbl>
      <w:tblPr>
        <w:tblW w:w="6079" w:type="dxa"/>
        <w:jc w:val="center"/>
        <w:tblLook w:val="0000"/>
      </w:tblPr>
      <w:tblGrid>
        <w:gridCol w:w="6079"/>
      </w:tblGrid>
      <w:tr w:rsidR="00BD2AD6" w:rsidRPr="00240FF4" w:rsidTr="000F0E14">
        <w:trPr>
          <w:trHeight w:val="255"/>
          <w:jc w:val="center"/>
        </w:trPr>
        <w:tc>
          <w:tcPr>
            <w:tcW w:w="6079"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BD2AD6" w:rsidRPr="00D76E37" w:rsidRDefault="00BD2AD6" w:rsidP="000F0E14">
            <w:pPr>
              <w:rPr>
                <w:b/>
              </w:rPr>
            </w:pPr>
            <w:r w:rsidRPr="00D76E37">
              <w:rPr>
                <w:b/>
              </w:rPr>
              <w:t xml:space="preserve">Smart </w:t>
            </w:r>
            <w:r>
              <w:rPr>
                <w:b/>
              </w:rPr>
              <w:t>g</w:t>
            </w:r>
            <w:r w:rsidRPr="00D76E37">
              <w:rPr>
                <w:b/>
              </w:rPr>
              <w:t xml:space="preserve">rid </w:t>
            </w:r>
            <w:r>
              <w:rPr>
                <w:b/>
              </w:rPr>
              <w:t>u</w:t>
            </w:r>
            <w:r w:rsidRPr="00D76E37">
              <w:rPr>
                <w:b/>
              </w:rPr>
              <w:t xml:space="preserve">se </w:t>
            </w:r>
            <w:r>
              <w:rPr>
                <w:b/>
              </w:rPr>
              <w:t>c</w:t>
            </w:r>
            <w:r w:rsidRPr="00D76E37">
              <w:rPr>
                <w:b/>
              </w:rPr>
              <w:t>ase</w:t>
            </w:r>
            <w:r>
              <w:rPr>
                <w:rStyle w:val="FootnoteReference"/>
                <w:b/>
              </w:rPr>
              <w:footnoteReference w:id="1"/>
            </w:r>
            <w:r>
              <w:rPr>
                <w:b/>
              </w:rPr>
              <w:t xml:space="preserve"> – based on release V5.1.xls</w:t>
            </w:r>
          </w:p>
        </w:tc>
      </w:tr>
      <w:tr w:rsidR="00BD2AD6" w:rsidRPr="00240FF4" w:rsidTr="000F0E14">
        <w:trPr>
          <w:trHeight w:val="255"/>
          <w:jc w:val="center"/>
        </w:trPr>
        <w:tc>
          <w:tcPr>
            <w:tcW w:w="6079" w:type="dxa"/>
            <w:tcBorders>
              <w:top w:val="single" w:sz="6" w:space="0" w:color="auto"/>
              <w:left w:val="single" w:sz="4" w:space="0" w:color="auto"/>
              <w:bottom w:val="single" w:sz="6" w:space="0" w:color="auto"/>
              <w:right w:val="single" w:sz="6" w:space="0" w:color="auto"/>
            </w:tcBorders>
            <w:shd w:val="clear" w:color="auto" w:fill="auto"/>
            <w:noWrap/>
            <w:vAlign w:val="bottom"/>
          </w:tcPr>
          <w:p w:rsidR="00BD2AD6" w:rsidRPr="00240FF4" w:rsidRDefault="00BD2AD6" w:rsidP="000F0E14">
            <w:r w:rsidRPr="00240FF4">
              <w:t>Customer Information / Messaging</w:t>
            </w:r>
          </w:p>
        </w:tc>
      </w:tr>
      <w:tr w:rsidR="00BD2AD6" w:rsidRPr="00240FF4" w:rsidTr="000F0E14">
        <w:trPr>
          <w:trHeight w:val="255"/>
          <w:jc w:val="center"/>
        </w:trPr>
        <w:tc>
          <w:tcPr>
            <w:tcW w:w="6079" w:type="dxa"/>
            <w:tcBorders>
              <w:top w:val="single" w:sz="6" w:space="0" w:color="auto"/>
              <w:left w:val="single" w:sz="4" w:space="0" w:color="auto"/>
              <w:bottom w:val="single" w:sz="6" w:space="0" w:color="auto"/>
              <w:right w:val="single" w:sz="6" w:space="0" w:color="auto"/>
            </w:tcBorders>
            <w:shd w:val="clear" w:color="auto" w:fill="auto"/>
            <w:noWrap/>
            <w:vAlign w:val="bottom"/>
          </w:tcPr>
          <w:p w:rsidR="00BD2AD6" w:rsidRPr="00240FF4" w:rsidRDefault="00BD2AD6" w:rsidP="000F0E14">
            <w:r w:rsidRPr="00240FF4">
              <w:t>Demand Response</w:t>
            </w:r>
            <w:r>
              <w:t xml:space="preserve"> – Direct Load Control (DR-DLC)</w:t>
            </w:r>
          </w:p>
        </w:tc>
      </w:tr>
      <w:tr w:rsidR="00BD2AD6" w:rsidRPr="00240FF4" w:rsidTr="000F0E14">
        <w:trPr>
          <w:trHeight w:val="255"/>
          <w:jc w:val="center"/>
        </w:trPr>
        <w:tc>
          <w:tcPr>
            <w:tcW w:w="6079" w:type="dxa"/>
            <w:tcBorders>
              <w:top w:val="single" w:sz="6" w:space="0" w:color="auto"/>
              <w:left w:val="single" w:sz="4" w:space="0" w:color="auto"/>
              <w:bottom w:val="single" w:sz="6" w:space="0" w:color="auto"/>
              <w:right w:val="single" w:sz="6" w:space="0" w:color="auto"/>
            </w:tcBorders>
            <w:shd w:val="clear" w:color="auto" w:fill="auto"/>
            <w:noWrap/>
            <w:vAlign w:val="bottom"/>
          </w:tcPr>
          <w:p w:rsidR="00BD2AD6" w:rsidRPr="00240FF4" w:rsidRDefault="00BD2AD6" w:rsidP="000F0E14">
            <w:r w:rsidRPr="00240FF4">
              <w:t>Distributed Storage</w:t>
            </w:r>
            <w:r>
              <w:t xml:space="preserve"> – Dispatch ; Island</w:t>
            </w:r>
          </w:p>
        </w:tc>
      </w:tr>
      <w:tr w:rsidR="00BD2AD6" w:rsidRPr="00240FF4" w:rsidTr="000F0E14">
        <w:trPr>
          <w:trHeight w:val="255"/>
          <w:jc w:val="center"/>
        </w:trPr>
        <w:tc>
          <w:tcPr>
            <w:tcW w:w="6079" w:type="dxa"/>
            <w:tcBorders>
              <w:top w:val="single" w:sz="6" w:space="0" w:color="auto"/>
              <w:left w:val="single" w:sz="4" w:space="0" w:color="auto"/>
              <w:bottom w:val="single" w:sz="6" w:space="0" w:color="auto"/>
              <w:right w:val="single" w:sz="6" w:space="0" w:color="auto"/>
            </w:tcBorders>
            <w:shd w:val="clear" w:color="auto" w:fill="auto"/>
            <w:noWrap/>
            <w:vAlign w:val="bottom"/>
          </w:tcPr>
          <w:p w:rsidR="00BD2AD6" w:rsidRPr="00240FF4" w:rsidRDefault="00BD2AD6" w:rsidP="000F0E14">
            <w:r w:rsidRPr="00240FF4">
              <w:rPr>
                <w:rFonts w:cs="Arial"/>
                <w:color w:val="000000"/>
              </w:rPr>
              <w:t>Distribution Systems Demand Response</w:t>
            </w:r>
            <w:r w:rsidRPr="00240FF4">
              <w:t xml:space="preserve"> </w:t>
            </w:r>
            <w:r>
              <w:t>(</w:t>
            </w:r>
            <w:r w:rsidRPr="00240FF4">
              <w:t>DSDR</w:t>
            </w:r>
            <w:r>
              <w:t>)</w:t>
            </w:r>
            <w:r w:rsidRPr="00240FF4">
              <w:t xml:space="preserve"> - Centralized Control</w:t>
            </w:r>
          </w:p>
        </w:tc>
      </w:tr>
      <w:tr w:rsidR="00BD2AD6" w:rsidRPr="00240FF4" w:rsidTr="000F0E14">
        <w:trPr>
          <w:trHeight w:val="255"/>
          <w:jc w:val="center"/>
        </w:trPr>
        <w:tc>
          <w:tcPr>
            <w:tcW w:w="6079" w:type="dxa"/>
            <w:tcBorders>
              <w:top w:val="single" w:sz="6" w:space="0" w:color="auto"/>
              <w:left w:val="single" w:sz="4" w:space="0" w:color="auto"/>
              <w:bottom w:val="single" w:sz="6" w:space="0" w:color="auto"/>
              <w:right w:val="single" w:sz="6" w:space="0" w:color="auto"/>
            </w:tcBorders>
            <w:shd w:val="clear" w:color="auto" w:fill="auto"/>
            <w:noWrap/>
            <w:vAlign w:val="bottom"/>
          </w:tcPr>
          <w:p w:rsidR="00BD2AD6" w:rsidRPr="00240FF4" w:rsidRDefault="00BD2AD6" w:rsidP="000F0E14">
            <w:r w:rsidRPr="00240FF4">
              <w:t>Fault Clear Isolation Reconfigure</w:t>
            </w:r>
            <w:r>
              <w:t xml:space="preserve"> (FCIR) – Distributed DAC – Substations; DMS; Regional Distributed DAC</w:t>
            </w:r>
          </w:p>
        </w:tc>
      </w:tr>
      <w:tr w:rsidR="00BD2AD6" w:rsidRPr="00240FF4" w:rsidTr="000F0E14">
        <w:trPr>
          <w:trHeight w:val="255"/>
          <w:jc w:val="center"/>
        </w:trPr>
        <w:tc>
          <w:tcPr>
            <w:tcW w:w="6079" w:type="dxa"/>
            <w:tcBorders>
              <w:top w:val="single" w:sz="6" w:space="0" w:color="auto"/>
              <w:left w:val="single" w:sz="4" w:space="0" w:color="auto"/>
              <w:bottom w:val="single" w:sz="6" w:space="0" w:color="auto"/>
              <w:right w:val="single" w:sz="6" w:space="0" w:color="auto"/>
            </w:tcBorders>
            <w:shd w:val="clear" w:color="auto" w:fill="auto"/>
            <w:noWrap/>
            <w:vAlign w:val="bottom"/>
          </w:tcPr>
          <w:p w:rsidR="00BD2AD6" w:rsidRPr="00240FF4" w:rsidRDefault="00BD2AD6" w:rsidP="000F0E14">
            <w:r>
              <w:t>Field Distribution Automation Maintenance / Support – Centralized Control</w:t>
            </w:r>
          </w:p>
        </w:tc>
      </w:tr>
      <w:tr w:rsidR="00BD2AD6" w:rsidRPr="00240FF4" w:rsidTr="000F0E14">
        <w:trPr>
          <w:trHeight w:val="255"/>
          <w:jc w:val="center"/>
        </w:trPr>
        <w:tc>
          <w:tcPr>
            <w:tcW w:w="6079" w:type="dxa"/>
            <w:tcBorders>
              <w:top w:val="single" w:sz="6" w:space="0" w:color="auto"/>
              <w:left w:val="single" w:sz="4" w:space="0" w:color="auto"/>
              <w:bottom w:val="single" w:sz="6" w:space="0" w:color="auto"/>
              <w:right w:val="single" w:sz="6" w:space="0" w:color="auto"/>
            </w:tcBorders>
            <w:shd w:val="clear" w:color="auto" w:fill="auto"/>
            <w:noWrap/>
            <w:vAlign w:val="bottom"/>
          </w:tcPr>
          <w:p w:rsidR="00BD2AD6" w:rsidRPr="00240FF4" w:rsidRDefault="00BD2AD6" w:rsidP="000F0E14">
            <w:r w:rsidRPr="00240FF4">
              <w:t>Meter Events</w:t>
            </w:r>
          </w:p>
        </w:tc>
      </w:tr>
      <w:tr w:rsidR="00BD2AD6" w:rsidRPr="00240FF4" w:rsidTr="000F0E14">
        <w:trPr>
          <w:trHeight w:val="255"/>
          <w:jc w:val="center"/>
        </w:trPr>
        <w:tc>
          <w:tcPr>
            <w:tcW w:w="6079" w:type="dxa"/>
            <w:tcBorders>
              <w:top w:val="single" w:sz="6" w:space="0" w:color="auto"/>
              <w:left w:val="single" w:sz="4" w:space="0" w:color="auto"/>
              <w:bottom w:val="single" w:sz="6" w:space="0" w:color="auto"/>
              <w:right w:val="single" w:sz="6" w:space="0" w:color="auto"/>
            </w:tcBorders>
            <w:shd w:val="clear" w:color="auto" w:fill="auto"/>
            <w:noWrap/>
            <w:vAlign w:val="bottom"/>
          </w:tcPr>
          <w:p w:rsidR="00BD2AD6" w:rsidRPr="00240FF4" w:rsidRDefault="00BD2AD6" w:rsidP="000F0E14">
            <w:r w:rsidRPr="00240FF4">
              <w:t>Meter Read</w:t>
            </w:r>
          </w:p>
        </w:tc>
      </w:tr>
      <w:tr w:rsidR="00BD2AD6" w:rsidRPr="00240FF4" w:rsidTr="000F0E14">
        <w:trPr>
          <w:trHeight w:val="255"/>
          <w:jc w:val="center"/>
        </w:trPr>
        <w:tc>
          <w:tcPr>
            <w:tcW w:w="6079" w:type="dxa"/>
            <w:tcBorders>
              <w:top w:val="single" w:sz="6" w:space="0" w:color="auto"/>
              <w:left w:val="single" w:sz="4" w:space="0" w:color="auto"/>
              <w:bottom w:val="single" w:sz="6" w:space="0" w:color="auto"/>
              <w:right w:val="single" w:sz="6" w:space="0" w:color="auto"/>
            </w:tcBorders>
            <w:shd w:val="clear" w:color="auto" w:fill="auto"/>
            <w:noWrap/>
            <w:vAlign w:val="bottom"/>
          </w:tcPr>
          <w:p w:rsidR="00BD2AD6" w:rsidRPr="00240FF4" w:rsidRDefault="00BD2AD6" w:rsidP="000F0E14">
            <w:r w:rsidRPr="00240FF4">
              <w:t>Outage Restoration Management</w:t>
            </w:r>
          </w:p>
        </w:tc>
      </w:tr>
      <w:tr w:rsidR="00BD2AD6" w:rsidRPr="00240FF4" w:rsidTr="000F0E14">
        <w:trPr>
          <w:trHeight w:val="255"/>
          <w:jc w:val="center"/>
        </w:trPr>
        <w:tc>
          <w:tcPr>
            <w:tcW w:w="6079" w:type="dxa"/>
            <w:tcBorders>
              <w:top w:val="single" w:sz="6" w:space="0" w:color="auto"/>
              <w:left w:val="single" w:sz="4" w:space="0" w:color="auto"/>
              <w:bottom w:val="single" w:sz="6" w:space="0" w:color="auto"/>
              <w:right w:val="single" w:sz="6" w:space="0" w:color="auto"/>
            </w:tcBorders>
            <w:shd w:val="clear" w:color="auto" w:fill="auto"/>
            <w:noWrap/>
            <w:vAlign w:val="bottom"/>
          </w:tcPr>
          <w:p w:rsidR="00BD2AD6" w:rsidRPr="00240FF4" w:rsidRDefault="00BD2AD6" w:rsidP="000F0E14">
            <w:r w:rsidRPr="00240FF4">
              <w:t>PHEV</w:t>
            </w:r>
          </w:p>
        </w:tc>
      </w:tr>
      <w:tr w:rsidR="00BD2AD6" w:rsidRPr="00240FF4" w:rsidTr="000F0E14">
        <w:trPr>
          <w:trHeight w:val="255"/>
          <w:jc w:val="center"/>
        </w:trPr>
        <w:tc>
          <w:tcPr>
            <w:tcW w:w="6079" w:type="dxa"/>
            <w:tcBorders>
              <w:top w:val="single" w:sz="6" w:space="0" w:color="auto"/>
              <w:left w:val="single" w:sz="4" w:space="0" w:color="auto"/>
              <w:bottom w:val="single" w:sz="6" w:space="0" w:color="auto"/>
              <w:right w:val="single" w:sz="6" w:space="0" w:color="auto"/>
            </w:tcBorders>
            <w:shd w:val="clear" w:color="auto" w:fill="auto"/>
            <w:noWrap/>
            <w:vAlign w:val="bottom"/>
          </w:tcPr>
          <w:p w:rsidR="00BD2AD6" w:rsidRPr="00240FF4" w:rsidRDefault="00BD2AD6" w:rsidP="000F0E14">
            <w:r w:rsidRPr="00240FF4">
              <w:t>Premise Network Administration</w:t>
            </w:r>
          </w:p>
        </w:tc>
      </w:tr>
      <w:tr w:rsidR="00BD2AD6" w:rsidRPr="00240FF4" w:rsidTr="000F0E14">
        <w:trPr>
          <w:trHeight w:val="255"/>
          <w:jc w:val="center"/>
        </w:trPr>
        <w:tc>
          <w:tcPr>
            <w:tcW w:w="6079" w:type="dxa"/>
            <w:tcBorders>
              <w:top w:val="single" w:sz="6" w:space="0" w:color="auto"/>
              <w:left w:val="single" w:sz="4" w:space="0" w:color="auto"/>
              <w:bottom w:val="single" w:sz="6" w:space="0" w:color="auto"/>
              <w:right w:val="single" w:sz="6" w:space="0" w:color="auto"/>
            </w:tcBorders>
            <w:shd w:val="clear" w:color="auto" w:fill="auto"/>
            <w:noWrap/>
            <w:vAlign w:val="bottom"/>
          </w:tcPr>
          <w:p w:rsidR="00BD2AD6" w:rsidRPr="00240FF4" w:rsidRDefault="00BD2AD6" w:rsidP="000F0E14">
            <w:r w:rsidRPr="00240FF4">
              <w:t>Pre-Pay Metering</w:t>
            </w:r>
          </w:p>
        </w:tc>
      </w:tr>
      <w:tr w:rsidR="00BD2AD6" w:rsidRPr="00240FF4" w:rsidTr="000F0E14">
        <w:trPr>
          <w:trHeight w:val="255"/>
          <w:jc w:val="center"/>
        </w:trPr>
        <w:tc>
          <w:tcPr>
            <w:tcW w:w="6079" w:type="dxa"/>
            <w:tcBorders>
              <w:top w:val="single" w:sz="6" w:space="0" w:color="auto"/>
              <w:left w:val="single" w:sz="4" w:space="0" w:color="auto"/>
              <w:bottom w:val="single" w:sz="6" w:space="0" w:color="auto"/>
              <w:right w:val="single" w:sz="6" w:space="0" w:color="auto"/>
            </w:tcBorders>
            <w:shd w:val="clear" w:color="auto" w:fill="auto"/>
            <w:noWrap/>
            <w:vAlign w:val="bottom"/>
          </w:tcPr>
          <w:p w:rsidR="00BD2AD6" w:rsidRPr="00240FF4" w:rsidRDefault="00BD2AD6" w:rsidP="000F0E14">
            <w:r w:rsidRPr="00240FF4">
              <w:t xml:space="preserve">Pricing: </w:t>
            </w:r>
          </w:p>
          <w:p w:rsidR="00BD2AD6" w:rsidRPr="00240FF4" w:rsidRDefault="00BD2AD6" w:rsidP="000F0E14">
            <w:r w:rsidRPr="00240FF4">
              <w:t xml:space="preserve">Time of Use (TOU) / </w:t>
            </w:r>
          </w:p>
          <w:p w:rsidR="00BD2AD6" w:rsidRPr="00240FF4" w:rsidRDefault="00BD2AD6" w:rsidP="000F0E14">
            <w:r w:rsidRPr="00240FF4">
              <w:t>Real Time Pricing</w:t>
            </w:r>
            <w:r>
              <w:t xml:space="preserve"> (RTP) </w:t>
            </w:r>
            <w:r w:rsidRPr="00240FF4">
              <w:t xml:space="preserve">/ </w:t>
            </w:r>
          </w:p>
          <w:p w:rsidR="00BD2AD6" w:rsidRPr="00240FF4" w:rsidRDefault="00BD2AD6" w:rsidP="000F0E14">
            <w:r>
              <w:t>Critical Peak Pricing (CPP)</w:t>
            </w:r>
          </w:p>
        </w:tc>
      </w:tr>
      <w:tr w:rsidR="00BD2AD6" w:rsidRPr="00240FF4" w:rsidTr="000F0E14">
        <w:trPr>
          <w:trHeight w:val="255"/>
          <w:jc w:val="center"/>
        </w:trPr>
        <w:tc>
          <w:tcPr>
            <w:tcW w:w="6079" w:type="dxa"/>
            <w:tcBorders>
              <w:top w:val="single" w:sz="6" w:space="0" w:color="auto"/>
              <w:left w:val="single" w:sz="4" w:space="0" w:color="auto"/>
              <w:bottom w:val="single" w:sz="6" w:space="0" w:color="auto"/>
              <w:right w:val="single" w:sz="6" w:space="0" w:color="auto"/>
            </w:tcBorders>
            <w:shd w:val="clear" w:color="auto" w:fill="auto"/>
            <w:noWrap/>
            <w:vAlign w:val="bottom"/>
          </w:tcPr>
          <w:p w:rsidR="00BD2AD6" w:rsidRPr="00240FF4" w:rsidRDefault="00BD2AD6" w:rsidP="000F0E14">
            <w:r w:rsidRPr="00240FF4">
              <w:t>Service Switch</w:t>
            </w:r>
          </w:p>
        </w:tc>
      </w:tr>
      <w:tr w:rsidR="00BD2AD6" w:rsidRPr="00240FF4" w:rsidTr="000F0E14">
        <w:trPr>
          <w:trHeight w:val="255"/>
          <w:jc w:val="center"/>
        </w:trPr>
        <w:tc>
          <w:tcPr>
            <w:tcW w:w="6079" w:type="dxa"/>
            <w:tcBorders>
              <w:top w:val="single" w:sz="6" w:space="0" w:color="auto"/>
              <w:left w:val="single" w:sz="4" w:space="0" w:color="auto"/>
              <w:bottom w:val="single" w:sz="6" w:space="0" w:color="auto"/>
              <w:right w:val="single" w:sz="6" w:space="0" w:color="auto"/>
            </w:tcBorders>
            <w:shd w:val="clear" w:color="auto" w:fill="auto"/>
            <w:noWrap/>
            <w:vAlign w:val="bottom"/>
          </w:tcPr>
          <w:p w:rsidR="00BD2AD6" w:rsidRPr="00240FF4" w:rsidRDefault="00BD2AD6" w:rsidP="000F0E14">
            <w:r w:rsidRPr="00240FF4">
              <w:t>System Updates</w:t>
            </w:r>
            <w:r>
              <w:t xml:space="preserve"> (Firmware / Program Update)</w:t>
            </w:r>
          </w:p>
        </w:tc>
      </w:tr>
      <w:tr w:rsidR="00BD2AD6" w:rsidRPr="00240FF4" w:rsidTr="000F0E14">
        <w:trPr>
          <w:trHeight w:val="255"/>
          <w:jc w:val="center"/>
        </w:trPr>
        <w:tc>
          <w:tcPr>
            <w:tcW w:w="6079" w:type="dxa"/>
            <w:tcBorders>
              <w:top w:val="single" w:sz="6" w:space="0" w:color="auto"/>
              <w:left w:val="single" w:sz="4" w:space="0" w:color="auto"/>
              <w:bottom w:val="single" w:sz="6" w:space="0" w:color="auto"/>
              <w:right w:val="single" w:sz="6" w:space="0" w:color="auto"/>
            </w:tcBorders>
            <w:shd w:val="clear" w:color="auto" w:fill="auto"/>
            <w:noWrap/>
            <w:vAlign w:val="bottom"/>
          </w:tcPr>
          <w:p w:rsidR="00BD2AD6" w:rsidRPr="00240FF4" w:rsidRDefault="00BD2AD6" w:rsidP="000F0E14">
            <w:r w:rsidRPr="00240FF4">
              <w:lastRenderedPageBreak/>
              <w:t>Volt</w:t>
            </w:r>
            <w:r>
              <w:t xml:space="preserve"> </w:t>
            </w:r>
            <w:r w:rsidRPr="00240FF4">
              <w:t>/</w:t>
            </w:r>
            <w:r>
              <w:t xml:space="preserve"> </w:t>
            </w:r>
            <w:r w:rsidRPr="00240FF4">
              <w:t>VAR Management</w:t>
            </w:r>
            <w:r>
              <w:t xml:space="preserve"> – Centralized Control</w:t>
            </w:r>
          </w:p>
        </w:tc>
      </w:tr>
      <w:tr w:rsidR="00BD2AD6" w:rsidRPr="00240FF4" w:rsidTr="000F0E14">
        <w:trPr>
          <w:trHeight w:val="255"/>
          <w:jc w:val="center"/>
        </w:trPr>
        <w:tc>
          <w:tcPr>
            <w:tcW w:w="6079" w:type="dxa"/>
            <w:tcBorders>
              <w:top w:val="single" w:sz="6" w:space="0" w:color="auto"/>
              <w:left w:val="single" w:sz="4" w:space="0" w:color="auto"/>
              <w:bottom w:val="single" w:sz="6" w:space="0" w:color="auto"/>
              <w:right w:val="single" w:sz="6" w:space="0" w:color="auto"/>
            </w:tcBorders>
            <w:shd w:val="pct15" w:color="auto" w:fill="auto"/>
            <w:noWrap/>
            <w:vAlign w:val="bottom"/>
          </w:tcPr>
          <w:p w:rsidR="00BD2AD6" w:rsidRPr="00240FF4" w:rsidRDefault="00BD2AD6" w:rsidP="00BD2AD6">
            <w:r>
              <w:t>Smart grid use case – potential for releases post V5.1.xls</w:t>
            </w:r>
          </w:p>
        </w:tc>
      </w:tr>
      <w:tr w:rsidR="00BD2AD6" w:rsidRPr="00240FF4" w:rsidTr="000F0E14">
        <w:trPr>
          <w:trHeight w:val="255"/>
          <w:jc w:val="center"/>
        </w:trPr>
        <w:tc>
          <w:tcPr>
            <w:tcW w:w="6079" w:type="dxa"/>
            <w:tcBorders>
              <w:top w:val="single" w:sz="6" w:space="0" w:color="auto"/>
              <w:left w:val="single" w:sz="4" w:space="0" w:color="auto"/>
              <w:bottom w:val="single" w:sz="6" w:space="0" w:color="auto"/>
              <w:right w:val="single" w:sz="6" w:space="0" w:color="auto"/>
            </w:tcBorders>
            <w:shd w:val="clear" w:color="auto" w:fill="auto"/>
            <w:noWrap/>
            <w:vAlign w:val="bottom"/>
          </w:tcPr>
          <w:p w:rsidR="00BD2AD6" w:rsidRPr="00240FF4" w:rsidRDefault="00BD2AD6" w:rsidP="000F0E14">
            <w:r w:rsidRPr="00240FF4">
              <w:t>Configuration Management</w:t>
            </w:r>
          </w:p>
        </w:tc>
      </w:tr>
      <w:tr w:rsidR="00BD2AD6" w:rsidRPr="00240FF4" w:rsidTr="000F0E14">
        <w:trPr>
          <w:trHeight w:val="255"/>
          <w:jc w:val="center"/>
        </w:trPr>
        <w:tc>
          <w:tcPr>
            <w:tcW w:w="6079" w:type="dxa"/>
            <w:tcBorders>
              <w:top w:val="single" w:sz="6" w:space="0" w:color="auto"/>
              <w:left w:val="single" w:sz="4" w:space="0" w:color="auto"/>
              <w:bottom w:val="single" w:sz="6" w:space="0" w:color="auto"/>
              <w:right w:val="single" w:sz="6" w:space="0" w:color="auto"/>
            </w:tcBorders>
            <w:shd w:val="clear" w:color="auto" w:fill="auto"/>
            <w:noWrap/>
            <w:vAlign w:val="bottom"/>
          </w:tcPr>
          <w:p w:rsidR="00BD2AD6" w:rsidRPr="00240FF4" w:rsidRDefault="00BD2AD6" w:rsidP="000F0E14">
            <w:r w:rsidRPr="00240FF4">
              <w:t>Distributed Generation</w:t>
            </w:r>
          </w:p>
        </w:tc>
      </w:tr>
      <w:tr w:rsidR="00BD2AD6" w:rsidRPr="00240FF4" w:rsidTr="000F0E14">
        <w:trPr>
          <w:trHeight w:val="255"/>
          <w:jc w:val="center"/>
        </w:trPr>
        <w:tc>
          <w:tcPr>
            <w:tcW w:w="6079" w:type="dxa"/>
            <w:tcBorders>
              <w:top w:val="single" w:sz="6" w:space="0" w:color="auto"/>
              <w:left w:val="single" w:sz="4" w:space="0" w:color="auto"/>
              <w:bottom w:val="single" w:sz="6" w:space="0" w:color="auto"/>
              <w:right w:val="single" w:sz="6" w:space="0" w:color="auto"/>
            </w:tcBorders>
            <w:shd w:val="clear" w:color="auto" w:fill="auto"/>
            <w:noWrap/>
            <w:vAlign w:val="bottom"/>
          </w:tcPr>
          <w:p w:rsidR="00BD2AD6" w:rsidRPr="00240FF4" w:rsidRDefault="00BD2AD6" w:rsidP="000F0E14">
            <w:r w:rsidRPr="00240FF4">
              <w:t>Field Force Tools</w:t>
            </w:r>
          </w:p>
        </w:tc>
      </w:tr>
      <w:tr w:rsidR="00BD2AD6" w:rsidRPr="00240FF4" w:rsidTr="000F0E14">
        <w:trPr>
          <w:trHeight w:val="255"/>
          <w:jc w:val="center"/>
        </w:trPr>
        <w:tc>
          <w:tcPr>
            <w:tcW w:w="6079" w:type="dxa"/>
            <w:tcBorders>
              <w:top w:val="single" w:sz="6" w:space="0" w:color="auto"/>
              <w:left w:val="single" w:sz="4" w:space="0" w:color="auto"/>
              <w:bottom w:val="single" w:sz="6" w:space="0" w:color="auto"/>
              <w:right w:val="single" w:sz="6" w:space="0" w:color="auto"/>
            </w:tcBorders>
            <w:shd w:val="clear" w:color="auto" w:fill="auto"/>
            <w:noWrap/>
            <w:vAlign w:val="bottom"/>
          </w:tcPr>
          <w:p w:rsidR="00BD2AD6" w:rsidRPr="00240FF4" w:rsidRDefault="00BD2AD6" w:rsidP="000F0E14">
            <w:r w:rsidRPr="00240FF4">
              <w:t>Performance Management</w:t>
            </w:r>
          </w:p>
        </w:tc>
      </w:tr>
      <w:tr w:rsidR="00BD2AD6" w:rsidRPr="00240FF4" w:rsidTr="000F0E14">
        <w:trPr>
          <w:trHeight w:val="255"/>
          <w:jc w:val="center"/>
        </w:trPr>
        <w:tc>
          <w:tcPr>
            <w:tcW w:w="6079" w:type="dxa"/>
            <w:tcBorders>
              <w:top w:val="single" w:sz="6" w:space="0" w:color="auto"/>
              <w:left w:val="single" w:sz="4" w:space="0" w:color="auto"/>
              <w:bottom w:val="single" w:sz="6" w:space="0" w:color="auto"/>
              <w:right w:val="single" w:sz="6" w:space="0" w:color="auto"/>
            </w:tcBorders>
            <w:shd w:val="clear" w:color="auto" w:fill="auto"/>
            <w:noWrap/>
            <w:vAlign w:val="bottom"/>
          </w:tcPr>
          <w:p w:rsidR="00BD2AD6" w:rsidRPr="00240FF4" w:rsidRDefault="00BD2AD6" w:rsidP="000F0E14">
            <w:r w:rsidRPr="00240FF4">
              <w:t>Security Management</w:t>
            </w:r>
          </w:p>
        </w:tc>
      </w:tr>
      <w:tr w:rsidR="00BD2AD6" w:rsidRPr="00240FF4" w:rsidTr="000F0E14">
        <w:trPr>
          <w:trHeight w:val="255"/>
          <w:jc w:val="center"/>
        </w:trPr>
        <w:tc>
          <w:tcPr>
            <w:tcW w:w="6079" w:type="dxa"/>
            <w:tcBorders>
              <w:top w:val="single" w:sz="6" w:space="0" w:color="auto"/>
              <w:left w:val="single" w:sz="4" w:space="0" w:color="auto"/>
              <w:bottom w:val="single" w:sz="4" w:space="0" w:color="auto"/>
              <w:right w:val="single" w:sz="6" w:space="0" w:color="auto"/>
            </w:tcBorders>
            <w:shd w:val="clear" w:color="auto" w:fill="auto"/>
            <w:noWrap/>
            <w:vAlign w:val="bottom"/>
          </w:tcPr>
          <w:p w:rsidR="00BD2AD6" w:rsidRPr="00240FF4" w:rsidRDefault="00BD2AD6" w:rsidP="000F0E14">
            <w:r w:rsidRPr="00240FF4">
              <w:t>Transmission automation support</w:t>
            </w:r>
          </w:p>
        </w:tc>
      </w:tr>
    </w:tbl>
    <w:p w:rsidR="00BD2AD6" w:rsidRDefault="00BD2AD6" w:rsidP="00C37938">
      <w:pPr>
        <w:pStyle w:val="NoSpacing"/>
      </w:pPr>
    </w:p>
    <w:p w:rsidR="00BD2AD6" w:rsidRDefault="00BD2AD6" w:rsidP="00C37938">
      <w:pPr>
        <w:pStyle w:val="NoSpacing"/>
      </w:pPr>
    </w:p>
    <w:p w:rsidR="00BD2AD6" w:rsidRDefault="00BD2AD6" w:rsidP="00BD2AD6">
      <w:pPr>
        <w:pStyle w:val="Heading3"/>
      </w:pPr>
    </w:p>
    <w:p w:rsidR="00BD2AD6" w:rsidRDefault="00BD2AD6" w:rsidP="00BD2AD6">
      <w:pPr>
        <w:pStyle w:val="Heading3"/>
      </w:pPr>
      <w:r>
        <w:t>Document 2</w:t>
      </w:r>
    </w:p>
    <w:p w:rsidR="00BD2AD6" w:rsidRDefault="00BD2AD6" w:rsidP="00BD2AD6">
      <w:r>
        <w:t>“</w:t>
      </w:r>
      <w:r w:rsidRPr="00BD2AD6">
        <w:rPr>
          <w:b/>
        </w:rPr>
        <w:t>NIST Framework and Roadmap for Smart Grid Interoperability Standards, Release 2.0</w:t>
      </w:r>
      <w:r>
        <w:t xml:space="preserve">” (NIST Special Publication 1108R2)   February </w:t>
      </w:r>
      <w:proofErr w:type="gramStart"/>
      <w:r>
        <w:t>2012</w:t>
      </w:r>
      <w:r w:rsidR="00483BDB">
        <w:t xml:space="preserve">  &lt;</w:t>
      </w:r>
      <w:proofErr w:type="gramEnd"/>
      <w:r w:rsidR="00483BDB">
        <w:fldChar w:fldCharType="begin"/>
      </w:r>
      <w:r w:rsidR="00483BDB">
        <w:instrText xml:space="preserve"> HYPERLINK "http://www.nist.gov/smartgrid/upload/NIST_Framework_Release_2-0_corr.pdfhttp:/www.nist.gov/smartgrid/upload/NIST_Framework_Release_2-0_corr.pdf" </w:instrText>
      </w:r>
      <w:r w:rsidR="00483BDB">
        <w:fldChar w:fldCharType="separate"/>
      </w:r>
      <w:r w:rsidR="00483BDB" w:rsidRPr="00483BDB">
        <w:rPr>
          <w:rStyle w:val="Hyperlink"/>
        </w:rPr>
        <w:t>http://www.nist.gov/smartgrid/upload/NIST_Framework_Release_2-0_corr.pdf</w:t>
      </w:r>
      <w:r w:rsidR="00483BDB">
        <w:fldChar w:fldCharType="end"/>
      </w:r>
      <w:r w:rsidR="00483BDB">
        <w:t>&gt;</w:t>
      </w:r>
    </w:p>
    <w:p w:rsidR="00BD2AD6" w:rsidRDefault="00BD2AD6" w:rsidP="00BD2AD6"/>
    <w:p w:rsidR="00BD2AD6" w:rsidRDefault="00BD2AD6" w:rsidP="00BD2AD6">
      <w:r>
        <w:t>Section 1.3.2 describes “</w:t>
      </w:r>
      <w:r w:rsidRPr="00BD2AD6">
        <w:t>Applications and Requirements: Eight Priority Areas</w:t>
      </w:r>
      <w:proofErr w:type="gramStart"/>
      <w:r>
        <w:t>”</w:t>
      </w:r>
      <w:r w:rsidR="00483BDB">
        <w:t xml:space="preserve">  on</w:t>
      </w:r>
      <w:proofErr w:type="gramEnd"/>
      <w:r w:rsidR="00483BDB">
        <w:t xml:space="preserve"> pages 23-25</w:t>
      </w:r>
    </w:p>
    <w:p w:rsidR="00BD2AD6" w:rsidRDefault="00BD2AD6" w:rsidP="00BD2AD6"/>
    <w:p w:rsidR="00483BDB" w:rsidRPr="00483BDB" w:rsidRDefault="00483BDB" w:rsidP="00483BDB">
      <w:pPr>
        <w:pStyle w:val="Default"/>
        <w:spacing w:after="125"/>
        <w:rPr>
          <w:sz w:val="23"/>
          <w:szCs w:val="23"/>
        </w:rPr>
      </w:pPr>
      <w:r w:rsidRPr="00483BDB">
        <w:rPr>
          <w:sz w:val="23"/>
          <w:szCs w:val="23"/>
        </w:rPr>
        <w:t>• Demand response and consumer energy efficiency</w:t>
      </w:r>
    </w:p>
    <w:p w:rsidR="00483BDB" w:rsidRPr="00483BDB" w:rsidRDefault="00483BDB" w:rsidP="00483BDB">
      <w:pPr>
        <w:pStyle w:val="Default"/>
        <w:spacing w:after="125"/>
        <w:rPr>
          <w:bCs/>
          <w:sz w:val="23"/>
          <w:szCs w:val="23"/>
        </w:rPr>
      </w:pPr>
      <w:r w:rsidRPr="00483BDB">
        <w:rPr>
          <w:sz w:val="23"/>
          <w:szCs w:val="23"/>
        </w:rPr>
        <w:t xml:space="preserve">• </w:t>
      </w:r>
      <w:r w:rsidRPr="00483BDB">
        <w:rPr>
          <w:bCs/>
          <w:sz w:val="23"/>
          <w:szCs w:val="23"/>
        </w:rPr>
        <w:t>Wide-area situational awareness:</w:t>
      </w:r>
    </w:p>
    <w:p w:rsidR="00483BDB" w:rsidRPr="00483BDB" w:rsidRDefault="00483BDB" w:rsidP="00483BDB">
      <w:pPr>
        <w:pStyle w:val="Default"/>
        <w:spacing w:after="125"/>
        <w:rPr>
          <w:bCs/>
          <w:sz w:val="23"/>
          <w:szCs w:val="23"/>
        </w:rPr>
      </w:pPr>
      <w:r w:rsidRPr="00483BDB">
        <w:rPr>
          <w:sz w:val="23"/>
          <w:szCs w:val="23"/>
        </w:rPr>
        <w:t xml:space="preserve">• </w:t>
      </w:r>
      <w:r w:rsidRPr="00483BDB">
        <w:rPr>
          <w:bCs/>
          <w:sz w:val="23"/>
          <w:szCs w:val="23"/>
        </w:rPr>
        <w:t>Energy storage</w:t>
      </w:r>
    </w:p>
    <w:p w:rsidR="00483BDB" w:rsidRPr="00483BDB" w:rsidRDefault="00483BDB" w:rsidP="00483BDB">
      <w:pPr>
        <w:pStyle w:val="Default"/>
        <w:spacing w:after="125"/>
        <w:rPr>
          <w:bCs/>
          <w:sz w:val="23"/>
          <w:szCs w:val="23"/>
        </w:rPr>
      </w:pPr>
      <w:r w:rsidRPr="00483BDB">
        <w:rPr>
          <w:sz w:val="23"/>
          <w:szCs w:val="23"/>
        </w:rPr>
        <w:t xml:space="preserve">• </w:t>
      </w:r>
      <w:r w:rsidRPr="00483BDB">
        <w:rPr>
          <w:bCs/>
          <w:sz w:val="23"/>
          <w:szCs w:val="23"/>
        </w:rPr>
        <w:t>Electric transportation</w:t>
      </w:r>
    </w:p>
    <w:p w:rsidR="00483BDB" w:rsidRPr="00483BDB" w:rsidRDefault="00483BDB" w:rsidP="00483BDB">
      <w:pPr>
        <w:pStyle w:val="Default"/>
        <w:spacing w:after="125"/>
        <w:rPr>
          <w:bCs/>
          <w:sz w:val="23"/>
          <w:szCs w:val="23"/>
        </w:rPr>
      </w:pPr>
      <w:r w:rsidRPr="00483BDB">
        <w:rPr>
          <w:sz w:val="23"/>
          <w:szCs w:val="23"/>
        </w:rPr>
        <w:t xml:space="preserve">• </w:t>
      </w:r>
      <w:r>
        <w:rPr>
          <w:bCs/>
          <w:sz w:val="23"/>
          <w:szCs w:val="23"/>
        </w:rPr>
        <w:t>Network communications</w:t>
      </w:r>
    </w:p>
    <w:p w:rsidR="00483BDB" w:rsidRPr="00483BDB" w:rsidRDefault="00483BDB" w:rsidP="00483BDB">
      <w:pPr>
        <w:pStyle w:val="Default"/>
        <w:spacing w:after="125"/>
        <w:rPr>
          <w:sz w:val="23"/>
          <w:szCs w:val="23"/>
        </w:rPr>
      </w:pPr>
      <w:r w:rsidRPr="00483BDB">
        <w:rPr>
          <w:sz w:val="23"/>
          <w:szCs w:val="23"/>
        </w:rPr>
        <w:t xml:space="preserve">• </w:t>
      </w:r>
      <w:r w:rsidRPr="00483BDB">
        <w:rPr>
          <w:bCs/>
          <w:sz w:val="23"/>
          <w:szCs w:val="23"/>
        </w:rPr>
        <w:t xml:space="preserve">Advanced metering infrastructure (AMI): </w:t>
      </w:r>
    </w:p>
    <w:p w:rsidR="00483BDB" w:rsidRPr="00483BDB" w:rsidRDefault="00483BDB" w:rsidP="00483BDB">
      <w:pPr>
        <w:pStyle w:val="Default"/>
        <w:spacing w:after="125"/>
        <w:rPr>
          <w:sz w:val="23"/>
          <w:szCs w:val="23"/>
        </w:rPr>
      </w:pPr>
      <w:r w:rsidRPr="00483BDB">
        <w:rPr>
          <w:sz w:val="23"/>
          <w:szCs w:val="23"/>
        </w:rPr>
        <w:t xml:space="preserve">• </w:t>
      </w:r>
      <w:r w:rsidRPr="00483BDB">
        <w:rPr>
          <w:bCs/>
          <w:sz w:val="23"/>
          <w:szCs w:val="23"/>
        </w:rPr>
        <w:t xml:space="preserve">Distribution grid management: </w:t>
      </w:r>
    </w:p>
    <w:p w:rsidR="00BD2AD6" w:rsidRPr="00483BDB" w:rsidRDefault="00483BDB" w:rsidP="00483BDB">
      <w:pPr>
        <w:pStyle w:val="Default"/>
        <w:spacing w:after="125"/>
        <w:rPr>
          <w:sz w:val="23"/>
          <w:szCs w:val="23"/>
        </w:rPr>
      </w:pPr>
      <w:r w:rsidRPr="00483BDB">
        <w:rPr>
          <w:sz w:val="23"/>
          <w:szCs w:val="23"/>
        </w:rPr>
        <w:t xml:space="preserve">• </w:t>
      </w:r>
      <w:proofErr w:type="spellStart"/>
      <w:r>
        <w:rPr>
          <w:bCs/>
          <w:sz w:val="23"/>
          <w:szCs w:val="23"/>
        </w:rPr>
        <w:t>Cybersecurity</w:t>
      </w:r>
      <w:proofErr w:type="spellEnd"/>
      <w:r w:rsidRPr="00483BDB">
        <w:rPr>
          <w:bCs/>
          <w:sz w:val="23"/>
          <w:szCs w:val="23"/>
        </w:rPr>
        <w:t xml:space="preserve"> </w:t>
      </w:r>
    </w:p>
    <w:p w:rsidR="00483BDB" w:rsidRDefault="00483BDB" w:rsidP="00483BDB">
      <w:pPr>
        <w:pStyle w:val="Default"/>
        <w:spacing w:after="125"/>
      </w:pPr>
    </w:p>
    <w:p w:rsidR="00483BDB" w:rsidRDefault="00483BDB" w:rsidP="00483BDB">
      <w:pPr>
        <w:pStyle w:val="Default"/>
        <w:spacing w:after="125"/>
      </w:pPr>
      <w:r>
        <w:t>In the NIST document, each bullet application starts a paragraph of definition and description.</w:t>
      </w:r>
    </w:p>
    <w:p w:rsidR="00483BDB" w:rsidRDefault="00483BDB" w:rsidP="00483BDB">
      <w:pPr>
        <w:pStyle w:val="Default"/>
        <w:spacing w:after="125"/>
      </w:pPr>
      <w:r>
        <w:t xml:space="preserve">The NIST Framework document also references a NIST-maintained </w:t>
      </w:r>
      <w:hyperlink r:id="rId10" w:history="1">
        <w:r w:rsidRPr="00483BDB">
          <w:rPr>
            <w:rStyle w:val="Hyperlink"/>
          </w:rPr>
          <w:t>Interoperability Knowledgebase for Use Cases</w:t>
        </w:r>
      </w:hyperlink>
    </w:p>
    <w:p w:rsidR="00483BDB" w:rsidRDefault="00483BDB" w:rsidP="00483BDB">
      <w:pPr>
        <w:pStyle w:val="Default"/>
        <w:spacing w:after="125"/>
      </w:pPr>
      <w:r>
        <w:t>At this site, the u</w:t>
      </w:r>
      <w:r w:rsidR="00A0237B">
        <w:t>se cases are broadly grouped as follows:</w:t>
      </w:r>
    </w:p>
    <w:p w:rsidR="00483BDB" w:rsidRDefault="00483BDB" w:rsidP="00483BDB">
      <w:pPr>
        <w:pStyle w:val="Default"/>
        <w:numPr>
          <w:ilvl w:val="0"/>
          <w:numId w:val="7"/>
        </w:numPr>
        <w:spacing w:after="125"/>
      </w:pPr>
      <w:r>
        <w:t>Transmission Operations</w:t>
      </w:r>
    </w:p>
    <w:p w:rsidR="00A0237B" w:rsidRDefault="00A0237B" w:rsidP="00A0237B">
      <w:pPr>
        <w:pStyle w:val="Default"/>
        <w:numPr>
          <w:ilvl w:val="1"/>
          <w:numId w:val="8"/>
        </w:numPr>
        <w:spacing w:after="125"/>
      </w:pPr>
      <w:r>
        <w:t xml:space="preserve">    Wide-area Measurement and Control (WAMAC) </w:t>
      </w:r>
    </w:p>
    <w:p w:rsidR="00A0237B" w:rsidRDefault="00A0237B" w:rsidP="00A0237B">
      <w:pPr>
        <w:pStyle w:val="Default"/>
        <w:numPr>
          <w:ilvl w:val="1"/>
          <w:numId w:val="8"/>
        </w:numPr>
        <w:spacing w:after="125"/>
      </w:pPr>
      <w:r>
        <w:t xml:space="preserve">    Central Generation Integration </w:t>
      </w:r>
    </w:p>
    <w:p w:rsidR="00A0237B" w:rsidRDefault="00A0237B" w:rsidP="00A0237B">
      <w:pPr>
        <w:pStyle w:val="Default"/>
        <w:numPr>
          <w:ilvl w:val="1"/>
          <w:numId w:val="8"/>
        </w:numPr>
        <w:spacing w:after="125"/>
      </w:pPr>
      <w:r>
        <w:lastRenderedPageBreak/>
        <w:t xml:space="preserve">    System Protection </w:t>
      </w:r>
    </w:p>
    <w:p w:rsidR="00A0237B" w:rsidRDefault="00A0237B" w:rsidP="00A0237B">
      <w:pPr>
        <w:pStyle w:val="Default"/>
        <w:numPr>
          <w:ilvl w:val="1"/>
          <w:numId w:val="8"/>
        </w:numPr>
        <w:spacing w:after="125"/>
      </w:pPr>
      <w:r>
        <w:t xml:space="preserve">    Substation Automation </w:t>
      </w:r>
    </w:p>
    <w:p w:rsidR="00A0237B" w:rsidRDefault="00A0237B" w:rsidP="00A0237B">
      <w:pPr>
        <w:pStyle w:val="Default"/>
        <w:numPr>
          <w:ilvl w:val="1"/>
          <w:numId w:val="8"/>
        </w:numPr>
        <w:spacing w:after="125"/>
      </w:pPr>
      <w:r>
        <w:t xml:space="preserve">    Ancillary Service Provisioning </w:t>
      </w:r>
    </w:p>
    <w:p w:rsidR="00A0237B" w:rsidRDefault="00A0237B" w:rsidP="00A0237B">
      <w:pPr>
        <w:pStyle w:val="Default"/>
        <w:numPr>
          <w:ilvl w:val="1"/>
          <w:numId w:val="8"/>
        </w:numPr>
        <w:spacing w:after="125"/>
      </w:pPr>
      <w:r>
        <w:t xml:space="preserve">    Large Scale Renewable Integration </w:t>
      </w:r>
    </w:p>
    <w:p w:rsidR="00483BDB" w:rsidRDefault="00483BDB" w:rsidP="00483BDB">
      <w:pPr>
        <w:pStyle w:val="Default"/>
        <w:numPr>
          <w:ilvl w:val="0"/>
          <w:numId w:val="7"/>
        </w:numPr>
        <w:spacing w:after="125"/>
      </w:pPr>
      <w:r>
        <w:t>Distribution Operations</w:t>
      </w:r>
    </w:p>
    <w:p w:rsidR="00A0237B" w:rsidRDefault="00A0237B" w:rsidP="00A0237B">
      <w:pPr>
        <w:pStyle w:val="Default"/>
        <w:numPr>
          <w:ilvl w:val="1"/>
          <w:numId w:val="7"/>
        </w:numPr>
        <w:spacing w:after="125"/>
      </w:pPr>
      <w:r>
        <w:t xml:space="preserve">    Distribution grid. </w:t>
      </w:r>
    </w:p>
    <w:p w:rsidR="00A0237B" w:rsidRDefault="00A0237B" w:rsidP="00A0237B">
      <w:pPr>
        <w:pStyle w:val="Default"/>
        <w:numPr>
          <w:ilvl w:val="1"/>
          <w:numId w:val="7"/>
        </w:numPr>
        <w:spacing w:after="125"/>
      </w:pPr>
      <w:r>
        <w:t xml:space="preserve">    Fault Location Isolation and Restoration (FLIR) </w:t>
      </w:r>
    </w:p>
    <w:p w:rsidR="00A0237B" w:rsidRDefault="00A0237B" w:rsidP="00A0237B">
      <w:pPr>
        <w:pStyle w:val="Default"/>
        <w:numPr>
          <w:ilvl w:val="1"/>
          <w:numId w:val="7"/>
        </w:numPr>
        <w:spacing w:after="125"/>
      </w:pPr>
      <w:r>
        <w:t xml:space="preserve">    Integrated Voltage and Reactive Power Support: </w:t>
      </w:r>
    </w:p>
    <w:p w:rsidR="00A0237B" w:rsidRDefault="00A0237B" w:rsidP="00A0237B">
      <w:pPr>
        <w:pStyle w:val="Default"/>
        <w:numPr>
          <w:ilvl w:val="1"/>
          <w:numId w:val="7"/>
        </w:numPr>
        <w:spacing w:after="125"/>
      </w:pPr>
      <w:r>
        <w:t xml:space="preserve">    Energy storage:</w:t>
      </w:r>
    </w:p>
    <w:p w:rsidR="00A0237B" w:rsidRDefault="00A0237B" w:rsidP="00A0237B">
      <w:pPr>
        <w:pStyle w:val="Default"/>
        <w:numPr>
          <w:ilvl w:val="1"/>
          <w:numId w:val="7"/>
        </w:numPr>
        <w:spacing w:after="125"/>
      </w:pPr>
      <w:r>
        <w:t xml:space="preserve">    Distributed Energy Resources:</w:t>
      </w:r>
    </w:p>
    <w:p w:rsidR="00483BDB" w:rsidRDefault="00483BDB" w:rsidP="00483BDB">
      <w:pPr>
        <w:pStyle w:val="Default"/>
        <w:numPr>
          <w:ilvl w:val="0"/>
          <w:numId w:val="7"/>
        </w:numPr>
        <w:spacing w:after="125"/>
      </w:pPr>
      <w:r>
        <w:t>Market Operations</w:t>
      </w:r>
    </w:p>
    <w:p w:rsidR="00483BDB" w:rsidRDefault="00483BDB" w:rsidP="00483BDB">
      <w:pPr>
        <w:pStyle w:val="Default"/>
        <w:numPr>
          <w:ilvl w:val="0"/>
          <w:numId w:val="7"/>
        </w:numPr>
        <w:spacing w:after="125"/>
      </w:pPr>
      <w:r>
        <w:t>Customer Communications</w:t>
      </w:r>
    </w:p>
    <w:p w:rsidR="00A0237B" w:rsidRDefault="00A0237B" w:rsidP="00A0237B">
      <w:pPr>
        <w:pStyle w:val="Default"/>
        <w:numPr>
          <w:ilvl w:val="1"/>
          <w:numId w:val="7"/>
        </w:numPr>
        <w:spacing w:after="125"/>
      </w:pPr>
      <w:r>
        <w:t xml:space="preserve">    Demand response and consumer energy efficiency</w:t>
      </w:r>
    </w:p>
    <w:p w:rsidR="00A0237B" w:rsidRDefault="00A0237B" w:rsidP="00A0237B">
      <w:pPr>
        <w:pStyle w:val="Default"/>
        <w:numPr>
          <w:ilvl w:val="1"/>
          <w:numId w:val="7"/>
        </w:numPr>
        <w:spacing w:after="125"/>
      </w:pPr>
      <w:r>
        <w:t xml:space="preserve">    Advanced metering infrastructure (AMI):</w:t>
      </w:r>
    </w:p>
    <w:p w:rsidR="00A0237B" w:rsidRDefault="00A0237B" w:rsidP="00A0237B">
      <w:pPr>
        <w:pStyle w:val="Default"/>
        <w:numPr>
          <w:ilvl w:val="1"/>
          <w:numId w:val="7"/>
        </w:numPr>
        <w:spacing w:after="125"/>
      </w:pPr>
      <w:r>
        <w:t xml:space="preserve">    Electric transportation:</w:t>
      </w:r>
    </w:p>
    <w:p w:rsidR="00483BDB" w:rsidRDefault="00483BDB" w:rsidP="00483BDB">
      <w:pPr>
        <w:pStyle w:val="Default"/>
        <w:numPr>
          <w:ilvl w:val="0"/>
          <w:numId w:val="7"/>
        </w:numPr>
        <w:spacing w:after="125"/>
      </w:pPr>
      <w:r>
        <w:t>Cross Cutting for Cyber Security, Network Management, ...</w:t>
      </w:r>
    </w:p>
    <w:p w:rsidR="00A0237B" w:rsidRDefault="00A0237B" w:rsidP="00A0237B">
      <w:pPr>
        <w:pStyle w:val="Default"/>
        <w:numPr>
          <w:ilvl w:val="1"/>
          <w:numId w:val="7"/>
        </w:numPr>
        <w:spacing w:after="125"/>
      </w:pPr>
      <w:proofErr w:type="spellStart"/>
      <w:r>
        <w:t>Cybersecurity</w:t>
      </w:r>
      <w:proofErr w:type="spellEnd"/>
      <w:r>
        <w:t>:</w:t>
      </w:r>
    </w:p>
    <w:p w:rsidR="00A0237B" w:rsidRDefault="00A0237B" w:rsidP="00A0237B">
      <w:pPr>
        <w:pStyle w:val="Default"/>
        <w:numPr>
          <w:ilvl w:val="1"/>
          <w:numId w:val="7"/>
        </w:numPr>
        <w:spacing w:after="125"/>
      </w:pPr>
      <w:r>
        <w:t>Network and Systems Management</w:t>
      </w:r>
    </w:p>
    <w:p w:rsidR="00A0237B" w:rsidRDefault="00A0237B" w:rsidP="00A0237B">
      <w:pPr>
        <w:pStyle w:val="Default"/>
        <w:spacing w:after="125"/>
      </w:pPr>
    </w:p>
    <w:p w:rsidR="00A0237B" w:rsidRDefault="00A0237B" w:rsidP="00A0237B">
      <w:pPr>
        <w:pStyle w:val="Default"/>
        <w:spacing w:after="125"/>
      </w:pPr>
    </w:p>
    <w:p w:rsidR="00A0237B" w:rsidRDefault="00A0237B" w:rsidP="00A0237B">
      <w:pPr>
        <w:pStyle w:val="Default"/>
        <w:spacing w:after="125"/>
      </w:pPr>
      <w:r>
        <w:t xml:space="preserve">The NIST Use Case site also links to the </w:t>
      </w:r>
      <w:hyperlink r:id="rId11" w:history="1">
        <w:r w:rsidRPr="00A0237B">
          <w:rPr>
            <w:rStyle w:val="Hyperlink"/>
          </w:rPr>
          <w:t>EPRI Use Case Repository</w:t>
        </w:r>
      </w:hyperlink>
      <w:r>
        <w:t>, which currently contains 213 smart grid use cases.  Some additional use cases may be found there, and the descriptions are at a greater level of detail. However, this level of detail is not expected to be appropriate for the white paper.</w:t>
      </w:r>
    </w:p>
    <w:p w:rsidR="00A0237B" w:rsidRDefault="00A0237B" w:rsidP="00A0237B">
      <w:pPr>
        <w:pStyle w:val="Default"/>
        <w:spacing w:after="125"/>
      </w:pPr>
    </w:p>
    <w:p w:rsidR="00483BDB" w:rsidRDefault="00483BDB" w:rsidP="00483BDB">
      <w:pPr>
        <w:pStyle w:val="Default"/>
        <w:spacing w:after="125"/>
      </w:pPr>
    </w:p>
    <w:p w:rsidR="00483BDB" w:rsidRPr="00BD2AD6" w:rsidRDefault="00483BDB" w:rsidP="00483BDB">
      <w:pPr>
        <w:pStyle w:val="Default"/>
        <w:spacing w:after="125"/>
      </w:pPr>
    </w:p>
    <w:sectPr w:rsidR="00483BDB" w:rsidRPr="00BD2AD6" w:rsidSect="00F563DC">
      <w:headerReference w:type="default" r:id="rId12"/>
      <w:footerReference w:type="default" r:id="rId13"/>
      <w:headerReference w:type="first" r:id="rId14"/>
      <w:footerReference w:type="first" r:id="rId15"/>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7EEC" w:rsidRDefault="00D67EEC">
      <w:r>
        <w:separator/>
      </w:r>
    </w:p>
  </w:endnote>
  <w:endnote w:type="continuationSeparator" w:id="0">
    <w:p w:rsidR="00D67EEC" w:rsidRDefault="00D67EEC">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7AB" w:rsidRDefault="002800A4">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1E7552">
      <w:t>Tim Godfrey, EPRI</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7AB" w:rsidRDefault="002800A4">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7EEC" w:rsidRDefault="00D67EEC">
      <w:r>
        <w:separator/>
      </w:r>
    </w:p>
  </w:footnote>
  <w:footnote w:type="continuationSeparator" w:id="0">
    <w:p w:rsidR="00D67EEC" w:rsidRDefault="00D67EEC">
      <w:r>
        <w:continuationSeparator/>
      </w:r>
    </w:p>
  </w:footnote>
  <w:footnote w:id="1">
    <w:p w:rsidR="00BD2AD6" w:rsidRDefault="00BD2AD6" w:rsidP="00BD2AD6">
      <w:pPr>
        <w:pStyle w:val="FootnoteText"/>
      </w:pPr>
      <w:r>
        <w:rPr>
          <w:rStyle w:val="FootnoteReference"/>
        </w:rPr>
        <w:footnoteRef/>
      </w:r>
      <w:r>
        <w:t xml:space="preserve"> </w:t>
      </w:r>
      <w:r w:rsidRPr="00DF0402">
        <w:t>For several of the payloads that might be classified as associated to Accounting (Auditing), Fault Management, those payloads are included across several of the other listed use cases.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7AB" w:rsidRDefault="00F563DC">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sidR="002800A4">
      <w:rPr>
        <w:b/>
        <w:sz w:val="28"/>
      </w:rPr>
      <w:instrText xml:space="preserve"> SAVEDATE \@ "MMMM, yyyy" \* MERGEFORMAT </w:instrText>
    </w:r>
    <w:r>
      <w:rPr>
        <w:b/>
        <w:sz w:val="28"/>
      </w:rPr>
      <w:fldChar w:fldCharType="separate"/>
    </w:r>
    <w:r w:rsidR="001E7552">
      <w:rPr>
        <w:b/>
        <w:noProof/>
        <w:sz w:val="28"/>
      </w:rPr>
      <w:t>Sept</w:t>
    </w:r>
    <w:r w:rsidR="00FB4CD9">
      <w:rPr>
        <w:b/>
        <w:noProof/>
        <w:sz w:val="28"/>
      </w:rPr>
      <w:t>, 2013</w:t>
    </w:r>
    <w:r>
      <w:rPr>
        <w:b/>
        <w:sz w:val="28"/>
      </w:rPr>
      <w:fldChar w:fldCharType="end"/>
    </w:r>
    <w:r w:rsidR="002800A4">
      <w:rPr>
        <w:b/>
        <w:sz w:val="28"/>
      </w:rPr>
      <w:tab/>
      <w:t xml:space="preserve"> IEEE P802.</w:t>
    </w:r>
    <w:r w:rsidR="001E7552" w:rsidRPr="001E7552">
      <w:t xml:space="preserve"> </w:t>
    </w:r>
    <w:r w:rsidR="001E7552" w:rsidRPr="001E7552">
      <w:rPr>
        <w:b/>
        <w:sz w:val="28"/>
      </w:rPr>
      <w:t>24-13-0038-00-0000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7AB" w:rsidRDefault="002800A4">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6E4F36"/>
    <w:multiLevelType w:val="hybridMultilevel"/>
    <w:tmpl w:val="A63A7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0402FB"/>
    <w:multiLevelType w:val="hybridMultilevel"/>
    <w:tmpl w:val="2A5A056C"/>
    <w:lvl w:ilvl="0" w:tplc="0409000F">
      <w:start w:val="1"/>
      <w:numFmt w:val="decimal"/>
      <w:lvlText w:val="%1."/>
      <w:lvlJc w:val="left"/>
      <w:pPr>
        <w:ind w:left="924" w:hanging="360"/>
      </w:p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2">
    <w:nsid w:val="435C7147"/>
    <w:multiLevelType w:val="hybridMultilevel"/>
    <w:tmpl w:val="1B9C72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080971"/>
    <w:multiLevelType w:val="hybridMultilevel"/>
    <w:tmpl w:val="BC78C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2F1913"/>
    <w:multiLevelType w:val="hybridMultilevel"/>
    <w:tmpl w:val="0B787AF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88F3031"/>
    <w:multiLevelType w:val="hybridMultilevel"/>
    <w:tmpl w:val="0A4E976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CD05217"/>
    <w:multiLevelType w:val="hybridMultilevel"/>
    <w:tmpl w:val="C2049B6C"/>
    <w:lvl w:ilvl="0" w:tplc="9142FB0A">
      <w:numFmt w:val="bullet"/>
      <w:lvlText w:val="•"/>
      <w:lvlJc w:val="left"/>
      <w:pPr>
        <w:ind w:left="660" w:hanging="456"/>
      </w:pPr>
      <w:rPr>
        <w:rFonts w:ascii="Calibri" w:eastAsiaTheme="minorHAnsi" w:hAnsi="Calibri" w:cstheme="minorBidi" w:hint="default"/>
      </w:rPr>
    </w:lvl>
    <w:lvl w:ilvl="1" w:tplc="F378C476">
      <w:numFmt w:val="bullet"/>
      <w:lvlText w:val="–"/>
      <w:lvlJc w:val="left"/>
      <w:pPr>
        <w:ind w:left="1332" w:hanging="408"/>
      </w:pPr>
      <w:rPr>
        <w:rFonts w:ascii="Calibri" w:eastAsiaTheme="minorHAnsi" w:hAnsi="Calibri" w:cstheme="minorBidi" w:hint="default"/>
      </w:rPr>
    </w:lvl>
    <w:lvl w:ilvl="2" w:tplc="04090005" w:tentative="1">
      <w:start w:val="1"/>
      <w:numFmt w:val="bullet"/>
      <w:lvlText w:val=""/>
      <w:lvlJc w:val="left"/>
      <w:pPr>
        <w:ind w:left="2004" w:hanging="360"/>
      </w:pPr>
      <w:rPr>
        <w:rFonts w:ascii="Wingdings" w:hAnsi="Wingdings" w:hint="default"/>
      </w:rPr>
    </w:lvl>
    <w:lvl w:ilvl="3" w:tplc="04090001" w:tentative="1">
      <w:start w:val="1"/>
      <w:numFmt w:val="bullet"/>
      <w:lvlText w:val=""/>
      <w:lvlJc w:val="left"/>
      <w:pPr>
        <w:ind w:left="2724" w:hanging="360"/>
      </w:pPr>
      <w:rPr>
        <w:rFonts w:ascii="Symbol" w:hAnsi="Symbol" w:hint="default"/>
      </w:rPr>
    </w:lvl>
    <w:lvl w:ilvl="4" w:tplc="04090003" w:tentative="1">
      <w:start w:val="1"/>
      <w:numFmt w:val="bullet"/>
      <w:lvlText w:val="o"/>
      <w:lvlJc w:val="left"/>
      <w:pPr>
        <w:ind w:left="3444" w:hanging="360"/>
      </w:pPr>
      <w:rPr>
        <w:rFonts w:ascii="Courier New" w:hAnsi="Courier New" w:cs="Courier New" w:hint="default"/>
      </w:rPr>
    </w:lvl>
    <w:lvl w:ilvl="5" w:tplc="04090005" w:tentative="1">
      <w:start w:val="1"/>
      <w:numFmt w:val="bullet"/>
      <w:lvlText w:val=""/>
      <w:lvlJc w:val="left"/>
      <w:pPr>
        <w:ind w:left="4164" w:hanging="360"/>
      </w:pPr>
      <w:rPr>
        <w:rFonts w:ascii="Wingdings" w:hAnsi="Wingdings" w:hint="default"/>
      </w:rPr>
    </w:lvl>
    <w:lvl w:ilvl="6" w:tplc="04090001" w:tentative="1">
      <w:start w:val="1"/>
      <w:numFmt w:val="bullet"/>
      <w:lvlText w:val=""/>
      <w:lvlJc w:val="left"/>
      <w:pPr>
        <w:ind w:left="4884" w:hanging="360"/>
      </w:pPr>
      <w:rPr>
        <w:rFonts w:ascii="Symbol" w:hAnsi="Symbol" w:hint="default"/>
      </w:rPr>
    </w:lvl>
    <w:lvl w:ilvl="7" w:tplc="04090003" w:tentative="1">
      <w:start w:val="1"/>
      <w:numFmt w:val="bullet"/>
      <w:lvlText w:val="o"/>
      <w:lvlJc w:val="left"/>
      <w:pPr>
        <w:ind w:left="5604" w:hanging="360"/>
      </w:pPr>
      <w:rPr>
        <w:rFonts w:ascii="Courier New" w:hAnsi="Courier New" w:cs="Courier New" w:hint="default"/>
      </w:rPr>
    </w:lvl>
    <w:lvl w:ilvl="8" w:tplc="04090005" w:tentative="1">
      <w:start w:val="1"/>
      <w:numFmt w:val="bullet"/>
      <w:lvlText w:val=""/>
      <w:lvlJc w:val="left"/>
      <w:pPr>
        <w:ind w:left="6324" w:hanging="360"/>
      </w:pPr>
      <w:rPr>
        <w:rFonts w:ascii="Wingdings" w:hAnsi="Wingdings" w:hint="default"/>
      </w:rPr>
    </w:lvl>
  </w:abstractNum>
  <w:abstractNum w:abstractNumId="7">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7"/>
  </w:num>
  <w:num w:numId="2">
    <w:abstractNumId w:val="2"/>
  </w:num>
  <w:num w:numId="3">
    <w:abstractNumId w:val="6"/>
  </w:num>
  <w:num w:numId="4">
    <w:abstractNumId w:val="1"/>
  </w:num>
  <w:num w:numId="5">
    <w:abstractNumId w:val="0"/>
  </w:num>
  <w:num w:numId="6">
    <w:abstractNumId w:val="3"/>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rsids>
    <w:rsidRoot w:val="00A240F0"/>
    <w:rsid w:val="00005711"/>
    <w:rsid w:val="00125955"/>
    <w:rsid w:val="001773F6"/>
    <w:rsid w:val="001E7552"/>
    <w:rsid w:val="002800A4"/>
    <w:rsid w:val="0042089F"/>
    <w:rsid w:val="004227C1"/>
    <w:rsid w:val="00483BDB"/>
    <w:rsid w:val="00496490"/>
    <w:rsid w:val="0052092B"/>
    <w:rsid w:val="006D4876"/>
    <w:rsid w:val="0082105F"/>
    <w:rsid w:val="0084733D"/>
    <w:rsid w:val="00881F41"/>
    <w:rsid w:val="008A5331"/>
    <w:rsid w:val="008E1D10"/>
    <w:rsid w:val="009314F9"/>
    <w:rsid w:val="00A0237B"/>
    <w:rsid w:val="00A0752B"/>
    <w:rsid w:val="00A240F0"/>
    <w:rsid w:val="00A417AB"/>
    <w:rsid w:val="00B00ECF"/>
    <w:rsid w:val="00B36D42"/>
    <w:rsid w:val="00B51850"/>
    <w:rsid w:val="00B70990"/>
    <w:rsid w:val="00BD2AD6"/>
    <w:rsid w:val="00C37938"/>
    <w:rsid w:val="00D67EEC"/>
    <w:rsid w:val="00D844A0"/>
    <w:rsid w:val="00F563DC"/>
    <w:rsid w:val="00FB4C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3DC"/>
    <w:rPr>
      <w:rFonts w:ascii="Times New Roman" w:hAnsi="Times New Roman"/>
      <w:sz w:val="24"/>
    </w:rPr>
  </w:style>
  <w:style w:type="paragraph" w:styleId="Heading1">
    <w:name w:val="heading 1"/>
    <w:basedOn w:val="Normal"/>
    <w:next w:val="Normal"/>
    <w:qFormat/>
    <w:rsid w:val="00F563DC"/>
    <w:pPr>
      <w:keepNext/>
      <w:spacing w:before="240" w:after="60"/>
      <w:outlineLvl w:val="0"/>
    </w:pPr>
    <w:rPr>
      <w:rFonts w:ascii="Arial" w:hAnsi="Arial"/>
      <w:b/>
      <w:kern w:val="28"/>
      <w:sz w:val="28"/>
      <w:u w:val="double"/>
    </w:rPr>
  </w:style>
  <w:style w:type="paragraph" w:styleId="Heading2">
    <w:name w:val="heading 2"/>
    <w:basedOn w:val="Normal"/>
    <w:next w:val="Normal"/>
    <w:qFormat/>
    <w:rsid w:val="00F563DC"/>
    <w:pPr>
      <w:keepNext/>
      <w:spacing w:before="240" w:after="60"/>
      <w:outlineLvl w:val="1"/>
    </w:pPr>
    <w:rPr>
      <w:rFonts w:ascii="Arial" w:hAnsi="Arial"/>
      <w:b/>
      <w:i/>
      <w:sz w:val="28"/>
      <w:u w:val="wave"/>
    </w:rPr>
  </w:style>
  <w:style w:type="paragraph" w:styleId="Heading3">
    <w:name w:val="heading 3"/>
    <w:basedOn w:val="Normal"/>
    <w:next w:val="Normal"/>
    <w:qFormat/>
    <w:rsid w:val="00F563DC"/>
    <w:pPr>
      <w:keepNext/>
      <w:tabs>
        <w:tab w:val="left" w:pos="792"/>
      </w:tabs>
      <w:spacing w:before="240" w:after="60"/>
      <w:outlineLvl w:val="2"/>
    </w:pPr>
    <w:rPr>
      <w:rFonts w:ascii="Arial" w:hAnsi="Arial"/>
      <w:sz w:val="26"/>
    </w:rPr>
  </w:style>
  <w:style w:type="paragraph" w:styleId="Heading4">
    <w:name w:val="heading 4"/>
    <w:basedOn w:val="Normal"/>
    <w:next w:val="Normal"/>
    <w:qFormat/>
    <w:rsid w:val="00F563DC"/>
    <w:pPr>
      <w:ind w:left="360"/>
      <w:outlineLvl w:val="3"/>
    </w:pPr>
    <w:rPr>
      <w:rFonts w:ascii="Times" w:hAnsi="Times"/>
      <w:u w:val="single"/>
    </w:rPr>
  </w:style>
  <w:style w:type="paragraph" w:styleId="Heading5">
    <w:name w:val="heading 5"/>
    <w:basedOn w:val="Normal"/>
    <w:next w:val="Normal"/>
    <w:qFormat/>
    <w:rsid w:val="00F563DC"/>
    <w:pPr>
      <w:spacing w:before="240" w:after="60"/>
      <w:outlineLvl w:val="4"/>
    </w:pPr>
    <w:rPr>
      <w:sz w:val="22"/>
      <w:u w:val="single"/>
    </w:rPr>
  </w:style>
  <w:style w:type="paragraph" w:styleId="Heading6">
    <w:name w:val="heading 6"/>
    <w:basedOn w:val="Normal"/>
    <w:next w:val="Normal"/>
    <w:qFormat/>
    <w:rsid w:val="00F563DC"/>
    <w:pPr>
      <w:spacing w:before="240" w:after="60"/>
      <w:outlineLvl w:val="5"/>
    </w:pPr>
    <w:rPr>
      <w:i/>
      <w:sz w:val="22"/>
    </w:rPr>
  </w:style>
  <w:style w:type="paragraph" w:styleId="Heading7">
    <w:name w:val="heading 7"/>
    <w:basedOn w:val="Normal"/>
    <w:next w:val="Normal"/>
    <w:qFormat/>
    <w:rsid w:val="00F563DC"/>
    <w:pPr>
      <w:spacing w:before="240" w:after="60"/>
      <w:outlineLvl w:val="6"/>
    </w:pPr>
    <w:rPr>
      <w:rFonts w:ascii="Arial" w:hAnsi="Arial"/>
      <w:sz w:val="20"/>
    </w:rPr>
  </w:style>
  <w:style w:type="paragraph" w:styleId="Heading8">
    <w:name w:val="heading 8"/>
    <w:basedOn w:val="Normal"/>
    <w:next w:val="Normal"/>
    <w:qFormat/>
    <w:rsid w:val="00F563DC"/>
    <w:pPr>
      <w:spacing w:before="240" w:after="60"/>
      <w:outlineLvl w:val="7"/>
    </w:pPr>
    <w:rPr>
      <w:rFonts w:ascii="Arial" w:hAnsi="Arial"/>
      <w:i/>
      <w:sz w:val="20"/>
    </w:rPr>
  </w:style>
  <w:style w:type="paragraph" w:styleId="Heading9">
    <w:name w:val="heading 9"/>
    <w:basedOn w:val="Normal"/>
    <w:next w:val="Normal"/>
    <w:qFormat/>
    <w:rsid w:val="00F563DC"/>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F563DC"/>
    <w:pPr>
      <w:tabs>
        <w:tab w:val="center" w:pos="4320"/>
        <w:tab w:val="right" w:pos="8640"/>
      </w:tabs>
    </w:pPr>
  </w:style>
  <w:style w:type="paragraph" w:styleId="Header">
    <w:name w:val="header"/>
    <w:basedOn w:val="Normal"/>
    <w:semiHidden/>
    <w:rsid w:val="00F563DC"/>
    <w:pPr>
      <w:tabs>
        <w:tab w:val="center" w:pos="4320"/>
        <w:tab w:val="right" w:pos="8640"/>
      </w:tabs>
    </w:pPr>
  </w:style>
  <w:style w:type="paragraph" w:customStyle="1" w:styleId="BitHeading">
    <w:name w:val="Bit Heading"/>
    <w:basedOn w:val="Normal"/>
    <w:rsid w:val="00F563DC"/>
    <w:pPr>
      <w:spacing w:before="120"/>
      <w:jc w:val="both"/>
    </w:pPr>
    <w:rPr>
      <w:rFonts w:ascii="Palatino" w:hAnsi="Palatino"/>
      <w:i/>
    </w:rPr>
  </w:style>
  <w:style w:type="paragraph" w:customStyle="1" w:styleId="BlockParagraph">
    <w:name w:val="BlockParagraph"/>
    <w:basedOn w:val="Normal"/>
    <w:rsid w:val="00F563DC"/>
    <w:pPr>
      <w:spacing w:before="120"/>
    </w:pPr>
    <w:rPr>
      <w:rFonts w:ascii="Palatino" w:hAnsi="Palatino"/>
    </w:rPr>
  </w:style>
  <w:style w:type="paragraph" w:customStyle="1" w:styleId="Definition">
    <w:name w:val="Definition"/>
    <w:basedOn w:val="Normal"/>
    <w:rsid w:val="00F563DC"/>
    <w:pPr>
      <w:spacing w:after="200"/>
      <w:ind w:right="-720"/>
      <w:jc w:val="both"/>
    </w:pPr>
    <w:rPr>
      <w:rFonts w:ascii="New Century Schlbk" w:hAnsi="New Century Schlbk"/>
      <w:sz w:val="20"/>
    </w:rPr>
  </w:style>
  <w:style w:type="paragraph" w:styleId="BodyText">
    <w:name w:val="Body Text"/>
    <w:basedOn w:val="Normal"/>
    <w:semiHidden/>
    <w:rsid w:val="00F563DC"/>
    <w:rPr>
      <w:color w:val="000000"/>
    </w:rPr>
  </w:style>
  <w:style w:type="paragraph" w:styleId="DocumentMap">
    <w:name w:val="Document Map"/>
    <w:basedOn w:val="Normal"/>
    <w:semiHidden/>
    <w:rsid w:val="00F563DC"/>
    <w:pPr>
      <w:shd w:val="clear" w:color="auto" w:fill="000080"/>
    </w:pPr>
    <w:rPr>
      <w:rFonts w:ascii="Tahoma" w:hAnsi="Tahoma"/>
    </w:rPr>
  </w:style>
  <w:style w:type="character" w:styleId="PageNumber">
    <w:name w:val="page number"/>
    <w:basedOn w:val="DefaultParagraphFont"/>
    <w:semiHidden/>
    <w:rsid w:val="00F563DC"/>
  </w:style>
  <w:style w:type="paragraph" w:customStyle="1" w:styleId="covertext">
    <w:name w:val="cover text"/>
    <w:basedOn w:val="Normal"/>
    <w:rsid w:val="00F563DC"/>
    <w:pPr>
      <w:spacing w:before="120" w:after="120"/>
    </w:pPr>
  </w:style>
  <w:style w:type="paragraph" w:styleId="NoSpacing">
    <w:name w:val="No Spacing"/>
    <w:uiPriority w:val="1"/>
    <w:qFormat/>
    <w:rsid w:val="00881F41"/>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FB4CD9"/>
    <w:rPr>
      <w:rFonts w:ascii="Tahoma" w:hAnsi="Tahoma" w:cs="Tahoma"/>
      <w:sz w:val="16"/>
      <w:szCs w:val="16"/>
    </w:rPr>
  </w:style>
  <w:style w:type="character" w:customStyle="1" w:styleId="BalloonTextChar">
    <w:name w:val="Balloon Text Char"/>
    <w:basedOn w:val="DefaultParagraphFont"/>
    <w:link w:val="BalloonText"/>
    <w:uiPriority w:val="99"/>
    <w:semiHidden/>
    <w:rsid w:val="00FB4CD9"/>
    <w:rPr>
      <w:rFonts w:ascii="Tahoma" w:hAnsi="Tahoma" w:cs="Tahoma"/>
      <w:sz w:val="16"/>
      <w:szCs w:val="16"/>
    </w:rPr>
  </w:style>
  <w:style w:type="character" w:styleId="Hyperlink">
    <w:name w:val="Hyperlink"/>
    <w:basedOn w:val="DefaultParagraphFont"/>
    <w:uiPriority w:val="99"/>
    <w:unhideWhenUsed/>
    <w:rsid w:val="00BD2AD6"/>
    <w:rPr>
      <w:color w:val="0000FF" w:themeColor="hyperlink"/>
      <w:u w:val="single"/>
    </w:rPr>
  </w:style>
  <w:style w:type="paragraph" w:styleId="FootnoteText">
    <w:name w:val="footnote text"/>
    <w:basedOn w:val="Normal"/>
    <w:link w:val="FootnoteTextChar"/>
    <w:uiPriority w:val="99"/>
    <w:rsid w:val="00BD2AD6"/>
    <w:rPr>
      <w:sz w:val="20"/>
    </w:rPr>
  </w:style>
  <w:style w:type="character" w:customStyle="1" w:styleId="FootnoteTextChar">
    <w:name w:val="Footnote Text Char"/>
    <w:basedOn w:val="DefaultParagraphFont"/>
    <w:link w:val="FootnoteText"/>
    <w:uiPriority w:val="99"/>
    <w:rsid w:val="00BD2AD6"/>
    <w:rPr>
      <w:rFonts w:ascii="Times New Roman" w:hAnsi="Times New Roman"/>
    </w:rPr>
  </w:style>
  <w:style w:type="character" w:styleId="FootnoteReference">
    <w:name w:val="footnote reference"/>
    <w:uiPriority w:val="99"/>
    <w:semiHidden/>
    <w:rsid w:val="00BD2AD6"/>
    <w:rPr>
      <w:vertAlign w:val="superscript"/>
    </w:rPr>
  </w:style>
  <w:style w:type="paragraph" w:customStyle="1" w:styleId="Default">
    <w:name w:val="Default"/>
    <w:rsid w:val="00483BDB"/>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rtgrid.epri.com/Repository/Repository.asp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collaborate.nist.gov/twiki-sggrid/bin/view/SmartGrid/IKBUseCases" TargetMode="External"/><Relationship Id="rId4" Type="http://schemas.openxmlformats.org/officeDocument/2006/relationships/settings" Target="settings.xml"/><Relationship Id="rId9" Type="http://schemas.openxmlformats.org/officeDocument/2006/relationships/hyperlink" Target="https://mentor.ieee.org/802.24/dcn/13/24-13-0028-00-0000-draft-release-2-of-nistir-7761-2013-07-12-sgip-pap02wg-00009-pap2-v2.doc"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J\LOCALS~1\Temp\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0DCC56E7-D957-4F00-B3F0-71FE633C3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12</TotalTime>
  <Pages>4</Pages>
  <Words>723</Words>
  <Characters>4125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Minutes-TAG-July-2013</vt:lpstr>
    </vt:vector>
  </TitlesOfParts>
  <Company>Sunrise Micro Devices</Company>
  <LinksUpToDate>false</LinksUpToDate>
  <CharactersWithSpaces>4839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Minutes-TAG-July-2013</dc:title>
  <dc:creator>Tim Godfrey</dc:creator>
  <dc:description/>
  <cp:lastModifiedBy>Tim Godfrey</cp:lastModifiedBy>
  <cp:revision>6</cp:revision>
  <cp:lastPrinted>2013-07-15T15:59:00Z</cp:lastPrinted>
  <dcterms:created xsi:type="dcterms:W3CDTF">2013-09-16T12:34:00Z</dcterms:created>
  <dcterms:modified xsi:type="dcterms:W3CDTF">2013-09-16T12:44:00Z</dcterms:modified>
  <cp:category/>
</cp:coreProperties>
</file>