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12EE3" w14:textId="6F4FD6CC" w:rsidR="004B046F" w:rsidRPr="004B046F" w:rsidRDefault="004B046F" w:rsidP="004B046F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DCN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Pr="004B046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22-18-0034-00-0003</w:t>
      </w:r>
    </w:p>
    <w:p w14:paraId="2537D15E" w14:textId="77777777" w:rsidR="004B046F" w:rsidRDefault="004B046F" w:rsidP="004B046F"/>
    <w:p w14:paraId="75C0BEC8" w14:textId="10659CAA" w:rsidR="004B046F" w:rsidRDefault="004B046F" w:rsidP="004B046F">
      <w:pPr>
        <w:pStyle w:val="IEEEStdsLevel2Header"/>
        <w:numPr>
          <w:ilvl w:val="1"/>
          <w:numId w:val="5"/>
        </w:numPr>
      </w:pPr>
      <w:r>
        <w:t>Interactions</w:t>
      </w:r>
    </w:p>
    <w:p w14:paraId="7E63F5CA" w14:textId="77777777" w:rsidR="004B046F" w:rsidRDefault="004B046F" w:rsidP="004B046F">
      <w:pPr>
        <w:pStyle w:val="IEEEStdsImage"/>
        <w:rPr>
          <w:noProof/>
        </w:rPr>
      </w:pPr>
      <w:r w:rsidRPr="00D54DF5">
        <w:rPr>
          <w:noProof/>
        </w:rPr>
        <w:drawing>
          <wp:inline distT="0" distB="0" distL="0" distR="0" wp14:anchorId="15BF2940" wp14:editId="619E3918">
            <wp:extent cx="4083685" cy="2120265"/>
            <wp:effectExtent l="0" t="0" r="0" b="0"/>
            <wp:docPr id="3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93F64" w14:textId="77777777" w:rsidR="004B046F" w:rsidRDefault="004B046F" w:rsidP="004B046F">
      <w:pPr>
        <w:pStyle w:val="Caption"/>
        <w:numPr>
          <w:ilvl w:val="0"/>
          <w:numId w:val="0"/>
        </w:num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: </w:t>
      </w:r>
      <w:r w:rsidRPr="000245B0">
        <w:t>Simplified Interactions Model</w:t>
      </w:r>
    </w:p>
    <w:p w14:paraId="3861C6A8" w14:textId="77777777" w:rsidR="004B046F" w:rsidRDefault="004B046F" w:rsidP="004B046F">
      <w:pPr>
        <w:pStyle w:val="IEEEStdsParagraph"/>
      </w:pPr>
      <w:r>
        <w:t xml:space="preserve">A </w:t>
      </w:r>
      <w:proofErr w:type="spellStart"/>
      <w:r>
        <w:t>SCOS</w:t>
      </w:r>
      <w:proofErr w:type="spellEnd"/>
      <w:r>
        <w:t xml:space="preserve"> System is composed of one or more Sensor Devices and a Sensor Manager. The </w:t>
      </w:r>
      <w:proofErr w:type="spellStart"/>
      <w:r>
        <w:t>SCOS</w:t>
      </w:r>
      <w:proofErr w:type="spellEnd"/>
      <w:r>
        <w:t xml:space="preserve"> System provides sensing as a service to a </w:t>
      </w:r>
      <w:proofErr w:type="spellStart"/>
      <w:r>
        <w:t>SCOS</w:t>
      </w:r>
      <w:proofErr w:type="spellEnd"/>
      <w:r>
        <w:t xml:space="preserve"> Client, and transfers the data to an endpoint nominated by the </w:t>
      </w:r>
      <w:proofErr w:type="spellStart"/>
      <w:r>
        <w:t>SCOS</w:t>
      </w:r>
      <w:proofErr w:type="spellEnd"/>
      <w:r>
        <w:t xml:space="preserve"> Client. </w:t>
      </w:r>
    </w:p>
    <w:p w14:paraId="1A0EE104" w14:textId="77777777" w:rsidR="004B046F" w:rsidRDefault="004B046F" w:rsidP="004B046F">
      <w:pPr>
        <w:pStyle w:val="IEEEStdsParagraph"/>
        <w:numPr>
          <w:ilvl w:val="0"/>
          <w:numId w:val="4"/>
        </w:numPr>
      </w:pPr>
      <w:r>
        <w:t xml:space="preserve">The Sensing Manager has two functional areas: Control and Data Distribution. The Control Service enables the Clients of </w:t>
      </w:r>
      <w:proofErr w:type="spellStart"/>
      <w:r>
        <w:t>SCOS</w:t>
      </w:r>
      <w:proofErr w:type="spellEnd"/>
      <w:r>
        <w:t xml:space="preserve"> system to do resource discovery and to make requests for sensing data. The </w:t>
      </w:r>
      <w:proofErr w:type="spellStart"/>
      <w:r>
        <w:t>SCOS</w:t>
      </w:r>
      <w:proofErr w:type="spellEnd"/>
      <w:r>
        <w:t xml:space="preserve"> Data Distribution Service collects and transmits the sensing data which enables the </w:t>
      </w:r>
      <w:proofErr w:type="spellStart"/>
      <w:r>
        <w:t>SCOS</w:t>
      </w:r>
      <w:proofErr w:type="spellEnd"/>
      <w:r>
        <w:t xml:space="preserve"> Clients to consume the requested data. </w:t>
      </w:r>
    </w:p>
    <w:p w14:paraId="47DB22F4" w14:textId="77777777" w:rsidR="004B046F" w:rsidRDefault="004B046F" w:rsidP="004B046F">
      <w:pPr>
        <w:pStyle w:val="IEEEStdsParagraph"/>
        <w:numPr>
          <w:ilvl w:val="0"/>
          <w:numId w:val="4"/>
        </w:numPr>
      </w:pPr>
      <w:r>
        <w:t xml:space="preserve">A </w:t>
      </w:r>
      <w:proofErr w:type="spellStart"/>
      <w:r>
        <w:t>SCOS</w:t>
      </w:r>
      <w:proofErr w:type="spellEnd"/>
      <w:r>
        <w:t xml:space="preserve"> Client connects to Sensing Manager using a published address of the Sensing Manager and authenticates itself with the Sensing Manager. Upon successful authentication, the </w:t>
      </w:r>
      <w:proofErr w:type="spellStart"/>
      <w:r>
        <w:t>SCOS</w:t>
      </w:r>
      <w:proofErr w:type="spellEnd"/>
      <w:r>
        <w:t xml:space="preserve"> Client performs a query on the </w:t>
      </w:r>
      <w:proofErr w:type="spellStart"/>
      <w:r>
        <w:t>SCOS</w:t>
      </w:r>
      <w:proofErr w:type="spellEnd"/>
      <w:r>
        <w:t xml:space="preserve"> System using the resource discovery mechanism. A </w:t>
      </w:r>
      <w:proofErr w:type="spellStart"/>
      <w:r>
        <w:t>SCOS</w:t>
      </w:r>
      <w:proofErr w:type="spellEnd"/>
      <w:r>
        <w:t xml:space="preserve"> Client can then request sensing tasks to be performed by the </w:t>
      </w:r>
      <w:proofErr w:type="spellStart"/>
      <w:r>
        <w:t>SCOS</w:t>
      </w:r>
      <w:proofErr w:type="spellEnd"/>
      <w:r>
        <w:t xml:space="preserve"> System. A </w:t>
      </w:r>
      <w:proofErr w:type="spellStart"/>
      <w:r>
        <w:t>SCOS</w:t>
      </w:r>
      <w:proofErr w:type="spellEnd"/>
      <w:r>
        <w:t xml:space="preserve"> Client may request the status of the requested sensing task.</w:t>
      </w:r>
    </w:p>
    <w:p w14:paraId="3CD8D5F0" w14:textId="77777777" w:rsidR="004B046F" w:rsidRDefault="004B046F" w:rsidP="004B046F">
      <w:pPr>
        <w:pStyle w:val="IEEEStdsParagraph"/>
        <w:numPr>
          <w:ilvl w:val="0"/>
          <w:numId w:val="4"/>
        </w:numPr>
      </w:pPr>
      <w:r>
        <w:t xml:space="preserve">A Sensing Device connects to the Sensor Manager of the </w:t>
      </w:r>
      <w:proofErr w:type="spellStart"/>
      <w:r>
        <w:t>SCOS</w:t>
      </w:r>
      <w:proofErr w:type="spellEnd"/>
      <w:r>
        <w:t xml:space="preserve"> System. The Sensing Device and Sensing Manager perform mutual authentication. Upon successful authentication, the SM performs capability discovery on the SD. The SM schedules sensing tasks on the </w:t>
      </w:r>
      <w:proofErr w:type="spellStart"/>
      <w:r>
        <w:t>SDs</w:t>
      </w:r>
      <w:proofErr w:type="spellEnd"/>
      <w:r>
        <w:t xml:space="preserve">. The SM maintains periodic heartbeat with the </w:t>
      </w:r>
      <w:proofErr w:type="spellStart"/>
      <w:r>
        <w:t>SDs</w:t>
      </w:r>
      <w:proofErr w:type="spellEnd"/>
      <w:r>
        <w:t xml:space="preserve"> to maintain resource inventory and task status states.</w:t>
      </w:r>
    </w:p>
    <w:p w14:paraId="65943638" w14:textId="77777777" w:rsidR="004B046F" w:rsidRDefault="004B046F" w:rsidP="004B046F">
      <w:pPr>
        <w:pStyle w:val="IEEEStdsParagraph"/>
        <w:numPr>
          <w:ilvl w:val="0"/>
          <w:numId w:val="4"/>
        </w:numPr>
      </w:pPr>
      <w:r>
        <w:t xml:space="preserve">The </w:t>
      </w:r>
      <w:proofErr w:type="spellStart"/>
      <w:r>
        <w:t>SDs</w:t>
      </w:r>
      <w:proofErr w:type="spellEnd"/>
      <w:r>
        <w:t xml:space="preserve"> connect with the Sensing Manager Data Distribution Service. After successful mutual authentication, SD pushes the sensing data to the Sensing Manager. </w:t>
      </w:r>
    </w:p>
    <w:p w14:paraId="01F100FA" w14:textId="77777777" w:rsidR="004B046F" w:rsidRDefault="004B046F" w:rsidP="004B046F">
      <w:pPr>
        <w:pStyle w:val="IEEEStdsParagraph"/>
        <w:numPr>
          <w:ilvl w:val="0"/>
          <w:numId w:val="4"/>
        </w:numPr>
      </w:pPr>
      <w:r>
        <w:t xml:space="preserve">The Data Distribution Service distributes sensor data to the </w:t>
      </w:r>
      <w:proofErr w:type="spellStart"/>
      <w:r>
        <w:t>SCOS</w:t>
      </w:r>
      <w:proofErr w:type="spellEnd"/>
      <w:r>
        <w:t xml:space="preserve"> Client’s nominated endpoint. </w:t>
      </w:r>
    </w:p>
    <w:p w14:paraId="5586CE07" w14:textId="77777777" w:rsidR="00053BFD" w:rsidRDefault="004B046F"/>
    <w:sectPr w:rsidR="00053BFD" w:rsidSect="0040797A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8ED"/>
    <w:multiLevelType w:val="multilevel"/>
    <w:tmpl w:val="A7329A9A"/>
    <w:styleLink w:val="ListStyle1"/>
    <w:lvl w:ilvl="0">
      <w:start w:val="1"/>
      <w:numFmt w:val="decimal"/>
      <w:lvlText w:val="%1"/>
      <w:lvlJc w:val="left"/>
      <w:pPr>
        <w:ind w:left="77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608"/>
        </w:tabs>
        <w:ind w:left="2608" w:hanging="15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7" w:hanging="1800"/>
      </w:pPr>
      <w:rPr>
        <w:rFonts w:hint="default"/>
      </w:rPr>
    </w:lvl>
  </w:abstractNum>
  <w:abstractNum w:abstractNumId="1" w15:restartNumberingAfterBreak="0">
    <w:nsid w:val="1B793876"/>
    <w:multiLevelType w:val="hybridMultilevel"/>
    <w:tmpl w:val="7278C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4DA92177"/>
    <w:multiLevelType w:val="multilevel"/>
    <w:tmpl w:val="297C04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956C21"/>
    <w:multiLevelType w:val="multilevel"/>
    <w:tmpl w:val="21B80CEA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NamesList"/>
      <w:suff w:val="space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alloonText"/>
      <w:suff w:val="space"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EEEStdsLevel1HeaderChar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6F"/>
    <w:rsid w:val="00196201"/>
    <w:rsid w:val="0022516D"/>
    <w:rsid w:val="002B23F6"/>
    <w:rsid w:val="0040797A"/>
    <w:rsid w:val="004B046F"/>
    <w:rsid w:val="00615CB4"/>
    <w:rsid w:val="00AE48F8"/>
    <w:rsid w:val="00B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A3E3"/>
  <w14:defaultImageDpi w14:val="32767"/>
  <w15:chartTrackingRefBased/>
  <w15:docId w15:val="{C66F4647-F8C0-FE4B-B245-5ACC46F9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Style1">
    <w:name w:val="ListStyle1"/>
    <w:uiPriority w:val="99"/>
    <w:rsid w:val="00B85E34"/>
    <w:pPr>
      <w:numPr>
        <w:numId w:val="1"/>
      </w:numPr>
    </w:pPr>
  </w:style>
  <w:style w:type="paragraph" w:customStyle="1" w:styleId="IEEEStdsParagraph">
    <w:name w:val="IEEEStds Paragraph"/>
    <w:link w:val="IEEEStdsParagraphChar"/>
    <w:qFormat/>
    <w:rsid w:val="004B046F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EEEStdsParagraphChar">
    <w:name w:val="IEEEStds Paragraph Char"/>
    <w:link w:val="IEEEStdsParagraph"/>
    <w:rsid w:val="004B04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EEEStdsLevel1frontmatter">
    <w:name w:val="IEEEStds Level 1 (front matter)"/>
    <w:basedOn w:val="IEEEStdsParagraph"/>
    <w:next w:val="IEEEStdsParagraph"/>
    <w:rsid w:val="004B046F"/>
    <w:pPr>
      <w:keepNext/>
      <w:keepLines/>
      <w:numPr>
        <w:numId w:val="3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4B046F"/>
    <w:rPr>
      <w:rFonts w:ascii="Arial" w:hAnsi="Arial"/>
      <w:b/>
      <w:sz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4B046F"/>
    <w:pPr>
      <w:numPr>
        <w:ilvl w:val="2"/>
        <w:numId w:val="3"/>
      </w:numPr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6F"/>
    <w:rPr>
      <w:rFonts w:ascii="Tahoma" w:eastAsia="Times New Roman" w:hAnsi="Tahoma" w:cs="Tahoma"/>
      <w:sz w:val="16"/>
      <w:szCs w:val="16"/>
      <w:lang w:val="en-US"/>
    </w:rPr>
  </w:style>
  <w:style w:type="paragraph" w:customStyle="1" w:styleId="IEEEStdsNamesList">
    <w:name w:val="IEEEStds Names List"/>
    <w:rsid w:val="004B046F"/>
    <w:pPr>
      <w:numPr>
        <w:ilvl w:val="1"/>
        <w:numId w:val="3"/>
      </w:numPr>
      <w:ind w:left="144" w:hanging="144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IEEEStdsLevel4Header">
    <w:name w:val="IEEEStds Level 4 Header"/>
    <w:basedOn w:val="IEEEStdsLevel3Header"/>
    <w:next w:val="IEEEStdsParagraph"/>
    <w:qFormat/>
    <w:rsid w:val="004B046F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qFormat/>
    <w:rsid w:val="004B046F"/>
    <w:pPr>
      <w:numPr>
        <w:ilvl w:val="5"/>
        <w:numId w:val="3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link w:val="IEEEStdsLevel2HeaderChar"/>
    <w:qFormat/>
    <w:rsid w:val="004B046F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eastAsia="Times New Roman" w:hAnsi="Arial" w:cs="Times New Roman"/>
      <w:b/>
      <w:sz w:val="22"/>
      <w:szCs w:val="20"/>
      <w:lang w:val="en-US"/>
    </w:rPr>
  </w:style>
  <w:style w:type="character" w:customStyle="1" w:styleId="IEEEStdsLevel2HeaderChar">
    <w:name w:val="IEEEStds Level 2 Header Char"/>
    <w:link w:val="IEEEStdsLevel2Header"/>
    <w:rsid w:val="004B046F"/>
    <w:rPr>
      <w:rFonts w:ascii="Arial" w:eastAsia="Times New Roman" w:hAnsi="Arial" w:cs="Times New Roman"/>
      <w:b/>
      <w:sz w:val="22"/>
      <w:szCs w:val="20"/>
      <w:lang w:val="en-US"/>
    </w:rPr>
  </w:style>
  <w:style w:type="paragraph" w:customStyle="1" w:styleId="IEEEStdsIntroduction">
    <w:name w:val="IEEEStds Introduction"/>
    <w:basedOn w:val="IEEEStdsParagraph"/>
    <w:rsid w:val="004B046F"/>
    <w:pPr>
      <w:numPr>
        <w:ilvl w:val="6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4B046F"/>
    <w:pPr>
      <w:numPr>
        <w:ilvl w:val="7"/>
        <w:numId w:val="3"/>
      </w:numPr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Caption">
    <w:name w:val="caption"/>
    <w:next w:val="IEEEStdsParagraph"/>
    <w:qFormat/>
    <w:rsid w:val="004B046F"/>
    <w:pPr>
      <w:keepLines/>
      <w:numPr>
        <w:ilvl w:val="8"/>
        <w:numId w:val="3"/>
      </w:numPr>
      <w:suppressAutoHyphens/>
      <w:spacing w:before="120" w:after="120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IEEEStdsImage">
    <w:name w:val="IEEEStds Image"/>
    <w:basedOn w:val="IEEEStdsParagraph"/>
    <w:next w:val="IEEEStdsParagraph"/>
    <w:rsid w:val="004B046F"/>
    <w:pPr>
      <w:keepNext/>
      <w:keepLines/>
      <w:spacing w:before="24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Hislop (IS)</dc:creator>
  <cp:keywords/>
  <dc:description/>
  <cp:lastModifiedBy>Roger Hislop (IS)</cp:lastModifiedBy>
  <cp:revision>1</cp:revision>
  <dcterms:created xsi:type="dcterms:W3CDTF">2018-09-25T08:52:00Z</dcterms:created>
  <dcterms:modified xsi:type="dcterms:W3CDTF">2018-09-25T09:00:00Z</dcterms:modified>
</cp:coreProperties>
</file>