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5A82C" w14:textId="77777777" w:rsidR="003011B2" w:rsidRPr="003011B2" w:rsidRDefault="003011B2" w:rsidP="003011B2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proofErr w:type="spellStart"/>
      <w:r w:rsidRPr="003011B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DCN</w:t>
      </w:r>
      <w:proofErr w:type="spellEnd"/>
      <w:r w:rsidRPr="003011B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</w:t>
      </w:r>
      <w:r w:rsidRPr="003011B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22-18-0032-00-0003</w:t>
      </w:r>
    </w:p>
    <w:p w14:paraId="5280394B" w14:textId="77777777" w:rsidR="003011B2" w:rsidRDefault="003011B2" w:rsidP="003011B2"/>
    <w:p w14:paraId="64E22A42" w14:textId="130B9089" w:rsidR="003011B2" w:rsidRDefault="003011B2" w:rsidP="003011B2">
      <w:pPr>
        <w:pStyle w:val="IEEEStdsLevel2Header"/>
        <w:numPr>
          <w:ilvl w:val="1"/>
          <w:numId w:val="4"/>
        </w:numPr>
      </w:pPr>
      <w:r>
        <w:t>System Requirements</w:t>
      </w:r>
    </w:p>
    <w:p w14:paraId="537C0DAD" w14:textId="77777777" w:rsidR="003011B2" w:rsidRDefault="003011B2" w:rsidP="003011B2">
      <w:pPr>
        <w:pStyle w:val="IEEEStdsParagraph"/>
      </w:pPr>
      <w:r>
        <w:t xml:space="preserve">The two key entities in this standard are the Sensing Manager (SM) and one or more Sensing Devices (SD), which make up the </w:t>
      </w:r>
      <w:proofErr w:type="spellStart"/>
      <w:r>
        <w:t>SCOS</w:t>
      </w:r>
      <w:proofErr w:type="spellEnd"/>
      <w:r>
        <w:t xml:space="preserve"> System. The interfaces between these entities are summaries in </w:t>
      </w:r>
      <w:r>
        <w:fldChar w:fldCharType="begin"/>
      </w:r>
      <w:r>
        <w:instrText xml:space="preserve"> REF _Ref519076676 \h </w:instrText>
      </w:r>
      <w:r>
        <w:fldChar w:fldCharType="separate"/>
      </w:r>
      <w:r>
        <w:t xml:space="preserve">Figure </w:t>
      </w:r>
      <w:r>
        <w:rPr>
          <w:noProof/>
        </w:rPr>
        <w:t>3</w:t>
      </w:r>
      <w:r>
        <w:t>: System Entities and Interfaces</w:t>
      </w:r>
      <w:r>
        <w:fldChar w:fldCharType="end"/>
      </w:r>
      <w:r>
        <w:t>.</w:t>
      </w:r>
    </w:p>
    <w:p w14:paraId="59258EAC" w14:textId="77777777" w:rsidR="003011B2" w:rsidRDefault="003011B2" w:rsidP="003011B2">
      <w:pPr>
        <w:pStyle w:val="IEEEStdsParagraph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F99F2E" wp14:editId="785CB04D">
            <wp:simplePos x="0" y="0"/>
            <wp:positionH relativeFrom="character">
              <wp:posOffset>0</wp:posOffset>
            </wp:positionH>
            <wp:positionV relativeFrom="line">
              <wp:posOffset>-117475</wp:posOffset>
            </wp:positionV>
            <wp:extent cx="4580255" cy="3112770"/>
            <wp:effectExtent l="0" t="0" r="0" b="0"/>
            <wp:wrapNone/>
            <wp:docPr id="17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311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47F46" wp14:editId="56F3594D">
                <wp:simplePos x="0" y="0"/>
                <wp:positionH relativeFrom="column">
                  <wp:posOffset>454025</wp:posOffset>
                </wp:positionH>
                <wp:positionV relativeFrom="paragraph">
                  <wp:posOffset>2945130</wp:posOffset>
                </wp:positionV>
                <wp:extent cx="4580255" cy="298450"/>
                <wp:effectExtent l="0" t="0" r="0" b="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02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19C5A" w14:textId="77777777" w:rsidR="003011B2" w:rsidRPr="00516D2B" w:rsidRDefault="003011B2" w:rsidP="003011B2">
                            <w:pPr>
                              <w:pStyle w:val="Caption"/>
                              <w:numPr>
                                <w:ilvl w:val="0"/>
                                <w:numId w:val="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bookmarkStart w:id="1" w:name="_Ref519076676"/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t>: System Entities and Interfaces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47F4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5.75pt;margin-top:231.9pt;width:360.6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" stroked="f">
                <v:path arrowok="t"/>
                <v:textbox style="mso-fit-shape-to-text:t" inset="0,0,0,0">
                  <w:txbxContent>
                    <w:p w14:paraId="38B19C5A" w14:textId="77777777" w:rsidR="003011B2" w:rsidRPr="00516D2B" w:rsidRDefault="003011B2" w:rsidP="003011B2">
                      <w:pPr>
                        <w:pStyle w:val="Caption"/>
                        <w:numPr>
                          <w:ilvl w:val="0"/>
                          <w:numId w:val="0"/>
                        </w:numPr>
                        <w:rPr>
                          <w:rFonts w:ascii="Times New Roman" w:hAnsi="Times New Roman"/>
                        </w:rPr>
                      </w:pPr>
                      <w:bookmarkStart w:id="2" w:name="_Ref519076676"/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r>
                        <w:t>: System Entities and Interfaces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0B5B3A4" wp14:editId="65B97E28">
                <wp:extent cx="4580890" cy="3114040"/>
                <wp:effectExtent l="0" t="0" r="0" b="0"/>
                <wp:docPr id="5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0890" cy="311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690AA5" id="AutoShape 30" o:spid="_x0000_s1026" style="width:360.7pt;height:24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" filled="f" stroked="f">
                <v:path arrowok="t"/>
                <w10:anchorlock/>
              </v:rect>
            </w:pict>
          </mc:Fallback>
        </mc:AlternateContent>
      </w:r>
    </w:p>
    <w:p w14:paraId="10DF3ABF" w14:textId="77777777" w:rsidR="003011B2" w:rsidRDefault="003011B2" w:rsidP="003011B2">
      <w:pPr>
        <w:pStyle w:val="IEEEStdsParagraph"/>
      </w:pPr>
      <w:r>
        <w:t>The SM and SD entities interact via two key types of services: Control Services, and Data Distribution Services:</w:t>
      </w:r>
    </w:p>
    <w:p w14:paraId="5EDD7831" w14:textId="77777777" w:rsidR="003011B2" w:rsidRDefault="003011B2" w:rsidP="003011B2">
      <w:pPr>
        <w:pStyle w:val="IEEEStdsParagraph"/>
      </w:pPr>
      <w:proofErr w:type="spellStart"/>
      <w:r w:rsidRPr="00545264">
        <w:rPr>
          <w:b/>
        </w:rPr>
        <w:t>SCOS</w:t>
      </w:r>
      <w:proofErr w:type="spellEnd"/>
      <w:r w:rsidRPr="00545264">
        <w:rPr>
          <w:b/>
        </w:rPr>
        <w:t xml:space="preserve"> Control:</w:t>
      </w:r>
      <w:r>
        <w:t xml:space="preserve"> Sensing task management and sensing device control form the </w:t>
      </w:r>
      <w:proofErr w:type="spellStart"/>
      <w:r>
        <w:t>SCOS</w:t>
      </w:r>
      <w:proofErr w:type="spellEnd"/>
      <w:r>
        <w:t xml:space="preserve"> Control Service. It involves the transfer and processing of sensing task requests from the </w:t>
      </w:r>
      <w:proofErr w:type="spellStart"/>
      <w:r>
        <w:t>SCOS</w:t>
      </w:r>
      <w:proofErr w:type="spellEnd"/>
      <w:r>
        <w:t xml:space="preserve"> Clients and scheduling the sensing tasks to Sensing Devices. In this standards document, the </w:t>
      </w:r>
      <w:proofErr w:type="spellStart"/>
      <w:r>
        <w:t>SCOS</w:t>
      </w:r>
      <w:proofErr w:type="spellEnd"/>
      <w:r>
        <w:t xml:space="preserve"> Control Service is defined normatively only around sensing tasks. Control Service activities for system configuration, management and monitoring tasks are described in informative annexes (Annex </w:t>
      </w:r>
      <w:proofErr w:type="spellStart"/>
      <w:r>
        <w:t>XXXxx</w:t>
      </w:r>
      <w:proofErr w:type="spellEnd"/>
      <w:r>
        <w:t xml:space="preserve">), and considered out of scope of the normative standard as they are implementation dependent. </w:t>
      </w:r>
    </w:p>
    <w:p w14:paraId="7158E297" w14:textId="77777777" w:rsidR="003011B2" w:rsidRDefault="003011B2" w:rsidP="003011B2">
      <w:pPr>
        <w:pStyle w:val="IEEEStdsParagraph"/>
      </w:pPr>
      <w:proofErr w:type="spellStart"/>
      <w:r w:rsidRPr="00545264">
        <w:rPr>
          <w:b/>
        </w:rPr>
        <w:t>SCOS</w:t>
      </w:r>
      <w:proofErr w:type="spellEnd"/>
      <w:r w:rsidRPr="00545264">
        <w:rPr>
          <w:b/>
        </w:rPr>
        <w:t xml:space="preserve"> Data Distribution</w:t>
      </w:r>
      <w:r>
        <w:t xml:space="preserve">: This functional area involves collecting sensor data generated and locally processed by the Sensing Device, packaging of this data with related metadata and finally distributing it to the </w:t>
      </w:r>
      <w:proofErr w:type="spellStart"/>
      <w:r>
        <w:t>SCOS</w:t>
      </w:r>
      <w:proofErr w:type="spellEnd"/>
      <w:r>
        <w:t xml:space="preserve"> Clients for consumption. Data Distribution is done via any suitable transport mechanism, and is defined in terms of functional requirements in this standard as the technical method is implementation specific. </w:t>
      </w:r>
    </w:p>
    <w:p w14:paraId="1B255F33" w14:textId="77777777" w:rsidR="00053BFD" w:rsidRDefault="003011B2"/>
    <w:sectPr w:rsidR="00053BFD" w:rsidSect="0040797A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8ED"/>
    <w:multiLevelType w:val="multilevel"/>
    <w:tmpl w:val="A7329A9A"/>
    <w:styleLink w:val="ListStyle1"/>
    <w:lvl w:ilvl="0">
      <w:start w:val="1"/>
      <w:numFmt w:val="decimal"/>
      <w:lvlText w:val="%1"/>
      <w:lvlJc w:val="left"/>
      <w:pPr>
        <w:ind w:left="77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608"/>
        </w:tabs>
        <w:ind w:left="2608" w:hanging="15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7" w:hanging="1800"/>
      </w:pPr>
      <w:rPr>
        <w:rFonts w:hint="default"/>
      </w:rPr>
    </w:lvl>
  </w:abstractNum>
  <w:abstractNum w:abstractNumId="1" w15:restartNumberingAfterBreak="0">
    <w:nsid w:val="2E066083"/>
    <w:multiLevelType w:val="multilevel"/>
    <w:tmpl w:val="8154F1AC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 w15:restartNumberingAfterBreak="0">
    <w:nsid w:val="3DB454B5"/>
    <w:multiLevelType w:val="multilevel"/>
    <w:tmpl w:val="C2802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956C21"/>
    <w:multiLevelType w:val="multilevel"/>
    <w:tmpl w:val="21B80CEA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NamesList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alloonText"/>
      <w:suff w:val="space"/>
      <w:lvlText w:val="%1.%2.%3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EEEStdsLevel1HeaderChar"/>
      <w:suff w:val="space"/>
      <w:lvlText w:val="%1.%2.%3.%4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Caption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B2"/>
    <w:rsid w:val="00196201"/>
    <w:rsid w:val="0022516D"/>
    <w:rsid w:val="002B23F6"/>
    <w:rsid w:val="003011B2"/>
    <w:rsid w:val="0040797A"/>
    <w:rsid w:val="00615CB4"/>
    <w:rsid w:val="00AE48F8"/>
    <w:rsid w:val="00B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5C8F"/>
  <w14:defaultImageDpi w14:val="32767"/>
  <w15:chartTrackingRefBased/>
  <w15:docId w15:val="{AE740CC9-B483-254D-B432-AA72B029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Style1">
    <w:name w:val="ListStyle1"/>
    <w:uiPriority w:val="99"/>
    <w:rsid w:val="00B85E34"/>
    <w:pPr>
      <w:numPr>
        <w:numId w:val="1"/>
      </w:numPr>
    </w:pPr>
  </w:style>
  <w:style w:type="paragraph" w:customStyle="1" w:styleId="IEEEStdsParagraph">
    <w:name w:val="IEEEStds Paragraph"/>
    <w:link w:val="IEEEStdsParagraphChar"/>
    <w:qFormat/>
    <w:rsid w:val="003011B2"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EEEStdsParagraphChar">
    <w:name w:val="IEEEStds Paragraph Char"/>
    <w:link w:val="IEEEStdsParagraph"/>
    <w:rsid w:val="003011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EEEStdsLevel1frontmatter">
    <w:name w:val="IEEEStds Level 1 (front matter)"/>
    <w:basedOn w:val="IEEEStdsParagraph"/>
    <w:next w:val="IEEEStdsParagraph"/>
    <w:rsid w:val="003011B2"/>
    <w:pPr>
      <w:keepNext/>
      <w:keepLines/>
      <w:numPr>
        <w:numId w:val="3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3011B2"/>
    <w:rPr>
      <w:rFonts w:ascii="Arial" w:hAnsi="Arial"/>
      <w:b/>
      <w:sz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3011B2"/>
    <w:pPr>
      <w:numPr>
        <w:ilvl w:val="2"/>
        <w:numId w:val="3"/>
      </w:numPr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1B2"/>
    <w:rPr>
      <w:rFonts w:ascii="Tahoma" w:eastAsia="Times New Roman" w:hAnsi="Tahoma" w:cs="Tahoma"/>
      <w:sz w:val="16"/>
      <w:szCs w:val="16"/>
      <w:lang w:val="en-US"/>
    </w:rPr>
  </w:style>
  <w:style w:type="paragraph" w:customStyle="1" w:styleId="IEEEStdsNamesList">
    <w:name w:val="IEEEStds Names List"/>
    <w:rsid w:val="003011B2"/>
    <w:pPr>
      <w:numPr>
        <w:ilvl w:val="1"/>
        <w:numId w:val="3"/>
      </w:numPr>
      <w:ind w:left="144" w:hanging="144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IEEEStdsLevel4Header">
    <w:name w:val="IEEEStds Level 4 Header"/>
    <w:basedOn w:val="IEEEStdsLevel3Header"/>
    <w:next w:val="IEEEStdsParagraph"/>
    <w:qFormat/>
    <w:rsid w:val="003011B2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qFormat/>
    <w:rsid w:val="003011B2"/>
    <w:pPr>
      <w:numPr>
        <w:ilvl w:val="5"/>
        <w:numId w:val="3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link w:val="IEEEStdsLevel2HeaderChar"/>
    <w:qFormat/>
    <w:rsid w:val="003011B2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eastAsia="Times New Roman" w:hAnsi="Arial" w:cs="Times New Roman"/>
      <w:b/>
      <w:sz w:val="22"/>
      <w:szCs w:val="20"/>
      <w:lang w:val="en-US"/>
    </w:rPr>
  </w:style>
  <w:style w:type="character" w:customStyle="1" w:styleId="IEEEStdsLevel2HeaderChar">
    <w:name w:val="IEEEStds Level 2 Header Char"/>
    <w:link w:val="IEEEStdsLevel2Header"/>
    <w:rsid w:val="003011B2"/>
    <w:rPr>
      <w:rFonts w:ascii="Arial" w:eastAsia="Times New Roman" w:hAnsi="Arial" w:cs="Times New Roman"/>
      <w:b/>
      <w:sz w:val="22"/>
      <w:szCs w:val="20"/>
      <w:lang w:val="en-US"/>
    </w:rPr>
  </w:style>
  <w:style w:type="paragraph" w:customStyle="1" w:styleId="IEEEStdsIntroduction">
    <w:name w:val="IEEEStds Introduction"/>
    <w:basedOn w:val="IEEEStdsParagraph"/>
    <w:rsid w:val="003011B2"/>
    <w:pPr>
      <w:numPr>
        <w:ilvl w:val="6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3011B2"/>
    <w:pPr>
      <w:numPr>
        <w:ilvl w:val="7"/>
        <w:numId w:val="3"/>
      </w:numPr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Caption">
    <w:name w:val="caption"/>
    <w:next w:val="IEEEStdsParagraph"/>
    <w:qFormat/>
    <w:rsid w:val="003011B2"/>
    <w:pPr>
      <w:keepLines/>
      <w:numPr>
        <w:ilvl w:val="8"/>
        <w:numId w:val="3"/>
      </w:numPr>
      <w:suppressAutoHyphens/>
      <w:spacing w:before="120" w:after="120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3011B2"/>
  </w:style>
  <w:style w:type="character" w:customStyle="1" w:styleId="highlight">
    <w:name w:val="highlight"/>
    <w:basedOn w:val="DefaultParagraphFont"/>
    <w:rsid w:val="0030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Hislop (IS)</dc:creator>
  <cp:keywords/>
  <dc:description/>
  <cp:lastModifiedBy>Roger Hislop (IS)</cp:lastModifiedBy>
  <cp:revision>1</cp:revision>
  <dcterms:created xsi:type="dcterms:W3CDTF">2018-09-24T11:06:00Z</dcterms:created>
  <dcterms:modified xsi:type="dcterms:W3CDTF">2018-09-24T11:09:00Z</dcterms:modified>
</cp:coreProperties>
</file>