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CC03" w14:textId="77777777" w:rsidR="004410E8" w:rsidRDefault="004410E8" w:rsidP="004410E8">
      <w:pPr>
        <w:pStyle w:val="Heading1"/>
        <w:numPr>
          <w:ilvl w:val="0"/>
          <w:numId w:val="0"/>
        </w:numPr>
        <w:rPr>
          <w:lang w:val="en-GB"/>
        </w:rPr>
      </w:pPr>
      <w:bookmarkStart w:id="0" w:name="_Toc484025432"/>
      <w:r>
        <w:rPr>
          <w:lang w:val="en-GB"/>
        </w:rPr>
        <w:t xml:space="preserve">Annex E </w:t>
      </w:r>
      <w:bookmarkStart w:id="1" w:name="_GoBack"/>
      <w:bookmarkEnd w:id="1"/>
      <w:r>
        <w:rPr>
          <w:lang w:val="en-GB"/>
        </w:rPr>
        <w:t>Informative: Latency Requirements for Scans</w:t>
      </w:r>
      <w:bookmarkEnd w:id="0"/>
    </w:p>
    <w:p w14:paraId="1C6E5FCA" w14:textId="77777777" w:rsidR="004410E8" w:rsidRDefault="004410E8" w:rsidP="004410E8">
      <w:pPr>
        <w:pStyle w:val="IEEEStdsParagraph"/>
        <w:rPr>
          <w:lang w:val="en-GB"/>
        </w:rPr>
      </w:pPr>
      <w:r>
        <w:rPr>
          <w:lang w:val="en-GB"/>
        </w:rPr>
        <w:t>T</w:t>
      </w:r>
      <w:r w:rsidRPr="00884889">
        <w:rPr>
          <w:lang w:val="en-GB"/>
        </w:rPr>
        <w:t xml:space="preserve">he latency requirement for performing a sensing task and transmitting metadata from SSD to </w:t>
      </w:r>
      <w:r>
        <w:rPr>
          <w:lang w:val="en-GB"/>
        </w:rPr>
        <w:t>SDM is a critical metric for certain use cases.</w:t>
      </w:r>
    </w:p>
    <w:p w14:paraId="515D93E9" w14:textId="77777777" w:rsidR="004410E8" w:rsidRDefault="004410E8" w:rsidP="004410E8">
      <w:pPr>
        <w:pStyle w:val="IEEEStdsParagraph"/>
        <w:rPr>
          <w:lang w:val="en-GB"/>
        </w:rPr>
      </w:pPr>
    </w:p>
    <w:p w14:paraId="0E002F15" w14:textId="77777777" w:rsidR="004410E8" w:rsidRDefault="004410E8" w:rsidP="004410E8">
      <w:pPr>
        <w:pStyle w:val="IEEEStdsParagraph"/>
        <w:rPr>
          <w:lang w:val="en-GB"/>
        </w:rPr>
      </w:pPr>
      <w:r w:rsidRPr="00884889">
        <w:rPr>
          <w:lang w:val="en-GB"/>
        </w:rPr>
        <w:t>The maximum allowed latency depends on signal type and frequencies that need to be scanned</w:t>
      </w:r>
      <w:r>
        <w:rPr>
          <w:lang w:val="en-GB"/>
        </w:rPr>
        <w:t xml:space="preserve">, and are determined by the application. As such, a number of reference applications are given, with recommended latencies. In each case, to meet the specified latency, the SCOS system design and particular implementation would need to be capable.  </w:t>
      </w:r>
    </w:p>
    <w:p w14:paraId="381AFF83" w14:textId="77777777" w:rsidR="004410E8" w:rsidRDefault="004410E8" w:rsidP="004410E8">
      <w:pPr>
        <w:pStyle w:val="IEEEStdsParagraph"/>
        <w:rPr>
          <w:lang w:val="en-GB"/>
        </w:rPr>
      </w:pPr>
    </w:p>
    <w:p w14:paraId="7EC917FB" w14:textId="77777777" w:rsidR="004410E8" w:rsidRDefault="004410E8" w:rsidP="004410E8">
      <w:pPr>
        <w:pStyle w:val="IEEEStdsParagraph"/>
        <w:rPr>
          <w:lang w:val="en-GB"/>
        </w:rPr>
      </w:pPr>
      <w:r>
        <w:rPr>
          <w:lang w:val="en-GB"/>
        </w:rPr>
        <w:t>Maximum Latency would be the sum of:</w:t>
      </w:r>
    </w:p>
    <w:p w14:paraId="03A9FEC2" w14:textId="77777777" w:rsidR="004410E8" w:rsidRDefault="004410E8" w:rsidP="004410E8">
      <w:pPr>
        <w:pStyle w:val="IEEEStds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Task Request Latency: Time from scan request to scan start</w:t>
      </w:r>
    </w:p>
    <w:p w14:paraId="2B9F14A5" w14:textId="77777777" w:rsidR="004410E8" w:rsidRDefault="004410E8" w:rsidP="004410E8">
      <w:pPr>
        <w:pStyle w:val="IEEEStds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Scan Time Latency: Time from scan start to scan complete</w:t>
      </w:r>
    </w:p>
    <w:p w14:paraId="10E7D250" w14:textId="77777777" w:rsidR="004410E8" w:rsidRDefault="004410E8" w:rsidP="004410E8">
      <w:pPr>
        <w:pStyle w:val="IEEEStds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Spectrum Characterisation Latency: Time from scan complete to algorithmic processing</w:t>
      </w:r>
    </w:p>
    <w:p w14:paraId="287C0EC5" w14:textId="77777777" w:rsidR="004410E8" w:rsidRDefault="004410E8" w:rsidP="004410E8">
      <w:pPr>
        <w:pStyle w:val="IEEEStds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Sensing Data Delivery Latency: Time from processing to delivery to Data Receive Point </w:t>
      </w:r>
    </w:p>
    <w:p w14:paraId="3A4F6EE3" w14:textId="77777777" w:rsidR="004410E8" w:rsidRDefault="004410E8" w:rsidP="004410E8">
      <w:pPr>
        <w:pStyle w:val="IEEEStds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410E8" w:rsidRPr="00884889" w14:paraId="13C6CF94" w14:textId="77777777" w:rsidTr="002C1C4C">
        <w:tc>
          <w:tcPr>
            <w:tcW w:w="2876" w:type="dxa"/>
          </w:tcPr>
          <w:p w14:paraId="145DD3B5" w14:textId="77777777" w:rsidR="004410E8" w:rsidRPr="00884889" w:rsidRDefault="004410E8" w:rsidP="002C1C4C">
            <w:pPr>
              <w:pStyle w:val="IEEEStdsParagraph"/>
              <w:rPr>
                <w:b/>
                <w:lang w:val="en-GB"/>
              </w:rPr>
            </w:pPr>
            <w:r w:rsidRPr="00884889">
              <w:rPr>
                <w:b/>
                <w:lang w:val="en-GB"/>
              </w:rPr>
              <w:t>Reference Application</w:t>
            </w:r>
          </w:p>
        </w:tc>
        <w:tc>
          <w:tcPr>
            <w:tcW w:w="2877" w:type="dxa"/>
          </w:tcPr>
          <w:p w14:paraId="6E8F870A" w14:textId="77777777" w:rsidR="004410E8" w:rsidRPr="00884889" w:rsidRDefault="004410E8" w:rsidP="002C1C4C">
            <w:pPr>
              <w:pStyle w:val="IEEEStds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Band Swe</w:t>
            </w:r>
            <w:r w:rsidRPr="00884889">
              <w:rPr>
                <w:b/>
                <w:lang w:val="en-GB"/>
              </w:rPr>
              <w:t>p</w:t>
            </w:r>
            <w:r>
              <w:rPr>
                <w:b/>
                <w:lang w:val="en-GB"/>
              </w:rPr>
              <w:t>t</w:t>
            </w:r>
          </w:p>
        </w:tc>
        <w:tc>
          <w:tcPr>
            <w:tcW w:w="2877" w:type="dxa"/>
          </w:tcPr>
          <w:p w14:paraId="133C84FE" w14:textId="77777777" w:rsidR="004410E8" w:rsidRPr="00884889" w:rsidRDefault="004410E8" w:rsidP="002C1C4C">
            <w:pPr>
              <w:pStyle w:val="IEEEStdsParagraph"/>
              <w:rPr>
                <w:b/>
                <w:lang w:val="en-GB"/>
              </w:rPr>
            </w:pPr>
            <w:r w:rsidRPr="00884889">
              <w:rPr>
                <w:b/>
                <w:lang w:val="en-GB"/>
              </w:rPr>
              <w:t>Maximum Latency</w:t>
            </w:r>
          </w:p>
        </w:tc>
      </w:tr>
      <w:tr w:rsidR="004410E8" w14:paraId="4D4A19CA" w14:textId="77777777" w:rsidTr="002C1C4C">
        <w:tc>
          <w:tcPr>
            <w:tcW w:w="2876" w:type="dxa"/>
          </w:tcPr>
          <w:p w14:paraId="4D16294C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TVWS Base Station Device</w:t>
            </w:r>
          </w:p>
        </w:tc>
        <w:tc>
          <w:tcPr>
            <w:tcW w:w="2877" w:type="dxa"/>
          </w:tcPr>
          <w:p w14:paraId="663B1BDA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460-760MHz</w:t>
            </w:r>
          </w:p>
        </w:tc>
        <w:tc>
          <w:tcPr>
            <w:tcW w:w="2877" w:type="dxa"/>
          </w:tcPr>
          <w:p w14:paraId="04A872D5" w14:textId="77777777" w:rsidR="004410E8" w:rsidRDefault="004410E8" w:rsidP="002C1C4C">
            <w:pPr>
              <w:pStyle w:val="IEEEStdsParagraph"/>
              <w:rPr>
                <w:lang w:val="en-GB"/>
              </w:rPr>
            </w:pPr>
          </w:p>
        </w:tc>
      </w:tr>
      <w:tr w:rsidR="004410E8" w14:paraId="6E33C7E2" w14:textId="77777777" w:rsidTr="002C1C4C">
        <w:tc>
          <w:tcPr>
            <w:tcW w:w="2876" w:type="dxa"/>
          </w:tcPr>
          <w:p w14:paraId="2ECC2E01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CBRS Base Station Device</w:t>
            </w:r>
          </w:p>
        </w:tc>
        <w:tc>
          <w:tcPr>
            <w:tcW w:w="2877" w:type="dxa"/>
          </w:tcPr>
          <w:p w14:paraId="6A0DAB1C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3.5GHz-3.8GHz</w:t>
            </w:r>
          </w:p>
        </w:tc>
        <w:tc>
          <w:tcPr>
            <w:tcW w:w="2877" w:type="dxa"/>
          </w:tcPr>
          <w:p w14:paraId="296A4DB4" w14:textId="77777777" w:rsidR="004410E8" w:rsidRDefault="004410E8" w:rsidP="002C1C4C">
            <w:pPr>
              <w:pStyle w:val="IEEEStdsParagraph"/>
              <w:rPr>
                <w:lang w:val="en-GB"/>
              </w:rPr>
            </w:pPr>
          </w:p>
        </w:tc>
      </w:tr>
      <w:tr w:rsidR="004410E8" w14:paraId="1C38FC77" w14:textId="77777777" w:rsidTr="002C1C4C">
        <w:tc>
          <w:tcPr>
            <w:tcW w:w="2876" w:type="dxa"/>
          </w:tcPr>
          <w:p w14:paraId="53880C9B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TVWS CPE Device</w:t>
            </w:r>
          </w:p>
        </w:tc>
        <w:tc>
          <w:tcPr>
            <w:tcW w:w="2877" w:type="dxa"/>
          </w:tcPr>
          <w:p w14:paraId="2558788B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460-760MHz</w:t>
            </w:r>
          </w:p>
        </w:tc>
        <w:tc>
          <w:tcPr>
            <w:tcW w:w="2877" w:type="dxa"/>
          </w:tcPr>
          <w:p w14:paraId="4E1524FE" w14:textId="77777777" w:rsidR="004410E8" w:rsidRDefault="004410E8" w:rsidP="002C1C4C">
            <w:pPr>
              <w:pStyle w:val="IEEEStdsParagraph"/>
              <w:rPr>
                <w:lang w:val="en-GB"/>
              </w:rPr>
            </w:pPr>
          </w:p>
        </w:tc>
      </w:tr>
      <w:tr w:rsidR="004410E8" w14:paraId="1166ED42" w14:textId="77777777" w:rsidTr="002C1C4C">
        <w:tc>
          <w:tcPr>
            <w:tcW w:w="2876" w:type="dxa"/>
          </w:tcPr>
          <w:p w14:paraId="513A330D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CBRS CPE Device</w:t>
            </w:r>
          </w:p>
        </w:tc>
        <w:tc>
          <w:tcPr>
            <w:tcW w:w="2877" w:type="dxa"/>
          </w:tcPr>
          <w:p w14:paraId="40C5610D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3.5GHz-3.8GHz</w:t>
            </w:r>
          </w:p>
        </w:tc>
        <w:tc>
          <w:tcPr>
            <w:tcW w:w="2877" w:type="dxa"/>
          </w:tcPr>
          <w:p w14:paraId="6F28F5B4" w14:textId="77777777" w:rsidR="004410E8" w:rsidRDefault="004410E8" w:rsidP="002C1C4C">
            <w:pPr>
              <w:pStyle w:val="IEEEStdsParagraph"/>
              <w:rPr>
                <w:lang w:val="en-GB"/>
              </w:rPr>
            </w:pPr>
          </w:p>
        </w:tc>
      </w:tr>
      <w:tr w:rsidR="004410E8" w14:paraId="0AB09D51" w14:textId="77777777" w:rsidTr="002C1C4C">
        <w:tc>
          <w:tcPr>
            <w:tcW w:w="2876" w:type="dxa"/>
          </w:tcPr>
          <w:p w14:paraId="34A8C1FD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Etc</w:t>
            </w:r>
            <w:proofErr w:type="spellEnd"/>
          </w:p>
        </w:tc>
        <w:tc>
          <w:tcPr>
            <w:tcW w:w="2877" w:type="dxa"/>
          </w:tcPr>
          <w:p w14:paraId="4926C58D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 460-760MHz</w:t>
            </w:r>
          </w:p>
        </w:tc>
        <w:tc>
          <w:tcPr>
            <w:tcW w:w="2877" w:type="dxa"/>
          </w:tcPr>
          <w:p w14:paraId="6F75865D" w14:textId="77777777" w:rsidR="004410E8" w:rsidRDefault="004410E8" w:rsidP="002C1C4C">
            <w:pPr>
              <w:pStyle w:val="IEEEStdsParagraph"/>
              <w:rPr>
                <w:lang w:val="en-GB"/>
              </w:rPr>
            </w:pPr>
          </w:p>
        </w:tc>
      </w:tr>
      <w:tr w:rsidR="004410E8" w14:paraId="2B272356" w14:textId="77777777" w:rsidTr="002C1C4C">
        <w:tc>
          <w:tcPr>
            <w:tcW w:w="2876" w:type="dxa"/>
          </w:tcPr>
          <w:p w14:paraId="348FE5E6" w14:textId="77777777" w:rsidR="004410E8" w:rsidRDefault="004410E8" w:rsidP="002C1C4C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877" w:type="dxa"/>
          </w:tcPr>
          <w:p w14:paraId="0F73683F" w14:textId="77777777" w:rsidR="004410E8" w:rsidRDefault="004410E8" w:rsidP="002C1C4C">
            <w:pPr>
              <w:pStyle w:val="IEEEStdsParagraph"/>
              <w:rPr>
                <w:lang w:val="en-GB"/>
              </w:rPr>
            </w:pPr>
          </w:p>
        </w:tc>
        <w:tc>
          <w:tcPr>
            <w:tcW w:w="2877" w:type="dxa"/>
          </w:tcPr>
          <w:p w14:paraId="5972FB7F" w14:textId="77777777" w:rsidR="004410E8" w:rsidRDefault="004410E8" w:rsidP="002C1C4C">
            <w:pPr>
              <w:pStyle w:val="IEEEStdsParagraph"/>
              <w:rPr>
                <w:lang w:val="en-GB"/>
              </w:rPr>
            </w:pPr>
          </w:p>
        </w:tc>
      </w:tr>
    </w:tbl>
    <w:p w14:paraId="178358CF" w14:textId="77777777" w:rsidR="00053BFD" w:rsidRDefault="004410E8"/>
    <w:sectPr w:rsidR="00053BFD" w:rsidSect="0040797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E27"/>
    <w:multiLevelType w:val="hybridMultilevel"/>
    <w:tmpl w:val="2CD2E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38F2"/>
    <w:multiLevelType w:val="multilevel"/>
    <w:tmpl w:val="2A568114"/>
    <w:lvl w:ilvl="0">
      <w:start w:val="1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8"/>
    <w:rsid w:val="0040797A"/>
    <w:rsid w:val="004410E8"/>
    <w:rsid w:val="006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9D0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0E8"/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next w:val="IEEEStdsParagraph"/>
    <w:link w:val="Heading1Char"/>
    <w:qFormat/>
    <w:rsid w:val="004410E8"/>
    <w:pPr>
      <w:keepNext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 w:cs="Times New Roman"/>
      <w:b/>
      <w:szCs w:val="20"/>
      <w:lang w:val="en-US" w:eastAsia="en-US"/>
    </w:rPr>
  </w:style>
  <w:style w:type="paragraph" w:styleId="Heading2">
    <w:name w:val="heading 2"/>
    <w:basedOn w:val="Heading1"/>
    <w:next w:val="IEEEStdsParagraph"/>
    <w:link w:val="Heading2Char"/>
    <w:qFormat/>
    <w:rsid w:val="004410E8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aliases w:val="h3,3,标题 3 Char Char Char Char Char Char Char Char Char,标题 3 Char Char Char Char Char Char Char Char"/>
    <w:basedOn w:val="Heading2"/>
    <w:next w:val="IEEEStdsParagraph"/>
    <w:link w:val="Heading3Char"/>
    <w:qFormat/>
    <w:rsid w:val="004410E8"/>
    <w:pPr>
      <w:numPr>
        <w:ilvl w:val="2"/>
      </w:numPr>
      <w:outlineLvl w:val="2"/>
    </w:pPr>
    <w:rPr>
      <w:sz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"/>
    <w:basedOn w:val="Heading3"/>
    <w:next w:val="IEEEStdsParagraph"/>
    <w:link w:val="Heading4Char"/>
    <w:qFormat/>
    <w:rsid w:val="004410E8"/>
    <w:pPr>
      <w:numPr>
        <w:ilvl w:val="3"/>
      </w:numPr>
      <w:outlineLvl w:val="3"/>
    </w:pPr>
  </w:style>
  <w:style w:type="paragraph" w:styleId="Heading5">
    <w:name w:val="heading 5"/>
    <w:aliases w:val="h5,Heading5"/>
    <w:basedOn w:val="Heading4"/>
    <w:next w:val="IEEEStdsParagraph"/>
    <w:link w:val="Heading5Char"/>
    <w:qFormat/>
    <w:rsid w:val="004410E8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4410E8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4410E8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4410E8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4410E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0E8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410E8"/>
    <w:rPr>
      <w:rFonts w:ascii="Arial" w:eastAsia="Times New Roman" w:hAnsi="Arial" w:cs="Times New Roman"/>
      <w:b/>
      <w:sz w:val="22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410E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410E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410E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410E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410E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410E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410E8"/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IEEEStdsParagraph">
    <w:name w:val="IEEEStds Paragraph"/>
    <w:link w:val="IEEEStdsParagraphChar1"/>
    <w:qFormat/>
    <w:rsid w:val="004410E8"/>
    <w:pPr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IEEEStdsParagraphChar1">
    <w:name w:val="IEEEStds Paragraph Char1"/>
    <w:link w:val="IEEEStdsParagraph"/>
    <w:rsid w:val="004410E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qFormat/>
    <w:rsid w:val="004410E8"/>
    <w:rPr>
      <w:rFonts w:ascii="Calibri" w:eastAsia="MS Mincho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Macintosh Word</Application>
  <DocSecurity>0</DocSecurity>
  <Lines>7</Lines>
  <Paragraphs>2</Paragraphs>
  <ScaleCrop>false</ScaleCrop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Hislop (IS)</dc:creator>
  <cp:keywords/>
  <dc:description/>
  <cp:lastModifiedBy>Roger Hislop (IS)</cp:lastModifiedBy>
  <cp:revision>1</cp:revision>
  <dcterms:created xsi:type="dcterms:W3CDTF">2017-07-12T14:53:00Z</dcterms:created>
  <dcterms:modified xsi:type="dcterms:W3CDTF">2017-07-12T14:54:00Z</dcterms:modified>
</cp:coreProperties>
</file>