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6D3BF538" w:rsidR="00540FF9" w:rsidRPr="00737C06" w:rsidRDefault="00540FF9" w:rsidP="00D01C70">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01C70">
              <w:rPr>
                <w:b w:val="0"/>
                <w:color w:val="000000" w:themeColor="text1"/>
                <w:sz w:val="20"/>
              </w:rPr>
              <w:t>10</w:t>
            </w:r>
            <w:r w:rsidRPr="00737C06">
              <w:rPr>
                <w:b w:val="0"/>
                <w:color w:val="000000" w:themeColor="text1"/>
                <w:sz w:val="20"/>
              </w:rPr>
              <w:t>-</w:t>
            </w:r>
            <w:r w:rsidR="00D01C70">
              <w:rPr>
                <w:b w:val="0"/>
                <w:color w:val="000000" w:themeColor="text1"/>
                <w:sz w:val="20"/>
              </w:rPr>
              <w:t>1</w:t>
            </w:r>
            <w:r w:rsidR="00450EC0">
              <w:rPr>
                <w:b w:val="0"/>
                <w:color w:val="000000" w:themeColor="text1"/>
                <w:sz w:val="20"/>
              </w:rPr>
              <w:t>2</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7A2ACF"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E442D0" w:rsidR="00540FF9" w:rsidRDefault="00540FF9" w:rsidP="00540FF9">
                            <w:pPr>
                              <w:jc w:val="both"/>
                            </w:pPr>
                            <w:r w:rsidRPr="00A00CBC">
                              <w:rPr>
                                <w:b/>
                              </w:rPr>
                              <w:t>Year 20</w:t>
                            </w:r>
                            <w:r>
                              <w:rPr>
                                <w:b/>
                              </w:rPr>
                              <w:t>1</w:t>
                            </w:r>
                            <w:r w:rsidR="00DA4352">
                              <w:rPr>
                                <w:b/>
                              </w:rPr>
                              <w:t>7</w:t>
                            </w:r>
                            <w:r>
                              <w:t xml:space="preserve"> – </w:t>
                            </w:r>
                            <w:r w:rsidR="00D01C70">
                              <w:t>October</w:t>
                            </w:r>
                            <w:r w:rsidR="009E174F">
                              <w:t xml:space="preserve"> </w:t>
                            </w:r>
                            <w:r w:rsidR="00D01C70">
                              <w:t>1</w:t>
                            </w:r>
                            <w:r w:rsidR="00450EC0">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3E442D0" w:rsidR="00540FF9" w:rsidRDefault="00540FF9" w:rsidP="00540FF9">
                      <w:pPr>
                        <w:jc w:val="both"/>
                      </w:pPr>
                      <w:r w:rsidRPr="00A00CBC">
                        <w:rPr>
                          <w:b/>
                        </w:rPr>
                        <w:t>Year 20</w:t>
                      </w:r>
                      <w:r>
                        <w:rPr>
                          <w:b/>
                        </w:rPr>
                        <w:t>1</w:t>
                      </w:r>
                      <w:r w:rsidR="00DA4352">
                        <w:rPr>
                          <w:b/>
                        </w:rPr>
                        <w:t>7</w:t>
                      </w:r>
                      <w:r>
                        <w:t xml:space="preserve"> – </w:t>
                      </w:r>
                      <w:r w:rsidR="00D01C70">
                        <w:t>October</w:t>
                      </w:r>
                      <w:r w:rsidR="009E174F">
                        <w:t xml:space="preserve"> </w:t>
                      </w:r>
                      <w:r w:rsidR="00D01C70">
                        <w:t>1</w:t>
                      </w:r>
                      <w:r w:rsidR="00450EC0">
                        <w:t>2</w:t>
                      </w:r>
                    </w:p>
                  </w:txbxContent>
                </v:textbox>
              </v:shape>
            </w:pict>
          </mc:Fallback>
        </mc:AlternateContent>
      </w:r>
    </w:p>
    <w:p w14:paraId="47078673" w14:textId="31800FB7"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D01C70">
        <w:rPr>
          <w:b/>
          <w:color w:val="000000" w:themeColor="text1"/>
          <w:sz w:val="32"/>
          <w:szCs w:val="32"/>
        </w:rPr>
        <w:t>October</w:t>
      </w:r>
      <w:r w:rsidR="00421804">
        <w:rPr>
          <w:b/>
          <w:color w:val="000000" w:themeColor="text1"/>
          <w:sz w:val="32"/>
          <w:szCs w:val="32"/>
        </w:rPr>
        <w:t xml:space="preserve"> </w:t>
      </w:r>
      <w:r w:rsidR="00D01C70">
        <w:rPr>
          <w:b/>
          <w:color w:val="000000" w:themeColor="text1"/>
          <w:sz w:val="32"/>
          <w:szCs w:val="32"/>
        </w:rPr>
        <w:t>1</w:t>
      </w:r>
      <w:r w:rsidR="00970648">
        <w:rPr>
          <w:b/>
          <w:color w:val="000000" w:themeColor="text1"/>
          <w:sz w:val="32"/>
          <w:szCs w:val="32"/>
        </w:rPr>
        <w:t>2</w:t>
      </w:r>
      <w:r w:rsidR="00421804" w:rsidRPr="00421804">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2BB28A5C" w14:textId="7B72C7CE" w:rsidR="00970648" w:rsidRPr="00895D08" w:rsidRDefault="00970648" w:rsidP="00F25688">
      <w:pPr>
        <w:jc w:val="both"/>
        <w:rPr>
          <w:color w:val="000000" w:themeColor="text1"/>
          <w:szCs w:val="22"/>
        </w:rPr>
      </w:pPr>
      <w:r>
        <w:rPr>
          <w:color w:val="000000" w:themeColor="text1"/>
          <w:szCs w:val="22"/>
        </w:rPr>
        <w:t>Gianni Cerro (GC). Unicas</w:t>
      </w:r>
    </w:p>
    <w:p w14:paraId="6CCF5414" w14:textId="604755C7" w:rsidR="00133993" w:rsidRDefault="00970648" w:rsidP="00F25688">
      <w:pPr>
        <w:jc w:val="both"/>
        <w:rPr>
          <w:color w:val="000000" w:themeColor="text1"/>
          <w:szCs w:val="22"/>
        </w:rPr>
      </w:pPr>
      <w:r>
        <w:rPr>
          <w:color w:val="000000" w:themeColor="text1"/>
          <w:szCs w:val="22"/>
        </w:rPr>
        <w:t>Mike Cotton (MC), NTIA</w:t>
      </w:r>
    </w:p>
    <w:p w14:paraId="5BF98403" w14:textId="0E4A5C35" w:rsidR="00421804" w:rsidRPr="00895D08" w:rsidRDefault="00421804" w:rsidP="00F25688">
      <w:pPr>
        <w:jc w:val="both"/>
        <w:rPr>
          <w:color w:val="000000" w:themeColor="text1"/>
          <w:szCs w:val="22"/>
        </w:rPr>
      </w:pPr>
      <w:r>
        <w:rPr>
          <w:color w:val="000000" w:themeColor="text1"/>
          <w:szCs w:val="22"/>
        </w:rPr>
        <w:t>Jerry Kalke (JK), CBS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4366A836" w:rsidR="00540FF9" w:rsidRPr="00737C06" w:rsidRDefault="00F17E12" w:rsidP="00F25688">
      <w:pPr>
        <w:jc w:val="both"/>
        <w:rPr>
          <w:color w:val="000000" w:themeColor="text1"/>
          <w:szCs w:val="22"/>
        </w:rPr>
      </w:pPr>
      <w:r>
        <w:rPr>
          <w:color w:val="000000" w:themeColor="text1"/>
          <w:szCs w:val="22"/>
        </w:rPr>
        <w:t xml:space="preserve">2.2 </w:t>
      </w:r>
      <w:r w:rsidR="00540FF9"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7A2ACF"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784D9E7" w14:textId="0A1F8E99" w:rsidR="007A42EA" w:rsidRPr="00737C06" w:rsidRDefault="00D01C70" w:rsidP="007A42EA">
      <w:pPr>
        <w:pStyle w:val="ListParagraph"/>
        <w:numPr>
          <w:ilvl w:val="1"/>
          <w:numId w:val="1"/>
        </w:numPr>
        <w:jc w:val="both"/>
        <w:rPr>
          <w:color w:val="000000" w:themeColor="text1"/>
          <w:szCs w:val="22"/>
        </w:rPr>
      </w:pPr>
      <w:r>
        <w:rPr>
          <w:color w:val="000000" w:themeColor="text1"/>
          <w:szCs w:val="22"/>
        </w:rPr>
        <w:t>No previous minutes entered</w:t>
      </w:r>
    </w:p>
    <w:p w14:paraId="5BE46C8E" w14:textId="490EBF72" w:rsidR="008D4706" w:rsidRDefault="00540FF9" w:rsidP="00C26A0F">
      <w:pPr>
        <w:numPr>
          <w:ilvl w:val="0"/>
          <w:numId w:val="1"/>
        </w:numPr>
        <w:jc w:val="both"/>
        <w:rPr>
          <w:color w:val="000000" w:themeColor="text1"/>
          <w:szCs w:val="22"/>
        </w:rPr>
      </w:pPr>
      <w:bookmarkStart w:id="0" w:name="_GoBack"/>
      <w:r w:rsidRPr="00737C06">
        <w:rPr>
          <w:color w:val="000000" w:themeColor="text1"/>
          <w:szCs w:val="22"/>
        </w:rPr>
        <w:t>Task Group planning:</w:t>
      </w:r>
    </w:p>
    <w:p w14:paraId="596EE535" w14:textId="6D53C0EB" w:rsidR="00101694" w:rsidRDefault="00D01C70" w:rsidP="003C1564">
      <w:pPr>
        <w:numPr>
          <w:ilvl w:val="1"/>
          <w:numId w:val="1"/>
        </w:numPr>
        <w:jc w:val="both"/>
        <w:rPr>
          <w:szCs w:val="22"/>
        </w:rPr>
      </w:pPr>
      <w:r>
        <w:rPr>
          <w:szCs w:val="22"/>
        </w:rPr>
        <w:t>Discussion around the revision of the Scope for the 802.22.3 standard tlo bring it more in line with developments in thinking behind the standard, but without making major changes to the Scope as defined in the original PAR.</w:t>
      </w:r>
      <w:r w:rsidR="00C419D0">
        <w:rPr>
          <w:szCs w:val="22"/>
        </w:rPr>
        <w:t xml:space="preserve"> The changes suggested by Mike were considered with some views exchanged on the best way to describe the standard accurately. The discussion was then moved to the Slack group to allow collaborative editing.</w:t>
      </w:r>
    </w:p>
    <w:p w14:paraId="2BD95501" w14:textId="19D067CF" w:rsidR="00D01C70" w:rsidRDefault="00C419D0" w:rsidP="003C1564">
      <w:pPr>
        <w:numPr>
          <w:ilvl w:val="1"/>
          <w:numId w:val="1"/>
        </w:numPr>
        <w:jc w:val="both"/>
        <w:rPr>
          <w:szCs w:val="22"/>
        </w:rPr>
      </w:pPr>
      <w:r>
        <w:rPr>
          <w:szCs w:val="22"/>
        </w:rPr>
        <w:t xml:space="preserve">There is a need to drive awareness of the standard in a greater community to increase involvement – RH has submitted an article to IEEE Spectrum and working on getting it published. There is also a conference in Houston in 2018 with G Miele organising. A proposal is that a paper is submitted. </w:t>
      </w:r>
    </w:p>
    <w:p w14:paraId="2D2905CD" w14:textId="6FAB5D1C" w:rsidR="00C419D0" w:rsidRDefault="00C419D0" w:rsidP="003C1564">
      <w:pPr>
        <w:numPr>
          <w:ilvl w:val="1"/>
          <w:numId w:val="1"/>
        </w:numPr>
        <w:jc w:val="both"/>
        <w:rPr>
          <w:szCs w:val="22"/>
        </w:rPr>
      </w:pPr>
      <w:r>
        <w:rPr>
          <w:szCs w:val="22"/>
        </w:rPr>
        <w:t xml:space="preserve">Letter Ballot 2 is now open, where TG members can make contributions. RH went into some detail about the process being more in line with IEEE method to save on comment review and editing time. The key factor is that contributions must be specific, with clear editorial direction, either to delete material or provide material to substitute or add within the comment spreadsheet, or a major change proposed with a document </w:t>
      </w:r>
      <w:r>
        <w:rPr>
          <w:szCs w:val="22"/>
        </w:rPr>
        <w:t xml:space="preserve">upload to Mentor </w:t>
      </w:r>
      <w:r>
        <w:rPr>
          <w:szCs w:val="22"/>
        </w:rPr>
        <w:t>with DCN and URL inserted into the spreadsheet.</w:t>
      </w:r>
    </w:p>
    <w:p w14:paraId="1C1FF070" w14:textId="62A2CAD6" w:rsidR="00C419D0" w:rsidRDefault="000330C2" w:rsidP="003C1564">
      <w:pPr>
        <w:numPr>
          <w:ilvl w:val="1"/>
          <w:numId w:val="1"/>
        </w:numPr>
        <w:jc w:val="both"/>
        <w:rPr>
          <w:szCs w:val="22"/>
        </w:rPr>
      </w:pPr>
      <w:r>
        <w:rPr>
          <w:szCs w:val="22"/>
        </w:rPr>
        <w:t>MC commented on the work being done in the SigMF standard that is very complementary to the 802.22.3 SCOS standard, and that exposing the SigMF community to it would greatly expand the audience (and possible involvement) of that community.</w:t>
      </w:r>
    </w:p>
    <w:p w14:paraId="3905C99D" w14:textId="6FDC7900" w:rsidR="00751E90" w:rsidRPr="00797638" w:rsidRDefault="00751E90" w:rsidP="003C1564">
      <w:pPr>
        <w:numPr>
          <w:ilvl w:val="1"/>
          <w:numId w:val="1"/>
        </w:numPr>
        <w:jc w:val="both"/>
        <w:rPr>
          <w:szCs w:val="22"/>
        </w:rPr>
      </w:pPr>
      <w:r>
        <w:rPr>
          <w:szCs w:val="22"/>
        </w:rPr>
        <w:t xml:space="preserve">IEE plenary in Orlando coming up very soon – so far not many members of the TG will be participating, which may require some dial in working sessions to be set up. </w:t>
      </w:r>
    </w:p>
    <w:p w14:paraId="7E25F415" w14:textId="3FB5FAE3" w:rsidR="00C26A0F" w:rsidRPr="00797638" w:rsidRDefault="00540FF9" w:rsidP="00C26A0F">
      <w:pPr>
        <w:numPr>
          <w:ilvl w:val="0"/>
          <w:numId w:val="1"/>
        </w:numPr>
        <w:jc w:val="both"/>
        <w:rPr>
          <w:color w:val="000000" w:themeColor="text1"/>
          <w:szCs w:val="22"/>
        </w:rPr>
      </w:pPr>
      <w:r w:rsidRPr="00737C06">
        <w:rPr>
          <w:color w:val="000000" w:themeColor="text1"/>
          <w:szCs w:val="22"/>
        </w:rPr>
        <w:t>Meeting was adjourned at 1</w:t>
      </w:r>
      <w:r w:rsidR="00F17E12">
        <w:rPr>
          <w:color w:val="000000" w:themeColor="text1"/>
          <w:szCs w:val="22"/>
        </w:rPr>
        <w:t>5</w:t>
      </w:r>
      <w:r w:rsidRPr="00737C06">
        <w:rPr>
          <w:color w:val="000000" w:themeColor="text1"/>
          <w:szCs w:val="22"/>
        </w:rPr>
        <w:t>h</w:t>
      </w:r>
      <w:r w:rsidR="00F17E12">
        <w:rPr>
          <w:color w:val="000000" w:themeColor="text1"/>
          <w:szCs w:val="22"/>
        </w:rPr>
        <w:t>4</w:t>
      </w:r>
      <w:r w:rsidR="00D5613B">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F17E12">
        <w:rPr>
          <w:color w:val="000000" w:themeColor="text1"/>
          <w:szCs w:val="22"/>
        </w:rPr>
        <w:t xml:space="preserve">as </w:t>
      </w:r>
      <w:r w:rsidR="00D80FCB">
        <w:rPr>
          <w:color w:val="000000" w:themeColor="text1"/>
          <w:szCs w:val="22"/>
        </w:rPr>
        <w:t xml:space="preserve">WebEx at 1pm UTC on </w:t>
      </w:r>
      <w:r w:rsidR="00F17E12">
        <w:rPr>
          <w:color w:val="000000" w:themeColor="text1"/>
          <w:szCs w:val="22"/>
        </w:rPr>
        <w:t>Thursda</w:t>
      </w:r>
      <w:r w:rsidR="00D80FCB">
        <w:rPr>
          <w:color w:val="000000" w:themeColor="text1"/>
          <w:szCs w:val="22"/>
        </w:rPr>
        <w:t xml:space="preserve">y </w:t>
      </w:r>
      <w:r w:rsidR="00F17E12">
        <w:rPr>
          <w:color w:val="000000" w:themeColor="text1"/>
          <w:szCs w:val="22"/>
        </w:rPr>
        <w:t>26th</w:t>
      </w:r>
      <w:r w:rsidR="007F5EC0" w:rsidRPr="00737C06">
        <w:rPr>
          <w:color w:val="000000" w:themeColor="text1"/>
          <w:szCs w:val="22"/>
        </w:rPr>
        <w:t>.</w:t>
      </w:r>
    </w:p>
    <w:bookmarkEnd w:id="0"/>
    <w:sectPr w:rsidR="00C26A0F" w:rsidRPr="00797638">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AA1E" w14:textId="77777777" w:rsidR="007A2ACF" w:rsidRDefault="007A2ACF" w:rsidP="0044070E">
      <w:r>
        <w:separator/>
      </w:r>
    </w:p>
  </w:endnote>
  <w:endnote w:type="continuationSeparator" w:id="0">
    <w:p w14:paraId="0FBDCD78" w14:textId="77777777" w:rsidR="007A2ACF" w:rsidRDefault="007A2ACF"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7A2ACF">
      <w:rPr>
        <w:noProof/>
      </w:rPr>
      <w:t>1</w:t>
    </w:r>
    <w:r>
      <w:fldChar w:fldCharType="end"/>
    </w:r>
    <w:r>
      <w:tab/>
      <w:t>Roger Hislop, Internet Solutions</w:t>
    </w:r>
  </w:p>
  <w:p w14:paraId="2B7AA521" w14:textId="77777777" w:rsidR="00CF176F" w:rsidRDefault="007A2A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9B4C2" w14:textId="77777777" w:rsidR="007A2ACF" w:rsidRDefault="007A2ACF" w:rsidP="0044070E">
      <w:r>
        <w:separator/>
      </w:r>
    </w:p>
  </w:footnote>
  <w:footnote w:type="continuationSeparator" w:id="0">
    <w:p w14:paraId="19A04962" w14:textId="77777777" w:rsidR="007A2ACF" w:rsidRDefault="007A2ACF"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260DF"/>
    <w:rsid w:val="000276A3"/>
    <w:rsid w:val="000330C2"/>
    <w:rsid w:val="00037516"/>
    <w:rsid w:val="00083FDE"/>
    <w:rsid w:val="000915C2"/>
    <w:rsid w:val="000954C2"/>
    <w:rsid w:val="000A1C05"/>
    <w:rsid w:val="000B4801"/>
    <w:rsid w:val="00101694"/>
    <w:rsid w:val="00112745"/>
    <w:rsid w:val="00133993"/>
    <w:rsid w:val="0013771F"/>
    <w:rsid w:val="001417F5"/>
    <w:rsid w:val="00142888"/>
    <w:rsid w:val="0017049B"/>
    <w:rsid w:val="00196F06"/>
    <w:rsid w:val="001A301C"/>
    <w:rsid w:val="001A706B"/>
    <w:rsid w:val="001B54FB"/>
    <w:rsid w:val="001D004D"/>
    <w:rsid w:val="001D23A2"/>
    <w:rsid w:val="001D6BE2"/>
    <w:rsid w:val="001E1819"/>
    <w:rsid w:val="001E3056"/>
    <w:rsid w:val="00215872"/>
    <w:rsid w:val="002174FB"/>
    <w:rsid w:val="00217AAE"/>
    <w:rsid w:val="00235FB2"/>
    <w:rsid w:val="00256350"/>
    <w:rsid w:val="00262EA5"/>
    <w:rsid w:val="002718C4"/>
    <w:rsid w:val="00293B82"/>
    <w:rsid w:val="002A3C3A"/>
    <w:rsid w:val="002A4DA0"/>
    <w:rsid w:val="002A74D4"/>
    <w:rsid w:val="002D73E7"/>
    <w:rsid w:val="002E14A3"/>
    <w:rsid w:val="002E53CF"/>
    <w:rsid w:val="00302206"/>
    <w:rsid w:val="0031614E"/>
    <w:rsid w:val="003402DF"/>
    <w:rsid w:val="00346025"/>
    <w:rsid w:val="00352097"/>
    <w:rsid w:val="00361F5A"/>
    <w:rsid w:val="00362032"/>
    <w:rsid w:val="00362311"/>
    <w:rsid w:val="003655D7"/>
    <w:rsid w:val="0039222B"/>
    <w:rsid w:val="003A1BF0"/>
    <w:rsid w:val="003C1564"/>
    <w:rsid w:val="003C15C4"/>
    <w:rsid w:val="003F4690"/>
    <w:rsid w:val="003F4AFB"/>
    <w:rsid w:val="003F5C2A"/>
    <w:rsid w:val="00405B05"/>
    <w:rsid w:val="004138CC"/>
    <w:rsid w:val="00421804"/>
    <w:rsid w:val="00432E69"/>
    <w:rsid w:val="0044070E"/>
    <w:rsid w:val="00450EC0"/>
    <w:rsid w:val="00455921"/>
    <w:rsid w:val="00457C80"/>
    <w:rsid w:val="00461BCF"/>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24A3"/>
    <w:rsid w:val="005D7934"/>
    <w:rsid w:val="005E023B"/>
    <w:rsid w:val="005E14DB"/>
    <w:rsid w:val="00612298"/>
    <w:rsid w:val="006176BB"/>
    <w:rsid w:val="00625D04"/>
    <w:rsid w:val="00640ED2"/>
    <w:rsid w:val="006610D1"/>
    <w:rsid w:val="00661BC9"/>
    <w:rsid w:val="00665E71"/>
    <w:rsid w:val="006671E2"/>
    <w:rsid w:val="006A155A"/>
    <w:rsid w:val="006C726E"/>
    <w:rsid w:val="006C7759"/>
    <w:rsid w:val="006D0DB2"/>
    <w:rsid w:val="006D3C06"/>
    <w:rsid w:val="006D6B8D"/>
    <w:rsid w:val="006F06DD"/>
    <w:rsid w:val="00704BB6"/>
    <w:rsid w:val="00721002"/>
    <w:rsid w:val="00737568"/>
    <w:rsid w:val="00737C06"/>
    <w:rsid w:val="00740777"/>
    <w:rsid w:val="0075053A"/>
    <w:rsid w:val="00751E90"/>
    <w:rsid w:val="00756892"/>
    <w:rsid w:val="0076582B"/>
    <w:rsid w:val="00767DE8"/>
    <w:rsid w:val="007724A3"/>
    <w:rsid w:val="00777322"/>
    <w:rsid w:val="00781E90"/>
    <w:rsid w:val="00794E2F"/>
    <w:rsid w:val="00797638"/>
    <w:rsid w:val="007A191E"/>
    <w:rsid w:val="007A2ACF"/>
    <w:rsid w:val="007A42EA"/>
    <w:rsid w:val="007B5112"/>
    <w:rsid w:val="007D0177"/>
    <w:rsid w:val="007D681C"/>
    <w:rsid w:val="007E38A1"/>
    <w:rsid w:val="007F494E"/>
    <w:rsid w:val="007F5EC0"/>
    <w:rsid w:val="00803EC2"/>
    <w:rsid w:val="0080415C"/>
    <w:rsid w:val="00836534"/>
    <w:rsid w:val="00836B4A"/>
    <w:rsid w:val="008455F4"/>
    <w:rsid w:val="008813AC"/>
    <w:rsid w:val="008831D2"/>
    <w:rsid w:val="00886BA3"/>
    <w:rsid w:val="00895D08"/>
    <w:rsid w:val="00896C4F"/>
    <w:rsid w:val="008B008B"/>
    <w:rsid w:val="008C3625"/>
    <w:rsid w:val="008D2279"/>
    <w:rsid w:val="008D4706"/>
    <w:rsid w:val="009005AA"/>
    <w:rsid w:val="0090217F"/>
    <w:rsid w:val="00906D23"/>
    <w:rsid w:val="009364C1"/>
    <w:rsid w:val="00957BA5"/>
    <w:rsid w:val="00970648"/>
    <w:rsid w:val="009872B2"/>
    <w:rsid w:val="00990F4F"/>
    <w:rsid w:val="00996C89"/>
    <w:rsid w:val="009D3025"/>
    <w:rsid w:val="009E08B0"/>
    <w:rsid w:val="009E1587"/>
    <w:rsid w:val="009E174F"/>
    <w:rsid w:val="009F220A"/>
    <w:rsid w:val="009F47DE"/>
    <w:rsid w:val="00A02E3E"/>
    <w:rsid w:val="00A061BE"/>
    <w:rsid w:val="00A44798"/>
    <w:rsid w:val="00A451D9"/>
    <w:rsid w:val="00A5356B"/>
    <w:rsid w:val="00A603CF"/>
    <w:rsid w:val="00A707C5"/>
    <w:rsid w:val="00A70F20"/>
    <w:rsid w:val="00A76E4D"/>
    <w:rsid w:val="00A94DE9"/>
    <w:rsid w:val="00A9708C"/>
    <w:rsid w:val="00AA4B1F"/>
    <w:rsid w:val="00AC04C4"/>
    <w:rsid w:val="00AC7340"/>
    <w:rsid w:val="00AD1E64"/>
    <w:rsid w:val="00AE5524"/>
    <w:rsid w:val="00AF1A3C"/>
    <w:rsid w:val="00B21085"/>
    <w:rsid w:val="00B22B1C"/>
    <w:rsid w:val="00B53192"/>
    <w:rsid w:val="00B73372"/>
    <w:rsid w:val="00B75182"/>
    <w:rsid w:val="00B97AD3"/>
    <w:rsid w:val="00BB0441"/>
    <w:rsid w:val="00BC0021"/>
    <w:rsid w:val="00BC7F02"/>
    <w:rsid w:val="00BF0F37"/>
    <w:rsid w:val="00BF206A"/>
    <w:rsid w:val="00C20F1F"/>
    <w:rsid w:val="00C21E79"/>
    <w:rsid w:val="00C26A0F"/>
    <w:rsid w:val="00C30691"/>
    <w:rsid w:val="00C419D0"/>
    <w:rsid w:val="00C437CB"/>
    <w:rsid w:val="00C44613"/>
    <w:rsid w:val="00C46384"/>
    <w:rsid w:val="00C577AA"/>
    <w:rsid w:val="00C77344"/>
    <w:rsid w:val="00CA6226"/>
    <w:rsid w:val="00CC0266"/>
    <w:rsid w:val="00CE6B02"/>
    <w:rsid w:val="00D012C9"/>
    <w:rsid w:val="00D01C70"/>
    <w:rsid w:val="00D13B13"/>
    <w:rsid w:val="00D2111F"/>
    <w:rsid w:val="00D35C86"/>
    <w:rsid w:val="00D3606E"/>
    <w:rsid w:val="00D43605"/>
    <w:rsid w:val="00D473A4"/>
    <w:rsid w:val="00D5613B"/>
    <w:rsid w:val="00D67E22"/>
    <w:rsid w:val="00D80FCB"/>
    <w:rsid w:val="00DA4352"/>
    <w:rsid w:val="00DA45C3"/>
    <w:rsid w:val="00DA6399"/>
    <w:rsid w:val="00DB3DC3"/>
    <w:rsid w:val="00DD2621"/>
    <w:rsid w:val="00DD3FAA"/>
    <w:rsid w:val="00DD70BA"/>
    <w:rsid w:val="00DE31E4"/>
    <w:rsid w:val="00DE43A0"/>
    <w:rsid w:val="00DF181D"/>
    <w:rsid w:val="00DF7C6C"/>
    <w:rsid w:val="00E039FA"/>
    <w:rsid w:val="00E26AD2"/>
    <w:rsid w:val="00E37D39"/>
    <w:rsid w:val="00E64220"/>
    <w:rsid w:val="00E970F8"/>
    <w:rsid w:val="00EA4E74"/>
    <w:rsid w:val="00EC2956"/>
    <w:rsid w:val="00ED3ABA"/>
    <w:rsid w:val="00EE0B64"/>
    <w:rsid w:val="00EE2F1F"/>
    <w:rsid w:val="00EF269C"/>
    <w:rsid w:val="00F003E9"/>
    <w:rsid w:val="00F12331"/>
    <w:rsid w:val="00F17D63"/>
    <w:rsid w:val="00F17E12"/>
    <w:rsid w:val="00F25688"/>
    <w:rsid w:val="00F43A60"/>
    <w:rsid w:val="00F57D63"/>
    <w:rsid w:val="00F731AF"/>
    <w:rsid w:val="00F868B2"/>
    <w:rsid w:val="00F93B23"/>
    <w:rsid w:val="00FB17D4"/>
    <w:rsid w:val="00FD2BE3"/>
    <w:rsid w:val="00FE38F3"/>
    <w:rsid w:val="00FF5292"/>
    <w:rsid w:val="00FF5D06"/>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658926163">
      <w:bodyDiv w:val="1"/>
      <w:marLeft w:val="0"/>
      <w:marRight w:val="0"/>
      <w:marTop w:val="0"/>
      <w:marBottom w:val="0"/>
      <w:divBdr>
        <w:top w:val="none" w:sz="0" w:space="0" w:color="auto"/>
        <w:left w:val="none" w:sz="0" w:space="0" w:color="auto"/>
        <w:bottom w:val="none" w:sz="0" w:space="0" w:color="auto"/>
        <w:right w:val="none" w:sz="0" w:space="0" w:color="auto"/>
      </w:divBdr>
    </w:div>
    <w:div w:id="765660142">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3</cp:revision>
  <dcterms:created xsi:type="dcterms:W3CDTF">2017-10-24T13:46:00Z</dcterms:created>
  <dcterms:modified xsi:type="dcterms:W3CDTF">2017-10-24T14:01:00Z</dcterms:modified>
</cp:coreProperties>
</file>