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737C06" w:rsidRDefault="00540FF9" w:rsidP="00F25688">
      <w:pPr>
        <w:pStyle w:val="T1"/>
        <w:pBdr>
          <w:bottom w:val="single" w:sz="6" w:space="0" w:color="auto"/>
        </w:pBdr>
        <w:spacing w:after="240"/>
        <w:rPr>
          <w:color w:val="000000" w:themeColor="text1"/>
        </w:rPr>
      </w:pPr>
      <w:r w:rsidRPr="00737C06">
        <w:rPr>
          <w:color w:val="000000" w:themeColor="text1"/>
        </w:rPr>
        <w:t>IEEE P802.22</w:t>
      </w:r>
      <w:r w:rsidRPr="00737C06">
        <w:rPr>
          <w:color w:val="000000" w:themeColor="text1"/>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37C06" w:rsidRPr="00737C06" w14:paraId="7260DA9F" w14:textId="77777777" w:rsidTr="009B6DDA">
        <w:trPr>
          <w:trHeight w:val="485"/>
          <w:jc w:val="center"/>
        </w:trPr>
        <w:tc>
          <w:tcPr>
            <w:tcW w:w="9576" w:type="dxa"/>
            <w:gridSpan w:val="5"/>
            <w:vAlign w:val="center"/>
          </w:tcPr>
          <w:p w14:paraId="0A6C28AB" w14:textId="77777777" w:rsidR="00540FF9" w:rsidRPr="00737C06" w:rsidRDefault="00540FF9" w:rsidP="00F25688">
            <w:pPr>
              <w:pStyle w:val="T2"/>
              <w:rPr>
                <w:color w:val="000000" w:themeColor="text1"/>
                <w:lang w:val="en-US"/>
              </w:rPr>
            </w:pPr>
            <w:r w:rsidRPr="00737C06">
              <w:rPr>
                <w:bCs/>
                <w:color w:val="000000" w:themeColor="text1"/>
                <w:lang w:val="en-US"/>
              </w:rPr>
              <w:t>Meeting Minutes of the Spectrum Characterization and Occupancy Sensing</w:t>
            </w:r>
          </w:p>
        </w:tc>
      </w:tr>
      <w:tr w:rsidR="00737C06" w:rsidRPr="00737C06" w14:paraId="60948C7F" w14:textId="77777777" w:rsidTr="009B6DDA">
        <w:trPr>
          <w:trHeight w:val="233"/>
          <w:jc w:val="center"/>
        </w:trPr>
        <w:tc>
          <w:tcPr>
            <w:tcW w:w="9576" w:type="dxa"/>
            <w:gridSpan w:val="5"/>
            <w:vAlign w:val="center"/>
          </w:tcPr>
          <w:p w14:paraId="08AFEFF0" w14:textId="7DB49113" w:rsidR="00540FF9" w:rsidRPr="00737C06" w:rsidRDefault="00540FF9" w:rsidP="00450EC0">
            <w:pPr>
              <w:pStyle w:val="T2"/>
              <w:ind w:left="0"/>
              <w:rPr>
                <w:color w:val="000000" w:themeColor="text1"/>
                <w:sz w:val="20"/>
              </w:rPr>
            </w:pPr>
            <w:r w:rsidRPr="00737C06">
              <w:rPr>
                <w:color w:val="000000" w:themeColor="text1"/>
                <w:sz w:val="20"/>
              </w:rPr>
              <w:t>Date:</w:t>
            </w:r>
            <w:r w:rsidRPr="00737C06">
              <w:rPr>
                <w:b w:val="0"/>
                <w:color w:val="000000" w:themeColor="text1"/>
                <w:sz w:val="20"/>
              </w:rPr>
              <w:t xml:space="preserve">  201</w:t>
            </w:r>
            <w:r w:rsidR="00794E2F" w:rsidRPr="00737C06">
              <w:rPr>
                <w:b w:val="0"/>
                <w:color w:val="000000" w:themeColor="text1"/>
                <w:sz w:val="20"/>
              </w:rPr>
              <w:t>7</w:t>
            </w:r>
            <w:r w:rsidRPr="00737C06">
              <w:rPr>
                <w:b w:val="0"/>
                <w:color w:val="000000" w:themeColor="text1"/>
                <w:sz w:val="20"/>
              </w:rPr>
              <w:t>-</w:t>
            </w:r>
            <w:r w:rsidR="00DA4352">
              <w:rPr>
                <w:b w:val="0"/>
                <w:color w:val="000000" w:themeColor="text1"/>
                <w:sz w:val="20"/>
              </w:rPr>
              <w:t>0</w:t>
            </w:r>
            <w:r w:rsidR="00421804">
              <w:rPr>
                <w:b w:val="0"/>
                <w:color w:val="000000" w:themeColor="text1"/>
                <w:sz w:val="20"/>
              </w:rPr>
              <w:t>6</w:t>
            </w:r>
            <w:bookmarkStart w:id="0" w:name="_GoBack"/>
            <w:bookmarkEnd w:id="0"/>
            <w:r w:rsidRPr="00737C06">
              <w:rPr>
                <w:b w:val="0"/>
                <w:color w:val="000000" w:themeColor="text1"/>
                <w:sz w:val="20"/>
              </w:rPr>
              <w:t>-</w:t>
            </w:r>
            <w:r w:rsidR="00450EC0">
              <w:rPr>
                <w:b w:val="0"/>
                <w:color w:val="000000" w:themeColor="text1"/>
                <w:sz w:val="20"/>
              </w:rPr>
              <w:t>22</w:t>
            </w:r>
          </w:p>
        </w:tc>
      </w:tr>
      <w:tr w:rsidR="00737C06" w:rsidRPr="00737C06" w14:paraId="297D9FB4" w14:textId="77777777" w:rsidTr="009B6DDA">
        <w:trPr>
          <w:cantSplit/>
          <w:jc w:val="center"/>
        </w:trPr>
        <w:tc>
          <w:tcPr>
            <w:tcW w:w="9576" w:type="dxa"/>
            <w:gridSpan w:val="5"/>
            <w:vAlign w:val="center"/>
          </w:tcPr>
          <w:p w14:paraId="3DDEDAD3"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Author(s):</w:t>
            </w:r>
          </w:p>
        </w:tc>
      </w:tr>
      <w:tr w:rsidR="00737C06" w:rsidRPr="00737C06" w14:paraId="1368F850" w14:textId="77777777" w:rsidTr="009B6DDA">
        <w:trPr>
          <w:jc w:val="center"/>
        </w:trPr>
        <w:tc>
          <w:tcPr>
            <w:tcW w:w="1336" w:type="dxa"/>
            <w:vAlign w:val="center"/>
          </w:tcPr>
          <w:p w14:paraId="53648811"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Name</w:t>
            </w:r>
          </w:p>
        </w:tc>
        <w:tc>
          <w:tcPr>
            <w:tcW w:w="2064" w:type="dxa"/>
            <w:vAlign w:val="center"/>
          </w:tcPr>
          <w:p w14:paraId="52C4DF8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Company</w:t>
            </w:r>
          </w:p>
        </w:tc>
        <w:tc>
          <w:tcPr>
            <w:tcW w:w="2814" w:type="dxa"/>
            <w:vAlign w:val="center"/>
          </w:tcPr>
          <w:p w14:paraId="65C0E2DC"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Address</w:t>
            </w:r>
          </w:p>
        </w:tc>
        <w:tc>
          <w:tcPr>
            <w:tcW w:w="1715" w:type="dxa"/>
            <w:vAlign w:val="center"/>
          </w:tcPr>
          <w:p w14:paraId="33CC0C6E"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Phone</w:t>
            </w:r>
          </w:p>
        </w:tc>
        <w:tc>
          <w:tcPr>
            <w:tcW w:w="1647" w:type="dxa"/>
            <w:vAlign w:val="center"/>
          </w:tcPr>
          <w:p w14:paraId="3605B120" w14:textId="77777777" w:rsidR="00540FF9" w:rsidRPr="00737C06" w:rsidRDefault="00540FF9" w:rsidP="00F25688">
            <w:pPr>
              <w:pStyle w:val="T2"/>
              <w:spacing w:after="0"/>
              <w:ind w:left="0" w:right="0"/>
              <w:jc w:val="left"/>
              <w:rPr>
                <w:color w:val="000000" w:themeColor="text1"/>
                <w:sz w:val="20"/>
              </w:rPr>
            </w:pPr>
            <w:r w:rsidRPr="00737C06">
              <w:rPr>
                <w:color w:val="000000" w:themeColor="text1"/>
                <w:sz w:val="20"/>
              </w:rPr>
              <w:t>email</w:t>
            </w:r>
          </w:p>
        </w:tc>
      </w:tr>
      <w:tr w:rsidR="00737C06" w:rsidRPr="00737C06"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737C06" w:rsidRDefault="00540FF9" w:rsidP="00F25688">
            <w:pPr>
              <w:pStyle w:val="T2"/>
              <w:spacing w:after="0"/>
              <w:ind w:left="0" w:right="0"/>
              <w:rPr>
                <w:b w:val="0"/>
                <w:color w:val="000000" w:themeColor="text1"/>
                <w:sz w:val="20"/>
              </w:rPr>
            </w:pPr>
            <w:r w:rsidRPr="00737C06">
              <w:rPr>
                <w:b w:val="0"/>
                <w:color w:val="000000" w:themeColor="text1"/>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737C06" w:rsidRDefault="002443DE" w:rsidP="00F25688">
            <w:pPr>
              <w:pStyle w:val="T2"/>
              <w:spacing w:after="0"/>
              <w:ind w:left="0" w:right="0"/>
              <w:rPr>
                <w:b w:val="0"/>
                <w:color w:val="000000" w:themeColor="text1"/>
                <w:sz w:val="16"/>
              </w:rPr>
            </w:pPr>
            <w:hyperlink r:id="rId7" w:history="1">
              <w:r w:rsidR="00540FF9" w:rsidRPr="00737C06">
                <w:rPr>
                  <w:rStyle w:val="Hyperlink"/>
                  <w:b w:val="0"/>
                  <w:color w:val="000000" w:themeColor="text1"/>
                  <w:sz w:val="16"/>
                </w:rPr>
                <w:t>roger.hislop@is.co.za</w:t>
              </w:r>
            </w:hyperlink>
            <w:r w:rsidR="00540FF9" w:rsidRPr="00737C06">
              <w:rPr>
                <w:b w:val="0"/>
                <w:color w:val="000000" w:themeColor="text1"/>
                <w:sz w:val="16"/>
              </w:rPr>
              <w:t xml:space="preserve"> </w:t>
            </w:r>
          </w:p>
        </w:tc>
      </w:tr>
      <w:tr w:rsidR="00737C06" w:rsidRPr="00737C06"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737C06" w:rsidRDefault="00540FF9" w:rsidP="00F25688">
            <w:pPr>
              <w:pStyle w:val="T2"/>
              <w:spacing w:after="0"/>
              <w:ind w:left="0" w:right="0"/>
              <w:rPr>
                <w:b w:val="0"/>
                <w:color w:val="000000" w:themeColor="text1"/>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737C06" w:rsidRDefault="00540FF9" w:rsidP="00F25688">
            <w:pPr>
              <w:pStyle w:val="T2"/>
              <w:spacing w:after="0"/>
              <w:ind w:left="0" w:right="0"/>
              <w:rPr>
                <w:b w:val="0"/>
                <w:color w:val="000000" w:themeColor="text1"/>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737C06" w:rsidRDefault="00540FF9" w:rsidP="00F25688">
            <w:pPr>
              <w:pStyle w:val="T2"/>
              <w:spacing w:after="0"/>
              <w:ind w:left="0" w:right="0"/>
              <w:rPr>
                <w:b w:val="0"/>
                <w:color w:val="000000" w:themeColor="text1"/>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737C06" w:rsidRDefault="00540FF9" w:rsidP="00F25688">
            <w:pPr>
              <w:pStyle w:val="T2"/>
              <w:spacing w:after="0"/>
              <w:ind w:left="0" w:right="0"/>
              <w:rPr>
                <w:b w:val="0"/>
                <w:color w:val="000000" w:themeColor="text1"/>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737C06" w:rsidRDefault="00540FF9" w:rsidP="00F25688">
            <w:pPr>
              <w:pStyle w:val="T2"/>
              <w:spacing w:after="0"/>
              <w:ind w:left="0" w:right="0"/>
              <w:rPr>
                <w:b w:val="0"/>
                <w:color w:val="000000" w:themeColor="text1"/>
                <w:sz w:val="16"/>
              </w:rPr>
            </w:pPr>
          </w:p>
        </w:tc>
      </w:tr>
    </w:tbl>
    <w:p w14:paraId="01F59FFE" w14:textId="77777777" w:rsidR="00540FF9" w:rsidRPr="00737C06" w:rsidRDefault="00540FF9" w:rsidP="00F25688">
      <w:pPr>
        <w:pStyle w:val="T1"/>
        <w:spacing w:after="120"/>
        <w:rPr>
          <w:color w:val="000000" w:themeColor="text1"/>
          <w:sz w:val="22"/>
        </w:rPr>
      </w:pPr>
      <w:r w:rsidRPr="00737C06">
        <w:rPr>
          <w:noProof/>
          <w:color w:val="000000" w:themeColor="text1"/>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95017FC" w:rsidR="00540FF9" w:rsidRDefault="00540FF9" w:rsidP="00540FF9">
                            <w:pPr>
                              <w:jc w:val="both"/>
                            </w:pPr>
                            <w:r w:rsidRPr="00A00CBC">
                              <w:rPr>
                                <w:b/>
                              </w:rPr>
                              <w:t>Year 20</w:t>
                            </w:r>
                            <w:r>
                              <w:rPr>
                                <w:b/>
                              </w:rPr>
                              <w:t>1</w:t>
                            </w:r>
                            <w:r w:rsidR="00DA4352">
                              <w:rPr>
                                <w:b/>
                              </w:rPr>
                              <w:t>7</w:t>
                            </w:r>
                            <w:r>
                              <w:t xml:space="preserve"> – </w:t>
                            </w:r>
                            <w:r w:rsidR="009E174F">
                              <w:t xml:space="preserve">June </w:t>
                            </w:r>
                            <w:r w:rsidR="00450EC0">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695017FC" w:rsidR="00540FF9" w:rsidRDefault="00540FF9" w:rsidP="00540FF9">
                      <w:pPr>
                        <w:jc w:val="both"/>
                      </w:pPr>
                      <w:r w:rsidRPr="00A00CBC">
                        <w:rPr>
                          <w:b/>
                        </w:rPr>
                        <w:t>Year 20</w:t>
                      </w:r>
                      <w:r>
                        <w:rPr>
                          <w:b/>
                        </w:rPr>
                        <w:t>1</w:t>
                      </w:r>
                      <w:r w:rsidR="00DA4352">
                        <w:rPr>
                          <w:b/>
                        </w:rPr>
                        <w:t>7</w:t>
                      </w:r>
                      <w:r>
                        <w:t xml:space="preserve"> – </w:t>
                      </w:r>
                      <w:r w:rsidR="009E174F">
                        <w:t xml:space="preserve">June </w:t>
                      </w:r>
                      <w:r w:rsidR="00450EC0">
                        <w:t>22</w:t>
                      </w:r>
                    </w:p>
                  </w:txbxContent>
                </v:textbox>
              </v:shape>
            </w:pict>
          </mc:Fallback>
        </mc:AlternateContent>
      </w:r>
    </w:p>
    <w:p w14:paraId="47078673" w14:textId="77CF1DAE" w:rsidR="00540FF9" w:rsidRPr="00737C06" w:rsidRDefault="00540FF9" w:rsidP="00F25688">
      <w:pPr>
        <w:rPr>
          <w:color w:val="000000" w:themeColor="text1"/>
        </w:rPr>
      </w:pPr>
      <w:r w:rsidRPr="00737C06">
        <w:rPr>
          <w:noProof/>
          <w:color w:val="000000" w:themeColor="text1"/>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737C06">
        <w:rPr>
          <w:color w:val="000000" w:themeColor="text1"/>
        </w:rPr>
        <w:br w:type="page"/>
      </w:r>
      <w:r w:rsidRPr="00737C06">
        <w:rPr>
          <w:b/>
          <w:color w:val="000000" w:themeColor="text1"/>
          <w:sz w:val="32"/>
          <w:szCs w:val="32"/>
        </w:rPr>
        <w:lastRenderedPageBreak/>
        <w:t xml:space="preserve">1. </w:t>
      </w:r>
      <w:r w:rsidR="00421804">
        <w:rPr>
          <w:b/>
          <w:color w:val="000000" w:themeColor="text1"/>
          <w:sz w:val="32"/>
          <w:szCs w:val="32"/>
        </w:rPr>
        <w:t xml:space="preserve">June </w:t>
      </w:r>
      <w:r w:rsidR="00970648">
        <w:rPr>
          <w:b/>
          <w:color w:val="000000" w:themeColor="text1"/>
          <w:sz w:val="32"/>
          <w:szCs w:val="32"/>
        </w:rPr>
        <w:t>22</w:t>
      </w:r>
      <w:r w:rsidR="00421804" w:rsidRPr="00421804">
        <w:rPr>
          <w:b/>
          <w:color w:val="000000" w:themeColor="text1"/>
          <w:sz w:val="32"/>
          <w:szCs w:val="32"/>
          <w:vertAlign w:val="superscript"/>
        </w:rPr>
        <w:t>th</w:t>
      </w:r>
      <w:r w:rsidR="00DD70BA" w:rsidRPr="00737C06">
        <w:rPr>
          <w:b/>
          <w:color w:val="000000" w:themeColor="text1"/>
          <w:sz w:val="32"/>
          <w:szCs w:val="32"/>
        </w:rPr>
        <w:t xml:space="preserve"> 201</w:t>
      </w:r>
      <w:r w:rsidR="00794E2F" w:rsidRPr="00737C06">
        <w:rPr>
          <w:b/>
          <w:color w:val="000000" w:themeColor="text1"/>
          <w:sz w:val="32"/>
          <w:szCs w:val="32"/>
        </w:rPr>
        <w:t>7</w:t>
      </w:r>
      <w:r w:rsidR="00B97AD3" w:rsidRPr="00737C06">
        <w:rPr>
          <w:b/>
          <w:color w:val="000000" w:themeColor="text1"/>
          <w:sz w:val="32"/>
          <w:szCs w:val="32"/>
        </w:rPr>
        <w:t>–</w:t>
      </w:r>
      <w:r w:rsidRPr="00737C06">
        <w:rPr>
          <w:b/>
          <w:color w:val="000000" w:themeColor="text1"/>
          <w:sz w:val="32"/>
          <w:szCs w:val="32"/>
        </w:rPr>
        <w:t>Spectrum Charact</w:t>
      </w:r>
      <w:r w:rsidR="00704BB6" w:rsidRPr="00737C06">
        <w:rPr>
          <w:b/>
          <w:color w:val="000000" w:themeColor="text1"/>
          <w:sz w:val="32"/>
          <w:szCs w:val="32"/>
        </w:rPr>
        <w:t xml:space="preserve">erization and Occupancy Sensing </w:t>
      </w:r>
      <w:r w:rsidRPr="00737C06">
        <w:rPr>
          <w:b/>
          <w:color w:val="000000" w:themeColor="text1"/>
          <w:sz w:val="32"/>
          <w:szCs w:val="32"/>
        </w:rPr>
        <w:t>Conference Call Meeting Minutes</w:t>
      </w:r>
    </w:p>
    <w:p w14:paraId="06BDC5F2" w14:textId="77777777" w:rsidR="00540FF9" w:rsidRPr="00737C06" w:rsidRDefault="00540FF9" w:rsidP="00F25688">
      <w:pPr>
        <w:rPr>
          <w:color w:val="000000" w:themeColor="text1"/>
        </w:rPr>
      </w:pPr>
    </w:p>
    <w:p w14:paraId="395F8911" w14:textId="77777777" w:rsidR="00540FF9" w:rsidRPr="00737C06" w:rsidRDefault="00540FF9" w:rsidP="00F25688">
      <w:pPr>
        <w:rPr>
          <w:color w:val="000000" w:themeColor="text1"/>
          <w:szCs w:val="22"/>
        </w:rPr>
      </w:pPr>
      <w:r w:rsidRPr="00737C06">
        <w:rPr>
          <w:color w:val="000000" w:themeColor="text1"/>
          <w:szCs w:val="22"/>
        </w:rPr>
        <w:t>1. Attendance</w:t>
      </w:r>
    </w:p>
    <w:p w14:paraId="68ADB74B" w14:textId="77777777" w:rsidR="00083FDE" w:rsidRPr="00895D08" w:rsidRDefault="00083FDE" w:rsidP="00F25688">
      <w:pPr>
        <w:rPr>
          <w:color w:val="000000" w:themeColor="text1"/>
          <w:szCs w:val="22"/>
        </w:rPr>
      </w:pPr>
    </w:p>
    <w:p w14:paraId="7548595C" w14:textId="6E663BC2" w:rsidR="00DD70BA" w:rsidRPr="00895D08" w:rsidRDefault="00DD70BA" w:rsidP="00DD70BA">
      <w:pPr>
        <w:rPr>
          <w:color w:val="000000" w:themeColor="text1"/>
          <w:szCs w:val="22"/>
        </w:rPr>
      </w:pPr>
      <w:r w:rsidRPr="00895D08">
        <w:rPr>
          <w:color w:val="000000" w:themeColor="text1"/>
          <w:szCs w:val="22"/>
        </w:rPr>
        <w:t>Roger Hislop (RH), TG chair, Internet Solutions</w:t>
      </w:r>
    </w:p>
    <w:p w14:paraId="15959AD3" w14:textId="55A9CE90" w:rsidR="00C77344" w:rsidRPr="00895D08" w:rsidRDefault="00C77344" w:rsidP="00C77344">
      <w:pPr>
        <w:rPr>
          <w:color w:val="000000" w:themeColor="text1"/>
          <w:szCs w:val="22"/>
        </w:rPr>
      </w:pPr>
      <w:r w:rsidRPr="00895D08">
        <w:rPr>
          <w:color w:val="000000" w:themeColor="text1"/>
          <w:szCs w:val="22"/>
        </w:rPr>
        <w:t xml:space="preserve">Nilesh Khambekar (NK), </w:t>
      </w:r>
      <w:r w:rsidR="00DA4352" w:rsidRPr="00895D08">
        <w:rPr>
          <w:color w:val="000000" w:themeColor="text1"/>
          <w:szCs w:val="22"/>
        </w:rPr>
        <w:t>SpectrumFi</w:t>
      </w:r>
    </w:p>
    <w:p w14:paraId="27614D45" w14:textId="79413561" w:rsidR="00C77344" w:rsidRPr="00895D08" w:rsidRDefault="00C77344" w:rsidP="00F25688">
      <w:pPr>
        <w:jc w:val="both"/>
        <w:rPr>
          <w:color w:val="000000" w:themeColor="text1"/>
          <w:szCs w:val="22"/>
        </w:rPr>
      </w:pPr>
      <w:r w:rsidRPr="00895D08">
        <w:rPr>
          <w:color w:val="000000" w:themeColor="text1"/>
          <w:szCs w:val="22"/>
        </w:rPr>
        <w:t>Ken Baker (KB), NTIA</w:t>
      </w:r>
    </w:p>
    <w:p w14:paraId="768959BF" w14:textId="34264842" w:rsidR="00895D08" w:rsidRDefault="00421804" w:rsidP="00F25688">
      <w:pPr>
        <w:jc w:val="both"/>
        <w:rPr>
          <w:color w:val="000000" w:themeColor="text1"/>
          <w:szCs w:val="22"/>
        </w:rPr>
      </w:pPr>
      <w:r>
        <w:rPr>
          <w:color w:val="000000" w:themeColor="text1"/>
          <w:szCs w:val="22"/>
        </w:rPr>
        <w:t>Carl Crosswhite</w:t>
      </w:r>
      <w:r w:rsidR="00895D08" w:rsidRPr="00895D08">
        <w:rPr>
          <w:color w:val="000000" w:themeColor="text1"/>
          <w:szCs w:val="22"/>
        </w:rPr>
        <w:t xml:space="preserve"> (</w:t>
      </w:r>
      <w:r>
        <w:rPr>
          <w:color w:val="000000" w:themeColor="text1"/>
          <w:szCs w:val="22"/>
        </w:rPr>
        <w:t>CC</w:t>
      </w:r>
      <w:r w:rsidR="00895D08" w:rsidRPr="00895D08">
        <w:rPr>
          <w:color w:val="000000" w:themeColor="text1"/>
          <w:szCs w:val="22"/>
        </w:rPr>
        <w:t>), NTIA</w:t>
      </w:r>
    </w:p>
    <w:p w14:paraId="3BAEDE40" w14:textId="55C00D0F" w:rsidR="00421804" w:rsidRDefault="00421804" w:rsidP="00F25688">
      <w:pPr>
        <w:jc w:val="both"/>
        <w:rPr>
          <w:color w:val="000000" w:themeColor="text1"/>
          <w:szCs w:val="22"/>
        </w:rPr>
      </w:pPr>
      <w:r>
        <w:rPr>
          <w:color w:val="000000" w:themeColor="text1"/>
          <w:szCs w:val="22"/>
        </w:rPr>
        <w:t>Gianfranco Miele (GM), Unicas</w:t>
      </w:r>
    </w:p>
    <w:p w14:paraId="2BB28A5C" w14:textId="7B72C7CE" w:rsidR="00970648" w:rsidRPr="00895D08" w:rsidRDefault="00970648" w:rsidP="00F25688">
      <w:pPr>
        <w:jc w:val="both"/>
        <w:rPr>
          <w:color w:val="000000" w:themeColor="text1"/>
          <w:szCs w:val="22"/>
        </w:rPr>
      </w:pPr>
      <w:r>
        <w:rPr>
          <w:color w:val="000000" w:themeColor="text1"/>
          <w:szCs w:val="22"/>
        </w:rPr>
        <w:t>Gianni Cerro (GC). Unicas</w:t>
      </w:r>
    </w:p>
    <w:p w14:paraId="6CCF5414" w14:textId="604755C7" w:rsidR="00133993" w:rsidRDefault="00970648" w:rsidP="00F25688">
      <w:pPr>
        <w:jc w:val="both"/>
        <w:rPr>
          <w:color w:val="000000" w:themeColor="text1"/>
          <w:szCs w:val="22"/>
        </w:rPr>
      </w:pPr>
      <w:r>
        <w:rPr>
          <w:color w:val="000000" w:themeColor="text1"/>
          <w:szCs w:val="22"/>
        </w:rPr>
        <w:t>Mike Cotton (MC), NTIA</w:t>
      </w:r>
    </w:p>
    <w:p w14:paraId="5BF98403" w14:textId="0E4A5C35" w:rsidR="00421804" w:rsidRPr="00895D08" w:rsidRDefault="00421804" w:rsidP="00F25688">
      <w:pPr>
        <w:jc w:val="both"/>
        <w:rPr>
          <w:color w:val="000000" w:themeColor="text1"/>
          <w:szCs w:val="22"/>
        </w:rPr>
      </w:pPr>
      <w:r>
        <w:rPr>
          <w:color w:val="000000" w:themeColor="text1"/>
          <w:szCs w:val="22"/>
        </w:rPr>
        <w:t>Jerry Kalke (JK), CBS</w:t>
      </w:r>
    </w:p>
    <w:p w14:paraId="31431EA3" w14:textId="77777777" w:rsidR="008D4706" w:rsidRPr="00737C06" w:rsidRDefault="008D4706" w:rsidP="00F25688">
      <w:pPr>
        <w:jc w:val="both"/>
        <w:rPr>
          <w:color w:val="000000" w:themeColor="text1"/>
          <w:szCs w:val="22"/>
        </w:rPr>
      </w:pPr>
    </w:p>
    <w:p w14:paraId="699BA94A" w14:textId="77777777" w:rsidR="00540FF9" w:rsidRPr="00737C06" w:rsidRDefault="00540FF9" w:rsidP="00F25688">
      <w:pPr>
        <w:jc w:val="both"/>
        <w:rPr>
          <w:color w:val="000000" w:themeColor="text1"/>
          <w:szCs w:val="22"/>
        </w:rPr>
      </w:pPr>
      <w:r w:rsidRPr="00737C06">
        <w:rPr>
          <w:color w:val="000000" w:themeColor="text1"/>
          <w:szCs w:val="22"/>
        </w:rPr>
        <w:t>2.1 Agenda</w:t>
      </w:r>
    </w:p>
    <w:p w14:paraId="13BA6A4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Attendance </w:t>
      </w:r>
    </w:p>
    <w:p w14:paraId="718B0871"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IEEE norms and processes</w:t>
      </w:r>
    </w:p>
    <w:p w14:paraId="7DCFC62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Discussion</w:t>
      </w:r>
    </w:p>
    <w:p w14:paraId="26F247D9"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New business</w:t>
      </w:r>
    </w:p>
    <w:p w14:paraId="6E597237" w14:textId="77777777" w:rsidR="00A451D9" w:rsidRPr="00737C06" w:rsidRDefault="00A451D9" w:rsidP="00A451D9">
      <w:pPr>
        <w:jc w:val="both"/>
        <w:rPr>
          <w:color w:val="000000" w:themeColor="text1"/>
          <w:szCs w:val="22"/>
        </w:rPr>
      </w:pPr>
    </w:p>
    <w:p w14:paraId="204C1367" w14:textId="367AD72D" w:rsidR="00540FF9" w:rsidRPr="00737C06" w:rsidRDefault="00540FF9" w:rsidP="00F25688">
      <w:pPr>
        <w:jc w:val="both"/>
        <w:rPr>
          <w:color w:val="000000" w:themeColor="text1"/>
          <w:szCs w:val="22"/>
        </w:rPr>
      </w:pPr>
      <w:r w:rsidRPr="00737C06">
        <w:rPr>
          <w:color w:val="000000" w:themeColor="text1"/>
          <w:szCs w:val="22"/>
        </w:rPr>
        <w:t>Minutes and Discussions</w:t>
      </w:r>
      <w:r w:rsidR="00767DE8" w:rsidRPr="00737C06">
        <w:rPr>
          <w:color w:val="000000" w:themeColor="text1"/>
          <w:szCs w:val="22"/>
        </w:rPr>
        <w:tab/>
      </w:r>
    </w:p>
    <w:p w14:paraId="21911BBB" w14:textId="0D3893B9" w:rsidR="00540FF9" w:rsidRPr="00737C06" w:rsidRDefault="00540FF9" w:rsidP="00F25688">
      <w:pPr>
        <w:numPr>
          <w:ilvl w:val="0"/>
          <w:numId w:val="1"/>
        </w:numPr>
        <w:jc w:val="both"/>
        <w:rPr>
          <w:color w:val="000000" w:themeColor="text1"/>
          <w:szCs w:val="22"/>
        </w:rPr>
      </w:pPr>
      <w:r w:rsidRPr="00737C06">
        <w:rPr>
          <w:color w:val="000000" w:themeColor="text1"/>
          <w:szCs w:val="22"/>
        </w:rPr>
        <w:t>Meeting started at 14h00 UT</w:t>
      </w:r>
      <w:r w:rsidR="0017049B" w:rsidRPr="00737C06">
        <w:rPr>
          <w:color w:val="000000" w:themeColor="text1"/>
          <w:szCs w:val="22"/>
        </w:rPr>
        <w:t>C</w:t>
      </w:r>
    </w:p>
    <w:p w14:paraId="56E18915"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The IEEE 802.22.3 Task Group Chair took the attendance</w:t>
      </w:r>
    </w:p>
    <w:p w14:paraId="2554D4A8"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737C06" w:rsidRDefault="002443DE" w:rsidP="00F25688">
      <w:pPr>
        <w:numPr>
          <w:ilvl w:val="1"/>
          <w:numId w:val="1"/>
        </w:numPr>
        <w:jc w:val="both"/>
        <w:rPr>
          <w:color w:val="000000" w:themeColor="text1"/>
          <w:szCs w:val="22"/>
        </w:rPr>
      </w:pPr>
      <w:hyperlink r:id="rId14" w:history="1">
        <w:r w:rsidR="00540FF9" w:rsidRPr="00737C06">
          <w:rPr>
            <w:rStyle w:val="Hyperlink"/>
            <w:color w:val="000000" w:themeColor="text1"/>
            <w:szCs w:val="22"/>
          </w:rPr>
          <w:t>http://standards.ieee.org/board/pat/pat-slideset.pdf</w:t>
        </w:r>
      </w:hyperlink>
      <w:r w:rsidR="00540FF9" w:rsidRPr="00737C06">
        <w:rPr>
          <w:color w:val="000000" w:themeColor="text1"/>
          <w:szCs w:val="22"/>
        </w:rPr>
        <w:t xml:space="preserve"> </w:t>
      </w:r>
    </w:p>
    <w:p w14:paraId="3360BF7A" w14:textId="77777777" w:rsidR="00540FF9" w:rsidRPr="00737C06" w:rsidRDefault="00540FF9" w:rsidP="00F25688">
      <w:pPr>
        <w:numPr>
          <w:ilvl w:val="0"/>
          <w:numId w:val="1"/>
        </w:numPr>
        <w:jc w:val="both"/>
        <w:rPr>
          <w:color w:val="000000" w:themeColor="text1"/>
          <w:szCs w:val="22"/>
        </w:rPr>
      </w:pPr>
      <w:r w:rsidRPr="00737C06">
        <w:rPr>
          <w:color w:val="000000" w:themeColor="text1"/>
          <w:szCs w:val="22"/>
        </w:rPr>
        <w:t>Chair reiterated the IEEE prohibition of commercial discussion and early disclosure of Intellectual Property, and meeting commenced.</w:t>
      </w:r>
    </w:p>
    <w:p w14:paraId="219E7DBE" w14:textId="29158D4B" w:rsidR="00540FF9" w:rsidRPr="00737C06" w:rsidRDefault="00302206" w:rsidP="00F25688">
      <w:pPr>
        <w:numPr>
          <w:ilvl w:val="0"/>
          <w:numId w:val="1"/>
        </w:numPr>
        <w:jc w:val="both"/>
        <w:rPr>
          <w:color w:val="000000" w:themeColor="text1"/>
          <w:szCs w:val="22"/>
        </w:rPr>
      </w:pPr>
      <w:r w:rsidRPr="00737C06">
        <w:rPr>
          <w:color w:val="000000" w:themeColor="text1"/>
          <w:szCs w:val="22"/>
        </w:rPr>
        <w:t>Task Group process</w:t>
      </w:r>
    </w:p>
    <w:p w14:paraId="1784D9E7" w14:textId="08D62C7D" w:rsidR="007A42EA" w:rsidRPr="00737C06" w:rsidRDefault="006610D1" w:rsidP="007A42EA">
      <w:pPr>
        <w:pStyle w:val="ListParagraph"/>
        <w:numPr>
          <w:ilvl w:val="1"/>
          <w:numId w:val="1"/>
        </w:numPr>
        <w:jc w:val="both"/>
        <w:rPr>
          <w:color w:val="000000" w:themeColor="text1"/>
          <w:szCs w:val="22"/>
        </w:rPr>
      </w:pPr>
      <w:r>
        <w:rPr>
          <w:color w:val="000000" w:themeColor="text1"/>
          <w:szCs w:val="22"/>
        </w:rPr>
        <w:t>Minutes of June 8 meeting reviewed, motion for accepting from NK, seconded by JK, so accepted.</w:t>
      </w:r>
    </w:p>
    <w:p w14:paraId="5BE46C8E" w14:textId="490EBF72" w:rsidR="008D4706" w:rsidRDefault="00540FF9" w:rsidP="00C26A0F">
      <w:pPr>
        <w:numPr>
          <w:ilvl w:val="0"/>
          <w:numId w:val="1"/>
        </w:numPr>
        <w:jc w:val="both"/>
        <w:rPr>
          <w:color w:val="000000" w:themeColor="text1"/>
          <w:szCs w:val="22"/>
        </w:rPr>
      </w:pPr>
      <w:r w:rsidRPr="00737C06">
        <w:rPr>
          <w:color w:val="000000" w:themeColor="text1"/>
          <w:szCs w:val="22"/>
        </w:rPr>
        <w:t>Task Group planning:</w:t>
      </w:r>
    </w:p>
    <w:p w14:paraId="53FD494C" w14:textId="74D76BBB" w:rsidR="007A191E" w:rsidRDefault="000276A3" w:rsidP="00215872">
      <w:pPr>
        <w:numPr>
          <w:ilvl w:val="1"/>
          <w:numId w:val="1"/>
        </w:numPr>
        <w:jc w:val="both"/>
        <w:rPr>
          <w:szCs w:val="22"/>
        </w:rPr>
      </w:pPr>
      <w:r>
        <w:rPr>
          <w:szCs w:val="22"/>
        </w:rPr>
        <w:t xml:space="preserve">GM, GC reviewed </w:t>
      </w:r>
      <w:r w:rsidR="00625D04">
        <w:rPr>
          <w:szCs w:val="22"/>
        </w:rPr>
        <w:t xml:space="preserve">their submissions on metadata </w:t>
      </w:r>
      <w:r w:rsidR="00112745">
        <w:rPr>
          <w:szCs w:val="22"/>
        </w:rPr>
        <w:t>definition – adding where necessary and removing some outdated/redundant material</w:t>
      </w:r>
    </w:p>
    <w:p w14:paraId="35A422CA" w14:textId="61E05ABA" w:rsidR="00112745" w:rsidRDefault="00112745" w:rsidP="00215872">
      <w:pPr>
        <w:numPr>
          <w:ilvl w:val="1"/>
          <w:numId w:val="1"/>
        </w:numPr>
        <w:jc w:val="both"/>
        <w:rPr>
          <w:szCs w:val="22"/>
        </w:rPr>
      </w:pPr>
      <w:r>
        <w:rPr>
          <w:szCs w:val="22"/>
        </w:rPr>
        <w:t>Discussion as to harmonising 802.22.3 with P1900.6. OH to arrange a joint session between groups to allow .3 to establish a “minimum set” of metadata items suitable to SCOS systems.</w:t>
      </w:r>
    </w:p>
    <w:p w14:paraId="4CEE0270" w14:textId="4FF5FD72" w:rsidR="00112745" w:rsidRDefault="00112745" w:rsidP="00215872">
      <w:pPr>
        <w:numPr>
          <w:ilvl w:val="1"/>
          <w:numId w:val="1"/>
        </w:numPr>
        <w:jc w:val="both"/>
        <w:rPr>
          <w:szCs w:val="22"/>
        </w:rPr>
      </w:pPr>
      <w:r>
        <w:rPr>
          <w:szCs w:val="22"/>
        </w:rPr>
        <w:t>Key is to use similar formatting of definition, terminology and units to aloow users of various systems to be sure metadata is describing similar environments</w:t>
      </w:r>
    </w:p>
    <w:p w14:paraId="286BF07F" w14:textId="4AADB384" w:rsidR="00112745" w:rsidRDefault="00112745" w:rsidP="00215872">
      <w:pPr>
        <w:numPr>
          <w:ilvl w:val="1"/>
          <w:numId w:val="1"/>
        </w:numPr>
        <w:jc w:val="both"/>
        <w:rPr>
          <w:szCs w:val="22"/>
        </w:rPr>
      </w:pPr>
      <w:r>
        <w:rPr>
          <w:szCs w:val="22"/>
        </w:rPr>
        <w:t xml:space="preserve">Proposal within metadata is classes to describe metadata related to sensing environment, sensing systems and users; and that all metadata fields are compulsory to implement to ensure </w:t>
      </w:r>
      <w:r w:rsidR="00F003E9">
        <w:rPr>
          <w:szCs w:val="22"/>
        </w:rPr>
        <w:t>consistent and considered use of metadata to promote data quality</w:t>
      </w:r>
    </w:p>
    <w:p w14:paraId="24DACEF6" w14:textId="1575ED11" w:rsidR="00112745" w:rsidRDefault="00F003E9" w:rsidP="00215872">
      <w:pPr>
        <w:numPr>
          <w:ilvl w:val="1"/>
          <w:numId w:val="1"/>
        </w:numPr>
        <w:jc w:val="both"/>
        <w:rPr>
          <w:szCs w:val="22"/>
        </w:rPr>
      </w:pPr>
      <w:r>
        <w:rPr>
          <w:szCs w:val="22"/>
        </w:rPr>
        <w:t>Discussion of element and interface description in the architecture – that “Tasking Agent” and “Data Client” (aka “Data Receive Point”) are not system entities, but actors interacting with entities through the respective API.</w:t>
      </w:r>
    </w:p>
    <w:p w14:paraId="43364EB2" w14:textId="5504734B" w:rsidR="00F003E9" w:rsidRDefault="00346025" w:rsidP="00215872">
      <w:pPr>
        <w:numPr>
          <w:ilvl w:val="1"/>
          <w:numId w:val="1"/>
        </w:numPr>
        <w:jc w:val="both"/>
        <w:rPr>
          <w:szCs w:val="22"/>
        </w:rPr>
      </w:pPr>
      <w:r>
        <w:rPr>
          <w:szCs w:val="22"/>
        </w:rPr>
        <w:t xml:space="preserve">Reiteration that the architecture should emphasise the </w:t>
      </w:r>
      <w:r w:rsidR="001B54FB">
        <w:rPr>
          <w:szCs w:val="22"/>
        </w:rPr>
        <w:t>separation between Control Plane and Data Plane. In the 802.22.3 architecture southbound instructions from the Tasking Agent, as well as northbound acknowledgements/errors, are Control Plane, northbound messages of sensing data from SD towards DC are Data Plane.</w:t>
      </w:r>
    </w:p>
    <w:p w14:paraId="7A421AA0" w14:textId="4202834C" w:rsidR="001B54FB" w:rsidRPr="00797638" w:rsidRDefault="001B54FB" w:rsidP="00215872">
      <w:pPr>
        <w:numPr>
          <w:ilvl w:val="1"/>
          <w:numId w:val="1"/>
        </w:numPr>
        <w:jc w:val="both"/>
        <w:rPr>
          <w:szCs w:val="22"/>
        </w:rPr>
      </w:pPr>
      <w:r>
        <w:rPr>
          <w:szCs w:val="22"/>
        </w:rPr>
        <w:t xml:space="preserve">With this in mind, Control Plane messages would be synchronous via API, Data Plane would be asynchronous via a messaging protocol. In all cases, </w:t>
      </w:r>
      <w:r w:rsidR="00737568">
        <w:rPr>
          <w:szCs w:val="22"/>
        </w:rPr>
        <w:t>instructions</w:t>
      </w:r>
      <w:r>
        <w:rPr>
          <w:szCs w:val="22"/>
        </w:rPr>
        <w:t xml:space="preserve"> would be </w:t>
      </w:r>
      <w:r w:rsidR="00737568">
        <w:rPr>
          <w:szCs w:val="22"/>
        </w:rPr>
        <w:t xml:space="preserve">defined as </w:t>
      </w:r>
      <w:r>
        <w:rPr>
          <w:szCs w:val="22"/>
        </w:rPr>
        <w:t xml:space="preserve">JSON </w:t>
      </w:r>
      <w:r w:rsidR="00737568">
        <w:rPr>
          <w:szCs w:val="22"/>
        </w:rPr>
        <w:t>messages</w:t>
      </w:r>
      <w:r>
        <w:rPr>
          <w:szCs w:val="22"/>
        </w:rPr>
        <w:t xml:space="preserve">, </w:t>
      </w:r>
      <w:r w:rsidR="00737568">
        <w:rPr>
          <w:szCs w:val="22"/>
        </w:rPr>
        <w:t>handed off via a transport mechanism that is left to the SCOS system implementor.</w:t>
      </w:r>
      <w:r>
        <w:rPr>
          <w:szCs w:val="22"/>
        </w:rPr>
        <w:t xml:space="preserve"> </w:t>
      </w:r>
    </w:p>
    <w:p w14:paraId="7E25F415" w14:textId="76021F73" w:rsidR="00C26A0F" w:rsidRPr="00797638" w:rsidRDefault="00540FF9" w:rsidP="00C26A0F">
      <w:pPr>
        <w:numPr>
          <w:ilvl w:val="0"/>
          <w:numId w:val="1"/>
        </w:numPr>
        <w:jc w:val="both"/>
        <w:rPr>
          <w:color w:val="000000" w:themeColor="text1"/>
          <w:szCs w:val="22"/>
        </w:rPr>
      </w:pPr>
      <w:r w:rsidRPr="00737C06">
        <w:rPr>
          <w:color w:val="000000" w:themeColor="text1"/>
          <w:szCs w:val="22"/>
        </w:rPr>
        <w:t>Meeting was adjourned at 1</w:t>
      </w:r>
      <w:r w:rsidR="006610D1">
        <w:rPr>
          <w:color w:val="000000" w:themeColor="text1"/>
          <w:szCs w:val="22"/>
        </w:rPr>
        <w:t>5</w:t>
      </w:r>
      <w:r w:rsidRPr="00737C06">
        <w:rPr>
          <w:color w:val="000000" w:themeColor="text1"/>
          <w:szCs w:val="22"/>
        </w:rPr>
        <w:t>h</w:t>
      </w:r>
      <w:r w:rsidR="00C26A0F">
        <w:rPr>
          <w:color w:val="000000" w:themeColor="text1"/>
          <w:szCs w:val="22"/>
        </w:rPr>
        <w:t>0</w:t>
      </w:r>
      <w:r w:rsidR="007F5EC0" w:rsidRPr="00737C06">
        <w:rPr>
          <w:color w:val="000000" w:themeColor="text1"/>
          <w:szCs w:val="22"/>
        </w:rPr>
        <w:t>0</w:t>
      </w:r>
      <w:r w:rsidRPr="00737C06">
        <w:rPr>
          <w:color w:val="000000" w:themeColor="text1"/>
          <w:szCs w:val="22"/>
        </w:rPr>
        <w:t xml:space="preserve"> UT</w:t>
      </w:r>
      <w:r w:rsidR="00F731AF" w:rsidRPr="00737C06">
        <w:rPr>
          <w:color w:val="000000" w:themeColor="text1"/>
          <w:szCs w:val="22"/>
        </w:rPr>
        <w:t>C</w:t>
      </w:r>
      <w:r w:rsidR="007F5EC0" w:rsidRPr="00737C06">
        <w:rPr>
          <w:color w:val="000000" w:themeColor="text1"/>
          <w:szCs w:val="22"/>
        </w:rPr>
        <w:t xml:space="preserve">, next meeting to be held </w:t>
      </w:r>
      <w:r w:rsidR="00737568">
        <w:rPr>
          <w:color w:val="000000" w:themeColor="text1"/>
          <w:szCs w:val="22"/>
        </w:rPr>
        <w:t>6</w:t>
      </w:r>
      <w:r w:rsidR="00777322" w:rsidRPr="00737C06">
        <w:rPr>
          <w:color w:val="000000" w:themeColor="text1"/>
          <w:szCs w:val="22"/>
          <w:vertAlign w:val="superscript"/>
        </w:rPr>
        <w:t xml:space="preserve">th </w:t>
      </w:r>
      <w:r w:rsidR="00737568">
        <w:rPr>
          <w:color w:val="000000" w:themeColor="text1"/>
          <w:szCs w:val="22"/>
        </w:rPr>
        <w:t>July</w:t>
      </w:r>
      <w:r w:rsidR="007F5EC0" w:rsidRPr="00737C06">
        <w:rPr>
          <w:color w:val="000000" w:themeColor="text1"/>
          <w:szCs w:val="22"/>
        </w:rPr>
        <w:t xml:space="preserve"> </w:t>
      </w:r>
      <w:r w:rsidR="00A9708C" w:rsidRPr="00737C06">
        <w:rPr>
          <w:color w:val="000000" w:themeColor="text1"/>
          <w:szCs w:val="22"/>
        </w:rPr>
        <w:t>2017</w:t>
      </w:r>
      <w:r w:rsidR="007F5EC0" w:rsidRPr="00737C06">
        <w:rPr>
          <w:color w:val="000000" w:themeColor="text1"/>
          <w:szCs w:val="22"/>
        </w:rPr>
        <w:t>.</w:t>
      </w:r>
    </w:p>
    <w:sectPr w:rsidR="00C26A0F" w:rsidRPr="00797638">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43245" w14:textId="77777777" w:rsidR="002443DE" w:rsidRDefault="002443DE" w:rsidP="0044070E">
      <w:r>
        <w:separator/>
      </w:r>
    </w:p>
  </w:endnote>
  <w:endnote w:type="continuationSeparator" w:id="0">
    <w:p w14:paraId="15768B52" w14:textId="77777777" w:rsidR="002443DE" w:rsidRDefault="002443DE"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2443DE">
      <w:rPr>
        <w:noProof/>
      </w:rPr>
      <w:t>1</w:t>
    </w:r>
    <w:r>
      <w:fldChar w:fldCharType="end"/>
    </w:r>
    <w:r>
      <w:tab/>
      <w:t>Roger Hislop, Internet Solutions</w:t>
    </w:r>
  </w:p>
  <w:p w14:paraId="2B7AA521" w14:textId="77777777" w:rsidR="00CF176F" w:rsidRDefault="002443D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48A8" w14:textId="77777777" w:rsidR="002443DE" w:rsidRDefault="002443DE" w:rsidP="0044070E">
      <w:r>
        <w:separator/>
      </w:r>
    </w:p>
  </w:footnote>
  <w:footnote w:type="continuationSeparator" w:id="0">
    <w:p w14:paraId="053A9152" w14:textId="77777777" w:rsidR="002443DE" w:rsidRDefault="002443DE"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r w:rsidR="002443DE">
      <w:fldChar w:fldCharType="begin"/>
    </w:r>
    <w:r w:rsidR="002443DE">
      <w:instrText xml:space="preserve"> TITLE  \* MERGEFORMAT </w:instrText>
    </w:r>
    <w:r w:rsidR="002443DE">
      <w:fldChar w:fldCharType="separate"/>
    </w:r>
    <w:r w:rsidR="00794E2F">
      <w:t>doc.: IEEE 802.22-17</w:t>
    </w:r>
    <w:r w:rsidR="0039222B">
      <w:t>/00</w:t>
    </w:r>
    <w:r w:rsidR="00803EC2">
      <w:t>04</w:t>
    </w:r>
    <w:r w:rsidR="0039222B">
      <w:t>r</w:t>
    </w:r>
    <w:r w:rsidR="002443DE">
      <w:fldChar w:fldCharType="end"/>
    </w:r>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9C4218B8"/>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276A3"/>
    <w:rsid w:val="00037516"/>
    <w:rsid w:val="00083FDE"/>
    <w:rsid w:val="000915C2"/>
    <w:rsid w:val="000A1C05"/>
    <w:rsid w:val="000B4801"/>
    <w:rsid w:val="00112745"/>
    <w:rsid w:val="00133993"/>
    <w:rsid w:val="0013771F"/>
    <w:rsid w:val="001417F5"/>
    <w:rsid w:val="00142888"/>
    <w:rsid w:val="0017049B"/>
    <w:rsid w:val="001A301C"/>
    <w:rsid w:val="001A706B"/>
    <w:rsid w:val="001B54FB"/>
    <w:rsid w:val="001D004D"/>
    <w:rsid w:val="001D23A2"/>
    <w:rsid w:val="001D6BE2"/>
    <w:rsid w:val="001E1819"/>
    <w:rsid w:val="001E3056"/>
    <w:rsid w:val="00215872"/>
    <w:rsid w:val="002174FB"/>
    <w:rsid w:val="00217AAE"/>
    <w:rsid w:val="00235FB2"/>
    <w:rsid w:val="002443DE"/>
    <w:rsid w:val="00256350"/>
    <w:rsid w:val="00262EA5"/>
    <w:rsid w:val="002718C4"/>
    <w:rsid w:val="00293B82"/>
    <w:rsid w:val="002A3C3A"/>
    <w:rsid w:val="002A4DA0"/>
    <w:rsid w:val="002A74D4"/>
    <w:rsid w:val="002D73E7"/>
    <w:rsid w:val="002E14A3"/>
    <w:rsid w:val="002E53CF"/>
    <w:rsid w:val="00302206"/>
    <w:rsid w:val="0031614E"/>
    <w:rsid w:val="003402DF"/>
    <w:rsid w:val="00346025"/>
    <w:rsid w:val="00352097"/>
    <w:rsid w:val="00361F5A"/>
    <w:rsid w:val="00362032"/>
    <w:rsid w:val="00362311"/>
    <w:rsid w:val="003655D7"/>
    <w:rsid w:val="0039222B"/>
    <w:rsid w:val="003A1BF0"/>
    <w:rsid w:val="003C15C4"/>
    <w:rsid w:val="003F4690"/>
    <w:rsid w:val="003F4AFB"/>
    <w:rsid w:val="003F5C2A"/>
    <w:rsid w:val="00405B05"/>
    <w:rsid w:val="004138CC"/>
    <w:rsid w:val="00421804"/>
    <w:rsid w:val="00432E69"/>
    <w:rsid w:val="0044070E"/>
    <w:rsid w:val="00450EC0"/>
    <w:rsid w:val="00455921"/>
    <w:rsid w:val="00457C80"/>
    <w:rsid w:val="00461BCF"/>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7934"/>
    <w:rsid w:val="005E023B"/>
    <w:rsid w:val="005E14DB"/>
    <w:rsid w:val="00612298"/>
    <w:rsid w:val="006176BB"/>
    <w:rsid w:val="00625D04"/>
    <w:rsid w:val="00640ED2"/>
    <w:rsid w:val="006610D1"/>
    <w:rsid w:val="00661BC9"/>
    <w:rsid w:val="00665E71"/>
    <w:rsid w:val="006671E2"/>
    <w:rsid w:val="006A0D60"/>
    <w:rsid w:val="006A155A"/>
    <w:rsid w:val="006C726E"/>
    <w:rsid w:val="006C7759"/>
    <w:rsid w:val="006D0DB2"/>
    <w:rsid w:val="006D3C06"/>
    <w:rsid w:val="006D6B8D"/>
    <w:rsid w:val="006F06DD"/>
    <w:rsid w:val="00704BB6"/>
    <w:rsid w:val="00721002"/>
    <w:rsid w:val="00737568"/>
    <w:rsid w:val="00737C06"/>
    <w:rsid w:val="00740777"/>
    <w:rsid w:val="0075053A"/>
    <w:rsid w:val="00756892"/>
    <w:rsid w:val="0076582B"/>
    <w:rsid w:val="00767DE8"/>
    <w:rsid w:val="007724A3"/>
    <w:rsid w:val="00777322"/>
    <w:rsid w:val="00794E2F"/>
    <w:rsid w:val="00797638"/>
    <w:rsid w:val="007A191E"/>
    <w:rsid w:val="007A42EA"/>
    <w:rsid w:val="007B5112"/>
    <w:rsid w:val="007D681C"/>
    <w:rsid w:val="007E38A1"/>
    <w:rsid w:val="007F494E"/>
    <w:rsid w:val="007F5EC0"/>
    <w:rsid w:val="00803EC2"/>
    <w:rsid w:val="0080415C"/>
    <w:rsid w:val="00836534"/>
    <w:rsid w:val="00836B4A"/>
    <w:rsid w:val="008813AC"/>
    <w:rsid w:val="008831D2"/>
    <w:rsid w:val="00886BA3"/>
    <w:rsid w:val="00895D08"/>
    <w:rsid w:val="00896C4F"/>
    <w:rsid w:val="008B008B"/>
    <w:rsid w:val="008C3625"/>
    <w:rsid w:val="008D2279"/>
    <w:rsid w:val="008D4706"/>
    <w:rsid w:val="009005AA"/>
    <w:rsid w:val="0090217F"/>
    <w:rsid w:val="00906D23"/>
    <w:rsid w:val="009364C1"/>
    <w:rsid w:val="00957BA5"/>
    <w:rsid w:val="00970648"/>
    <w:rsid w:val="009872B2"/>
    <w:rsid w:val="00990F4F"/>
    <w:rsid w:val="009D3025"/>
    <w:rsid w:val="009E08B0"/>
    <w:rsid w:val="009E1587"/>
    <w:rsid w:val="009E174F"/>
    <w:rsid w:val="009F220A"/>
    <w:rsid w:val="009F47DE"/>
    <w:rsid w:val="00A02E3E"/>
    <w:rsid w:val="00A061BE"/>
    <w:rsid w:val="00A44798"/>
    <w:rsid w:val="00A451D9"/>
    <w:rsid w:val="00A5356B"/>
    <w:rsid w:val="00A603CF"/>
    <w:rsid w:val="00A707C5"/>
    <w:rsid w:val="00A70F20"/>
    <w:rsid w:val="00A76E4D"/>
    <w:rsid w:val="00A94DE9"/>
    <w:rsid w:val="00A9708C"/>
    <w:rsid w:val="00AA4B1F"/>
    <w:rsid w:val="00AC04C4"/>
    <w:rsid w:val="00AC7340"/>
    <w:rsid w:val="00AD1E64"/>
    <w:rsid w:val="00AE5524"/>
    <w:rsid w:val="00AF1A3C"/>
    <w:rsid w:val="00B21085"/>
    <w:rsid w:val="00B22B1C"/>
    <w:rsid w:val="00B53192"/>
    <w:rsid w:val="00B75182"/>
    <w:rsid w:val="00B95A8D"/>
    <w:rsid w:val="00B97AD3"/>
    <w:rsid w:val="00BB0441"/>
    <w:rsid w:val="00BC0021"/>
    <w:rsid w:val="00BC7F02"/>
    <w:rsid w:val="00BF0F37"/>
    <w:rsid w:val="00BF206A"/>
    <w:rsid w:val="00C20F1F"/>
    <w:rsid w:val="00C21E79"/>
    <w:rsid w:val="00C26A0F"/>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67E22"/>
    <w:rsid w:val="00DA4352"/>
    <w:rsid w:val="00DA45C3"/>
    <w:rsid w:val="00DA6399"/>
    <w:rsid w:val="00DB3DC3"/>
    <w:rsid w:val="00DD2621"/>
    <w:rsid w:val="00DD3FAA"/>
    <w:rsid w:val="00DD70BA"/>
    <w:rsid w:val="00DE31E4"/>
    <w:rsid w:val="00DE43A0"/>
    <w:rsid w:val="00DF181D"/>
    <w:rsid w:val="00E039FA"/>
    <w:rsid w:val="00E26AD2"/>
    <w:rsid w:val="00E37D39"/>
    <w:rsid w:val="00E64220"/>
    <w:rsid w:val="00E970F8"/>
    <w:rsid w:val="00EA4E74"/>
    <w:rsid w:val="00EC2956"/>
    <w:rsid w:val="00ED3ABA"/>
    <w:rsid w:val="00EE0B64"/>
    <w:rsid w:val="00EE2F1F"/>
    <w:rsid w:val="00EF269C"/>
    <w:rsid w:val="00F003E9"/>
    <w:rsid w:val="00F12331"/>
    <w:rsid w:val="00F17D63"/>
    <w:rsid w:val="00F25688"/>
    <w:rsid w:val="00F43A60"/>
    <w:rsid w:val="00F57D63"/>
    <w:rsid w:val="00F731AF"/>
    <w:rsid w:val="00F868B2"/>
    <w:rsid w:val="00F93B23"/>
    <w:rsid w:val="00FB17D4"/>
    <w:rsid w:val="00FD2BE3"/>
    <w:rsid w:val="00FE38F3"/>
    <w:rsid w:val="00FF5292"/>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658926163">
      <w:bodyDiv w:val="1"/>
      <w:marLeft w:val="0"/>
      <w:marRight w:val="0"/>
      <w:marTop w:val="0"/>
      <w:marBottom w:val="0"/>
      <w:divBdr>
        <w:top w:val="none" w:sz="0" w:space="0" w:color="auto"/>
        <w:left w:val="none" w:sz="0" w:space="0" w:color="auto"/>
        <w:bottom w:val="none" w:sz="0" w:space="0" w:color="auto"/>
        <w:right w:val="none" w:sz="0" w:space="0" w:color="auto"/>
      </w:divBdr>
    </w:div>
    <w:div w:id="765660142">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439</Words>
  <Characters>2506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7</cp:revision>
  <dcterms:created xsi:type="dcterms:W3CDTF">2017-06-22T19:17:00Z</dcterms:created>
  <dcterms:modified xsi:type="dcterms:W3CDTF">2017-11-01T14:07:00Z</dcterms:modified>
</cp:coreProperties>
</file>