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F08D" w14:textId="77777777" w:rsidR="00540FF9" w:rsidRPr="00737C06" w:rsidRDefault="00540FF9" w:rsidP="00F25688">
      <w:pPr>
        <w:pStyle w:val="T1"/>
        <w:pBdr>
          <w:bottom w:val="single" w:sz="6" w:space="0" w:color="auto"/>
        </w:pBdr>
        <w:spacing w:after="240"/>
        <w:rPr>
          <w:color w:val="000000" w:themeColor="text1"/>
        </w:rPr>
      </w:pPr>
      <w:r w:rsidRPr="00737C06">
        <w:rPr>
          <w:color w:val="000000" w:themeColor="text1"/>
        </w:rPr>
        <w:t>IEEE P802.22</w:t>
      </w:r>
      <w:r w:rsidRPr="00737C06">
        <w:rPr>
          <w:color w:val="000000" w:themeColor="text1"/>
        </w:rP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37C06" w:rsidRPr="00737C06" w14:paraId="7260DA9F" w14:textId="77777777" w:rsidTr="009B6DDA">
        <w:trPr>
          <w:trHeight w:val="485"/>
          <w:jc w:val="center"/>
        </w:trPr>
        <w:tc>
          <w:tcPr>
            <w:tcW w:w="9576" w:type="dxa"/>
            <w:gridSpan w:val="5"/>
            <w:vAlign w:val="center"/>
          </w:tcPr>
          <w:p w14:paraId="0A6C28AB" w14:textId="77777777" w:rsidR="00540FF9" w:rsidRPr="00737C06" w:rsidRDefault="00540FF9" w:rsidP="00F25688">
            <w:pPr>
              <w:pStyle w:val="T2"/>
              <w:rPr>
                <w:color w:val="000000" w:themeColor="text1"/>
                <w:lang w:val="en-US"/>
              </w:rPr>
            </w:pPr>
            <w:r w:rsidRPr="00737C06">
              <w:rPr>
                <w:bCs/>
                <w:color w:val="000000" w:themeColor="text1"/>
                <w:lang w:val="en-US"/>
              </w:rPr>
              <w:t>Meeting Minutes of the Spectrum Characterization and Occupancy Sensing</w:t>
            </w:r>
          </w:p>
        </w:tc>
      </w:tr>
      <w:tr w:rsidR="00737C06" w:rsidRPr="00737C06" w14:paraId="60948C7F" w14:textId="77777777" w:rsidTr="009B6DDA">
        <w:trPr>
          <w:trHeight w:val="233"/>
          <w:jc w:val="center"/>
        </w:trPr>
        <w:tc>
          <w:tcPr>
            <w:tcW w:w="9576" w:type="dxa"/>
            <w:gridSpan w:val="5"/>
            <w:vAlign w:val="center"/>
          </w:tcPr>
          <w:p w14:paraId="08AFEFF0" w14:textId="489EFCCF" w:rsidR="00540FF9" w:rsidRPr="00737C06" w:rsidRDefault="00540FF9" w:rsidP="00FF5292">
            <w:pPr>
              <w:pStyle w:val="T2"/>
              <w:ind w:left="0"/>
              <w:rPr>
                <w:color w:val="000000" w:themeColor="text1"/>
                <w:sz w:val="20"/>
              </w:rPr>
            </w:pPr>
            <w:r w:rsidRPr="00737C06">
              <w:rPr>
                <w:color w:val="000000" w:themeColor="text1"/>
                <w:sz w:val="20"/>
              </w:rPr>
              <w:t>Date:</w:t>
            </w:r>
            <w:r w:rsidRPr="00737C06">
              <w:rPr>
                <w:b w:val="0"/>
                <w:color w:val="000000" w:themeColor="text1"/>
                <w:sz w:val="20"/>
              </w:rPr>
              <w:t xml:space="preserve">  201</w:t>
            </w:r>
            <w:r w:rsidR="00794E2F" w:rsidRPr="00737C06">
              <w:rPr>
                <w:b w:val="0"/>
                <w:color w:val="000000" w:themeColor="text1"/>
                <w:sz w:val="20"/>
              </w:rPr>
              <w:t>7</w:t>
            </w:r>
            <w:r w:rsidRPr="00737C06">
              <w:rPr>
                <w:b w:val="0"/>
                <w:color w:val="000000" w:themeColor="text1"/>
                <w:sz w:val="20"/>
              </w:rPr>
              <w:t>-</w:t>
            </w:r>
            <w:r w:rsidR="00DA4352">
              <w:rPr>
                <w:b w:val="0"/>
                <w:color w:val="000000" w:themeColor="text1"/>
                <w:sz w:val="20"/>
              </w:rPr>
              <w:t>04</w:t>
            </w:r>
            <w:r w:rsidRPr="00737C06">
              <w:rPr>
                <w:b w:val="0"/>
                <w:color w:val="000000" w:themeColor="text1"/>
                <w:sz w:val="20"/>
              </w:rPr>
              <w:t>-</w:t>
            </w:r>
            <w:r w:rsidR="00FF5292">
              <w:rPr>
                <w:b w:val="0"/>
                <w:color w:val="000000" w:themeColor="text1"/>
                <w:sz w:val="20"/>
              </w:rPr>
              <w:t>13</w:t>
            </w:r>
          </w:p>
        </w:tc>
      </w:tr>
      <w:tr w:rsidR="00737C06" w:rsidRPr="00737C06" w14:paraId="297D9FB4" w14:textId="77777777" w:rsidTr="009B6DDA">
        <w:trPr>
          <w:cantSplit/>
          <w:jc w:val="center"/>
        </w:trPr>
        <w:tc>
          <w:tcPr>
            <w:tcW w:w="9576" w:type="dxa"/>
            <w:gridSpan w:val="5"/>
            <w:vAlign w:val="center"/>
          </w:tcPr>
          <w:p w14:paraId="3DDEDAD3"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Author(s):</w:t>
            </w:r>
          </w:p>
        </w:tc>
      </w:tr>
      <w:tr w:rsidR="00737C06" w:rsidRPr="00737C06" w14:paraId="1368F850" w14:textId="77777777" w:rsidTr="009B6DDA">
        <w:trPr>
          <w:jc w:val="center"/>
        </w:trPr>
        <w:tc>
          <w:tcPr>
            <w:tcW w:w="1336" w:type="dxa"/>
            <w:vAlign w:val="center"/>
          </w:tcPr>
          <w:p w14:paraId="53648811"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Name</w:t>
            </w:r>
          </w:p>
        </w:tc>
        <w:tc>
          <w:tcPr>
            <w:tcW w:w="2064" w:type="dxa"/>
            <w:vAlign w:val="center"/>
          </w:tcPr>
          <w:p w14:paraId="52C4DF8C"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Company</w:t>
            </w:r>
          </w:p>
        </w:tc>
        <w:tc>
          <w:tcPr>
            <w:tcW w:w="2814" w:type="dxa"/>
            <w:vAlign w:val="center"/>
          </w:tcPr>
          <w:p w14:paraId="65C0E2DC"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Address</w:t>
            </w:r>
          </w:p>
        </w:tc>
        <w:tc>
          <w:tcPr>
            <w:tcW w:w="1715" w:type="dxa"/>
            <w:vAlign w:val="center"/>
          </w:tcPr>
          <w:p w14:paraId="33CC0C6E"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Phone</w:t>
            </w:r>
          </w:p>
        </w:tc>
        <w:tc>
          <w:tcPr>
            <w:tcW w:w="1647" w:type="dxa"/>
            <w:vAlign w:val="center"/>
          </w:tcPr>
          <w:p w14:paraId="3605B120"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email</w:t>
            </w:r>
          </w:p>
        </w:tc>
      </w:tr>
      <w:tr w:rsidR="00737C06" w:rsidRPr="00737C06" w14:paraId="2238F1EB" w14:textId="77777777" w:rsidTr="009B6DD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7777777" w:rsidR="00540FF9" w:rsidRPr="00737C06" w:rsidRDefault="00540FF9" w:rsidP="00F25688">
            <w:pPr>
              <w:pStyle w:val="T2"/>
              <w:spacing w:after="0"/>
              <w:ind w:left="0" w:right="0"/>
              <w:rPr>
                <w:b w:val="0"/>
                <w:color w:val="000000" w:themeColor="text1"/>
                <w:sz w:val="20"/>
              </w:rPr>
            </w:pPr>
            <w:r w:rsidRPr="00737C06">
              <w:rPr>
                <w:b w:val="0"/>
                <w:color w:val="000000" w:themeColor="text1"/>
                <w:sz w:val="20"/>
              </w:rPr>
              <w:t>Roger Hislop</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77777777" w:rsidR="00540FF9" w:rsidRPr="00737C06" w:rsidRDefault="00540FF9" w:rsidP="00F25688">
            <w:pPr>
              <w:pStyle w:val="T2"/>
              <w:spacing w:after="0"/>
              <w:ind w:left="0" w:right="0"/>
              <w:rPr>
                <w:b w:val="0"/>
                <w:color w:val="000000" w:themeColor="text1"/>
                <w:sz w:val="20"/>
              </w:rPr>
            </w:pPr>
            <w:r w:rsidRPr="00737C06">
              <w:rPr>
                <w:b w:val="0"/>
                <w:color w:val="000000" w:themeColor="text1"/>
                <w:sz w:val="20"/>
              </w:rPr>
              <w:t>Internet Solution</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Pr="00737C06" w:rsidRDefault="00540FF9" w:rsidP="00F25688">
            <w:pPr>
              <w:pStyle w:val="T2"/>
              <w:spacing w:after="0"/>
              <w:ind w:left="0" w:right="0"/>
              <w:rPr>
                <w:b w:val="0"/>
                <w:color w:val="000000" w:themeColor="text1"/>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Pr="00737C06" w:rsidRDefault="00540FF9" w:rsidP="00F25688">
            <w:pPr>
              <w:pStyle w:val="T2"/>
              <w:spacing w:after="0"/>
              <w:ind w:left="0" w:right="0"/>
              <w:rPr>
                <w:b w:val="0"/>
                <w:color w:val="000000" w:themeColor="text1"/>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77777777" w:rsidR="00540FF9" w:rsidRPr="00737C06" w:rsidRDefault="00A5356B" w:rsidP="00F25688">
            <w:pPr>
              <w:pStyle w:val="T2"/>
              <w:spacing w:after="0"/>
              <w:ind w:left="0" w:right="0"/>
              <w:rPr>
                <w:b w:val="0"/>
                <w:color w:val="000000" w:themeColor="text1"/>
                <w:sz w:val="16"/>
              </w:rPr>
            </w:pPr>
            <w:hyperlink r:id="rId7" w:history="1">
              <w:r w:rsidR="00540FF9" w:rsidRPr="00737C06">
                <w:rPr>
                  <w:rStyle w:val="Hyperlink"/>
                  <w:b w:val="0"/>
                  <w:color w:val="000000" w:themeColor="text1"/>
                  <w:sz w:val="16"/>
                </w:rPr>
                <w:t>roger.hislop@is.co.za</w:t>
              </w:r>
            </w:hyperlink>
            <w:r w:rsidR="00540FF9" w:rsidRPr="00737C06">
              <w:rPr>
                <w:b w:val="0"/>
                <w:color w:val="000000" w:themeColor="text1"/>
                <w:sz w:val="16"/>
              </w:rPr>
              <w:t xml:space="preserve"> </w:t>
            </w:r>
          </w:p>
        </w:tc>
      </w:tr>
      <w:tr w:rsidR="00737C06" w:rsidRPr="00737C06" w14:paraId="556E4262" w14:textId="77777777" w:rsidTr="009B6DDA">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Pr="00737C06" w:rsidRDefault="00540FF9" w:rsidP="00F25688">
            <w:pPr>
              <w:pStyle w:val="T2"/>
              <w:spacing w:after="0"/>
              <w:ind w:left="0" w:right="0"/>
              <w:rPr>
                <w:b w:val="0"/>
                <w:color w:val="000000" w:themeColor="text1"/>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Pr="00737C06" w:rsidRDefault="00540FF9" w:rsidP="00F25688">
            <w:pPr>
              <w:pStyle w:val="T2"/>
              <w:spacing w:after="0"/>
              <w:ind w:left="0" w:right="0"/>
              <w:rPr>
                <w:b w:val="0"/>
                <w:color w:val="000000" w:themeColor="text1"/>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Pr="00737C06" w:rsidRDefault="00540FF9" w:rsidP="00F25688">
            <w:pPr>
              <w:pStyle w:val="T2"/>
              <w:spacing w:after="0"/>
              <w:ind w:left="0" w:right="0"/>
              <w:rPr>
                <w:b w:val="0"/>
                <w:color w:val="000000" w:themeColor="text1"/>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Pr="00737C06" w:rsidRDefault="00540FF9" w:rsidP="00F25688">
            <w:pPr>
              <w:pStyle w:val="T2"/>
              <w:spacing w:after="0"/>
              <w:ind w:left="0" w:right="0"/>
              <w:rPr>
                <w:b w:val="0"/>
                <w:color w:val="000000" w:themeColor="text1"/>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Pr="00737C06" w:rsidRDefault="00540FF9" w:rsidP="00F25688">
            <w:pPr>
              <w:pStyle w:val="T2"/>
              <w:spacing w:after="0"/>
              <w:ind w:left="0" w:right="0"/>
              <w:rPr>
                <w:b w:val="0"/>
                <w:color w:val="000000" w:themeColor="text1"/>
                <w:sz w:val="16"/>
              </w:rPr>
            </w:pPr>
          </w:p>
        </w:tc>
      </w:tr>
    </w:tbl>
    <w:p w14:paraId="01F59FFE" w14:textId="77777777" w:rsidR="00540FF9" w:rsidRPr="00737C06" w:rsidRDefault="00540FF9" w:rsidP="00F25688">
      <w:pPr>
        <w:pStyle w:val="T1"/>
        <w:spacing w:after="120"/>
        <w:rPr>
          <w:color w:val="000000" w:themeColor="text1"/>
          <w:sz w:val="22"/>
        </w:rPr>
      </w:pPr>
      <w:r w:rsidRPr="00737C06">
        <w:rPr>
          <w:noProof/>
          <w:color w:val="000000" w:themeColor="text1"/>
          <w:lang w:eastAsia="ja-JP"/>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0141F9C8" w:rsidR="00540FF9" w:rsidRDefault="00540FF9" w:rsidP="00540FF9">
                            <w:pPr>
                              <w:jc w:val="both"/>
                            </w:pPr>
                            <w:r w:rsidRPr="00A00CBC">
                              <w:rPr>
                                <w:b/>
                              </w:rPr>
                              <w:t>Year 20</w:t>
                            </w:r>
                            <w:r>
                              <w:rPr>
                                <w:b/>
                              </w:rPr>
                              <w:t>1</w:t>
                            </w:r>
                            <w:r w:rsidR="00DA4352">
                              <w:rPr>
                                <w:b/>
                              </w:rPr>
                              <w:t>7</w:t>
                            </w:r>
                            <w:r>
                              <w:t xml:space="preserve"> – </w:t>
                            </w:r>
                            <w:r w:rsidR="00DA4352">
                              <w:t xml:space="preserve">April </w:t>
                            </w:r>
                            <w:r w:rsidR="00FF5292">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08EF" id="_x0000_t202" coordsize="21600,21600" o:spt="202" path="m0,0l0,21600,21600,21600,2160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" stroked="f">
                <v:textbo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0141F9C8" w:rsidR="00540FF9" w:rsidRDefault="00540FF9" w:rsidP="00540FF9">
                      <w:pPr>
                        <w:jc w:val="both"/>
                      </w:pPr>
                      <w:r w:rsidRPr="00A00CBC">
                        <w:rPr>
                          <w:b/>
                        </w:rPr>
                        <w:t>Year 20</w:t>
                      </w:r>
                      <w:r>
                        <w:rPr>
                          <w:b/>
                        </w:rPr>
                        <w:t>1</w:t>
                      </w:r>
                      <w:r w:rsidR="00DA4352">
                        <w:rPr>
                          <w:b/>
                        </w:rPr>
                        <w:t>7</w:t>
                      </w:r>
                      <w:r>
                        <w:t xml:space="preserve"> – </w:t>
                      </w:r>
                      <w:r w:rsidR="00DA4352">
                        <w:t xml:space="preserve">April </w:t>
                      </w:r>
                      <w:r w:rsidR="00FF5292">
                        <w:t>13</w:t>
                      </w:r>
                    </w:p>
                  </w:txbxContent>
                </v:textbox>
              </v:shape>
            </w:pict>
          </mc:Fallback>
        </mc:AlternateContent>
      </w:r>
    </w:p>
    <w:p w14:paraId="47078673" w14:textId="5F6CFA3D" w:rsidR="00540FF9" w:rsidRPr="00737C06" w:rsidRDefault="00540FF9" w:rsidP="00F25688">
      <w:pPr>
        <w:rPr>
          <w:color w:val="000000" w:themeColor="text1"/>
        </w:rPr>
      </w:pPr>
      <w:r w:rsidRPr="00737C06">
        <w:rPr>
          <w:noProof/>
          <w:color w:val="000000" w:themeColor="text1"/>
          <w:lang w:eastAsia="ja-JP"/>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27CC"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YovS4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&#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2"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rsidRPr="00737C06">
        <w:rPr>
          <w:color w:val="000000" w:themeColor="text1"/>
        </w:rPr>
        <w:br w:type="page"/>
      </w:r>
      <w:r w:rsidRPr="00737C06">
        <w:rPr>
          <w:b/>
          <w:color w:val="000000" w:themeColor="text1"/>
          <w:sz w:val="32"/>
          <w:szCs w:val="32"/>
        </w:rPr>
        <w:lastRenderedPageBreak/>
        <w:t xml:space="preserve">1. </w:t>
      </w:r>
      <w:r w:rsidR="00DA4352">
        <w:rPr>
          <w:b/>
          <w:color w:val="000000" w:themeColor="text1"/>
          <w:sz w:val="32"/>
          <w:szCs w:val="32"/>
        </w:rPr>
        <w:t xml:space="preserve">April </w:t>
      </w:r>
      <w:r w:rsidR="00F12331">
        <w:rPr>
          <w:b/>
          <w:color w:val="000000" w:themeColor="text1"/>
          <w:sz w:val="32"/>
          <w:szCs w:val="32"/>
        </w:rPr>
        <w:t>13</w:t>
      </w:r>
      <w:r w:rsidR="00DA4352" w:rsidRPr="00DA4352">
        <w:rPr>
          <w:b/>
          <w:color w:val="000000" w:themeColor="text1"/>
          <w:sz w:val="32"/>
          <w:szCs w:val="32"/>
          <w:vertAlign w:val="superscript"/>
        </w:rPr>
        <w:t>th</w:t>
      </w:r>
      <w:r w:rsidR="00DD70BA" w:rsidRPr="00737C06">
        <w:rPr>
          <w:b/>
          <w:color w:val="000000" w:themeColor="text1"/>
          <w:sz w:val="32"/>
          <w:szCs w:val="32"/>
        </w:rPr>
        <w:t xml:space="preserve"> 201</w:t>
      </w:r>
      <w:r w:rsidR="00794E2F" w:rsidRPr="00737C06">
        <w:rPr>
          <w:b/>
          <w:color w:val="000000" w:themeColor="text1"/>
          <w:sz w:val="32"/>
          <w:szCs w:val="32"/>
        </w:rPr>
        <w:t>7</w:t>
      </w:r>
      <w:r w:rsidR="00B97AD3" w:rsidRPr="00737C06">
        <w:rPr>
          <w:b/>
          <w:color w:val="000000" w:themeColor="text1"/>
          <w:sz w:val="32"/>
          <w:szCs w:val="32"/>
        </w:rPr>
        <w:t>–</w:t>
      </w:r>
      <w:r w:rsidRPr="00737C06">
        <w:rPr>
          <w:b/>
          <w:color w:val="000000" w:themeColor="text1"/>
          <w:sz w:val="32"/>
          <w:szCs w:val="32"/>
        </w:rPr>
        <w:t>Spectrum Charact</w:t>
      </w:r>
      <w:r w:rsidR="00704BB6" w:rsidRPr="00737C06">
        <w:rPr>
          <w:b/>
          <w:color w:val="000000" w:themeColor="text1"/>
          <w:sz w:val="32"/>
          <w:szCs w:val="32"/>
        </w:rPr>
        <w:t xml:space="preserve">erization and Occupancy Sensing </w:t>
      </w:r>
      <w:r w:rsidRPr="00737C06">
        <w:rPr>
          <w:b/>
          <w:color w:val="000000" w:themeColor="text1"/>
          <w:sz w:val="32"/>
          <w:szCs w:val="32"/>
        </w:rPr>
        <w:t>Ad-Hoc Conference Call Meeting Minutes</w:t>
      </w:r>
    </w:p>
    <w:p w14:paraId="06BDC5F2" w14:textId="77777777" w:rsidR="00540FF9" w:rsidRPr="00737C06" w:rsidRDefault="00540FF9" w:rsidP="00F25688">
      <w:pPr>
        <w:rPr>
          <w:color w:val="000000" w:themeColor="text1"/>
        </w:rPr>
      </w:pPr>
    </w:p>
    <w:p w14:paraId="395F8911" w14:textId="77777777" w:rsidR="00540FF9" w:rsidRPr="00737C06" w:rsidRDefault="00540FF9" w:rsidP="00F25688">
      <w:pPr>
        <w:rPr>
          <w:color w:val="000000" w:themeColor="text1"/>
          <w:szCs w:val="22"/>
        </w:rPr>
      </w:pPr>
      <w:r w:rsidRPr="00737C06">
        <w:rPr>
          <w:color w:val="000000" w:themeColor="text1"/>
          <w:szCs w:val="22"/>
        </w:rPr>
        <w:t>1. Attendance</w:t>
      </w:r>
    </w:p>
    <w:p w14:paraId="68ADB74B" w14:textId="77777777" w:rsidR="00083FDE" w:rsidRPr="00895D08" w:rsidRDefault="00083FDE" w:rsidP="00F25688">
      <w:pPr>
        <w:rPr>
          <w:color w:val="000000" w:themeColor="text1"/>
          <w:szCs w:val="22"/>
        </w:rPr>
      </w:pPr>
    </w:p>
    <w:p w14:paraId="7548595C" w14:textId="6E663BC2" w:rsidR="00DD70BA" w:rsidRPr="00895D08" w:rsidRDefault="00DD70BA" w:rsidP="00DD70BA">
      <w:pPr>
        <w:rPr>
          <w:color w:val="000000" w:themeColor="text1"/>
          <w:szCs w:val="22"/>
        </w:rPr>
      </w:pPr>
      <w:r w:rsidRPr="00895D08">
        <w:rPr>
          <w:color w:val="000000" w:themeColor="text1"/>
          <w:szCs w:val="22"/>
        </w:rPr>
        <w:t>Roger Hislop (RH), TG chair, Internet Solutions</w:t>
      </w:r>
    </w:p>
    <w:p w14:paraId="15959AD3" w14:textId="55A9CE90" w:rsidR="00C77344" w:rsidRPr="00895D08" w:rsidRDefault="00C77344" w:rsidP="00C77344">
      <w:pPr>
        <w:rPr>
          <w:color w:val="000000" w:themeColor="text1"/>
          <w:szCs w:val="22"/>
        </w:rPr>
      </w:pPr>
      <w:r w:rsidRPr="00895D08">
        <w:rPr>
          <w:color w:val="000000" w:themeColor="text1"/>
          <w:szCs w:val="22"/>
        </w:rPr>
        <w:t xml:space="preserve">Nilesh Khambekar (NK), </w:t>
      </w:r>
      <w:r w:rsidR="00DA4352" w:rsidRPr="00895D08">
        <w:rPr>
          <w:color w:val="000000" w:themeColor="text1"/>
          <w:szCs w:val="22"/>
        </w:rPr>
        <w:t>SpectrumFi</w:t>
      </w:r>
    </w:p>
    <w:p w14:paraId="27614D45" w14:textId="79413561" w:rsidR="00C77344" w:rsidRPr="00895D08" w:rsidRDefault="00C77344" w:rsidP="00F25688">
      <w:pPr>
        <w:jc w:val="both"/>
        <w:rPr>
          <w:color w:val="000000" w:themeColor="text1"/>
          <w:szCs w:val="22"/>
        </w:rPr>
      </w:pPr>
      <w:r w:rsidRPr="00895D08">
        <w:rPr>
          <w:color w:val="000000" w:themeColor="text1"/>
          <w:szCs w:val="22"/>
        </w:rPr>
        <w:t>Ken Baker (KB), NTIA</w:t>
      </w:r>
    </w:p>
    <w:p w14:paraId="768959BF" w14:textId="04544E9B" w:rsidR="00895D08" w:rsidRPr="00895D08" w:rsidRDefault="00895D08" w:rsidP="00F25688">
      <w:pPr>
        <w:jc w:val="both"/>
        <w:rPr>
          <w:color w:val="000000" w:themeColor="text1"/>
          <w:szCs w:val="22"/>
        </w:rPr>
      </w:pPr>
      <w:r w:rsidRPr="00895D08">
        <w:rPr>
          <w:color w:val="000000" w:themeColor="text1"/>
          <w:szCs w:val="22"/>
        </w:rPr>
        <w:t>Mike Cotton (MC), NTIA</w:t>
      </w:r>
    </w:p>
    <w:p w14:paraId="6CCF5414" w14:textId="0F468D6F" w:rsidR="00133993" w:rsidRPr="00895D08" w:rsidRDefault="00133993" w:rsidP="00F25688">
      <w:pPr>
        <w:jc w:val="both"/>
        <w:rPr>
          <w:color w:val="000000" w:themeColor="text1"/>
          <w:szCs w:val="22"/>
        </w:rPr>
      </w:pPr>
      <w:r w:rsidRPr="00895D08">
        <w:rPr>
          <w:color w:val="000000" w:themeColor="text1"/>
          <w:szCs w:val="22"/>
        </w:rPr>
        <w:t>Oliver Holland (OH), KCL</w:t>
      </w:r>
    </w:p>
    <w:p w14:paraId="19FCB2B0" w14:textId="682BF41F" w:rsidR="006F06DD" w:rsidRPr="00895D08" w:rsidRDefault="006F06DD" w:rsidP="00F25688">
      <w:pPr>
        <w:jc w:val="both"/>
        <w:rPr>
          <w:color w:val="000000" w:themeColor="text1"/>
          <w:szCs w:val="22"/>
        </w:rPr>
      </w:pPr>
      <w:r w:rsidRPr="00895D08">
        <w:rPr>
          <w:color w:val="000000" w:themeColor="text1"/>
          <w:szCs w:val="22"/>
        </w:rPr>
        <w:t>Apurva Mody (AM), BAE Systems</w:t>
      </w:r>
    </w:p>
    <w:p w14:paraId="31431EA3" w14:textId="77777777" w:rsidR="008D4706" w:rsidRPr="00737C06" w:rsidRDefault="008D4706" w:rsidP="00F25688">
      <w:pPr>
        <w:jc w:val="both"/>
        <w:rPr>
          <w:color w:val="000000" w:themeColor="text1"/>
          <w:szCs w:val="22"/>
        </w:rPr>
      </w:pPr>
    </w:p>
    <w:p w14:paraId="699BA94A" w14:textId="77777777" w:rsidR="00540FF9" w:rsidRPr="00737C06" w:rsidRDefault="00540FF9" w:rsidP="00F25688">
      <w:pPr>
        <w:jc w:val="both"/>
        <w:rPr>
          <w:color w:val="000000" w:themeColor="text1"/>
          <w:szCs w:val="22"/>
        </w:rPr>
      </w:pPr>
      <w:r w:rsidRPr="00737C06">
        <w:rPr>
          <w:color w:val="000000" w:themeColor="text1"/>
          <w:szCs w:val="22"/>
        </w:rPr>
        <w:t>2.1 Agenda</w:t>
      </w:r>
    </w:p>
    <w:p w14:paraId="13BA6A41"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 xml:space="preserve">Attendance </w:t>
      </w:r>
    </w:p>
    <w:p w14:paraId="718B0871"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IEEE norms and processes</w:t>
      </w:r>
    </w:p>
    <w:p w14:paraId="7DCFC62A"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Discussion</w:t>
      </w:r>
    </w:p>
    <w:p w14:paraId="26F247D9"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New business</w:t>
      </w:r>
    </w:p>
    <w:p w14:paraId="6E597237" w14:textId="77777777" w:rsidR="00A451D9" w:rsidRPr="00737C06" w:rsidRDefault="00A451D9" w:rsidP="00A451D9">
      <w:pPr>
        <w:jc w:val="both"/>
        <w:rPr>
          <w:color w:val="000000" w:themeColor="text1"/>
          <w:szCs w:val="22"/>
        </w:rPr>
      </w:pPr>
    </w:p>
    <w:p w14:paraId="204C1367" w14:textId="367AD72D" w:rsidR="00540FF9" w:rsidRPr="00737C06" w:rsidRDefault="00540FF9" w:rsidP="00F25688">
      <w:pPr>
        <w:jc w:val="both"/>
        <w:rPr>
          <w:color w:val="000000" w:themeColor="text1"/>
          <w:szCs w:val="22"/>
        </w:rPr>
      </w:pPr>
      <w:r w:rsidRPr="00737C06">
        <w:rPr>
          <w:color w:val="000000" w:themeColor="text1"/>
          <w:szCs w:val="22"/>
        </w:rPr>
        <w:t>Minutes and Discussions</w:t>
      </w:r>
      <w:r w:rsidR="00767DE8" w:rsidRPr="00737C06">
        <w:rPr>
          <w:color w:val="000000" w:themeColor="text1"/>
          <w:szCs w:val="22"/>
        </w:rPr>
        <w:tab/>
      </w:r>
    </w:p>
    <w:p w14:paraId="21911BBB" w14:textId="0D3893B9" w:rsidR="00540FF9" w:rsidRPr="00737C06" w:rsidRDefault="00540FF9" w:rsidP="00F25688">
      <w:pPr>
        <w:numPr>
          <w:ilvl w:val="0"/>
          <w:numId w:val="1"/>
        </w:numPr>
        <w:jc w:val="both"/>
        <w:rPr>
          <w:color w:val="000000" w:themeColor="text1"/>
          <w:szCs w:val="22"/>
        </w:rPr>
      </w:pPr>
      <w:r w:rsidRPr="00737C06">
        <w:rPr>
          <w:color w:val="000000" w:themeColor="text1"/>
          <w:szCs w:val="22"/>
        </w:rPr>
        <w:t>Meeting started at 14h00 UT</w:t>
      </w:r>
      <w:r w:rsidR="0017049B" w:rsidRPr="00737C06">
        <w:rPr>
          <w:color w:val="000000" w:themeColor="text1"/>
          <w:szCs w:val="22"/>
        </w:rPr>
        <w:t>C</w:t>
      </w:r>
    </w:p>
    <w:p w14:paraId="56E18915"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The IEEE 802.22.3 Task Group Chair took the attendance</w:t>
      </w:r>
    </w:p>
    <w:p w14:paraId="2554D4A8"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 xml:space="preserve">Chair asked if everyone attending was familiar with the IEEE patent policy – No one seemed to be unfamiliar with the IEEE Patent Policy </w:t>
      </w:r>
    </w:p>
    <w:p w14:paraId="426EE555" w14:textId="77777777" w:rsidR="00540FF9" w:rsidRPr="00737C06" w:rsidRDefault="00A5356B" w:rsidP="00F25688">
      <w:pPr>
        <w:numPr>
          <w:ilvl w:val="1"/>
          <w:numId w:val="1"/>
        </w:numPr>
        <w:jc w:val="both"/>
        <w:rPr>
          <w:color w:val="000000" w:themeColor="text1"/>
          <w:szCs w:val="22"/>
        </w:rPr>
      </w:pPr>
      <w:hyperlink r:id="rId14" w:history="1">
        <w:r w:rsidR="00540FF9" w:rsidRPr="00737C06">
          <w:rPr>
            <w:rStyle w:val="Hyperlink"/>
            <w:color w:val="000000" w:themeColor="text1"/>
            <w:szCs w:val="22"/>
          </w:rPr>
          <w:t>http://standards.ieee.org/board/pat/pat-slideset.pdf</w:t>
        </w:r>
      </w:hyperlink>
      <w:r w:rsidR="00540FF9" w:rsidRPr="00737C06">
        <w:rPr>
          <w:color w:val="000000" w:themeColor="text1"/>
          <w:szCs w:val="22"/>
        </w:rPr>
        <w:t xml:space="preserve"> </w:t>
      </w:r>
    </w:p>
    <w:p w14:paraId="3360BF7A"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Chair reiterated the IEEE prohibition of commercial discussion and early disclosure of Intellectual Property, and meeting commenced.</w:t>
      </w:r>
    </w:p>
    <w:p w14:paraId="219E7DBE" w14:textId="29158D4B" w:rsidR="00540FF9" w:rsidRPr="00737C06" w:rsidRDefault="00302206" w:rsidP="00F25688">
      <w:pPr>
        <w:numPr>
          <w:ilvl w:val="0"/>
          <w:numId w:val="1"/>
        </w:numPr>
        <w:jc w:val="both"/>
        <w:rPr>
          <w:color w:val="000000" w:themeColor="text1"/>
          <w:szCs w:val="22"/>
        </w:rPr>
      </w:pPr>
      <w:r w:rsidRPr="00737C06">
        <w:rPr>
          <w:color w:val="000000" w:themeColor="text1"/>
          <w:szCs w:val="22"/>
        </w:rPr>
        <w:t>Task Group process</w:t>
      </w:r>
    </w:p>
    <w:p w14:paraId="1B333BAB" w14:textId="6EDFF4DC" w:rsidR="007A42EA" w:rsidRPr="00737C06" w:rsidRDefault="007A42EA" w:rsidP="007A42EA">
      <w:pPr>
        <w:pStyle w:val="ListParagraph"/>
        <w:numPr>
          <w:ilvl w:val="1"/>
          <w:numId w:val="1"/>
        </w:numPr>
        <w:jc w:val="both"/>
        <w:rPr>
          <w:color w:val="000000" w:themeColor="text1"/>
          <w:szCs w:val="22"/>
        </w:rPr>
      </w:pPr>
      <w:r w:rsidRPr="00737C06">
        <w:rPr>
          <w:color w:val="000000" w:themeColor="text1"/>
          <w:szCs w:val="22"/>
        </w:rPr>
        <w:t xml:space="preserve">Meeting minutes from meeting of </w:t>
      </w:r>
      <w:r w:rsidR="00704BB6" w:rsidRPr="00737C06">
        <w:rPr>
          <w:color w:val="000000" w:themeColor="text1"/>
          <w:szCs w:val="22"/>
        </w:rPr>
        <w:t xml:space="preserve">February </w:t>
      </w:r>
      <w:r w:rsidR="00777322" w:rsidRPr="00737C06">
        <w:rPr>
          <w:color w:val="000000" w:themeColor="text1"/>
          <w:szCs w:val="22"/>
        </w:rPr>
        <w:t>16</w:t>
      </w:r>
      <w:r w:rsidR="00704BB6" w:rsidRPr="00737C06">
        <w:rPr>
          <w:color w:val="000000" w:themeColor="text1"/>
          <w:szCs w:val="22"/>
          <w:vertAlign w:val="superscript"/>
        </w:rPr>
        <w:t>th</w:t>
      </w:r>
      <w:r w:rsidRPr="00737C06">
        <w:rPr>
          <w:color w:val="000000" w:themeColor="text1"/>
          <w:szCs w:val="22"/>
        </w:rPr>
        <w:t xml:space="preserve"> reviewed and call for approval. </w:t>
      </w:r>
    </w:p>
    <w:p w14:paraId="1784D9E7" w14:textId="36AFD29F" w:rsidR="007A42EA" w:rsidRPr="00737C06" w:rsidRDefault="007A42EA" w:rsidP="007A42EA">
      <w:pPr>
        <w:pStyle w:val="ListParagraph"/>
        <w:numPr>
          <w:ilvl w:val="1"/>
          <w:numId w:val="1"/>
        </w:numPr>
        <w:jc w:val="both"/>
        <w:rPr>
          <w:color w:val="000000" w:themeColor="text1"/>
          <w:szCs w:val="22"/>
        </w:rPr>
      </w:pPr>
      <w:r w:rsidRPr="00737C06">
        <w:rPr>
          <w:color w:val="000000" w:themeColor="text1"/>
          <w:szCs w:val="22"/>
        </w:rPr>
        <w:t xml:space="preserve">Moved by </w:t>
      </w:r>
      <w:r w:rsidR="00777322" w:rsidRPr="00737C06">
        <w:rPr>
          <w:color w:val="000000" w:themeColor="text1"/>
          <w:szCs w:val="22"/>
        </w:rPr>
        <w:t>MC</w:t>
      </w:r>
      <w:r w:rsidRPr="00737C06">
        <w:rPr>
          <w:color w:val="000000" w:themeColor="text1"/>
          <w:szCs w:val="22"/>
        </w:rPr>
        <w:t xml:space="preserve">, seconded by </w:t>
      </w:r>
      <w:r w:rsidR="00DB3DC3">
        <w:rPr>
          <w:color w:val="000000" w:themeColor="text1"/>
          <w:szCs w:val="22"/>
        </w:rPr>
        <w:t>GM</w:t>
      </w:r>
      <w:bookmarkStart w:id="0" w:name="_GoBack"/>
      <w:bookmarkEnd w:id="0"/>
      <w:r w:rsidRPr="00737C06">
        <w:rPr>
          <w:color w:val="000000" w:themeColor="text1"/>
          <w:szCs w:val="22"/>
        </w:rPr>
        <w:t>, no objections, so approved.</w:t>
      </w:r>
    </w:p>
    <w:p w14:paraId="5BE46C8E" w14:textId="490EBF72" w:rsidR="008D4706" w:rsidRPr="00C26A0F" w:rsidRDefault="00540FF9" w:rsidP="00C26A0F">
      <w:pPr>
        <w:numPr>
          <w:ilvl w:val="0"/>
          <w:numId w:val="1"/>
        </w:numPr>
        <w:jc w:val="both"/>
        <w:rPr>
          <w:color w:val="000000" w:themeColor="text1"/>
          <w:szCs w:val="22"/>
        </w:rPr>
      </w:pPr>
      <w:r w:rsidRPr="00737C06">
        <w:rPr>
          <w:color w:val="000000" w:themeColor="text1"/>
          <w:szCs w:val="22"/>
        </w:rPr>
        <w:t>Task Group planning:</w:t>
      </w:r>
    </w:p>
    <w:p w14:paraId="47C81E3A" w14:textId="2083141C" w:rsidR="008D4706" w:rsidRDefault="008D4706" w:rsidP="00217AAE">
      <w:pPr>
        <w:pStyle w:val="ListParagraph"/>
        <w:numPr>
          <w:ilvl w:val="1"/>
          <w:numId w:val="1"/>
        </w:numPr>
        <w:rPr>
          <w:color w:val="000000" w:themeColor="text1"/>
          <w:szCs w:val="22"/>
        </w:rPr>
      </w:pPr>
      <w:r w:rsidRPr="00737C06">
        <w:rPr>
          <w:color w:val="000000" w:themeColor="text1"/>
          <w:szCs w:val="22"/>
        </w:rPr>
        <w:t>I</w:t>
      </w:r>
      <w:r w:rsidR="00777322" w:rsidRPr="00737C06">
        <w:rPr>
          <w:color w:val="000000" w:themeColor="text1"/>
          <w:szCs w:val="22"/>
        </w:rPr>
        <w:t>tem by item through comments</w:t>
      </w:r>
      <w:r w:rsidR="00262EA5">
        <w:rPr>
          <w:color w:val="000000" w:themeColor="text1"/>
          <w:szCs w:val="22"/>
        </w:rPr>
        <w:t>, returning to comments submitted by AM, who indicated that simplifying the protocol was a critical requirement for support</w:t>
      </w:r>
      <w:r w:rsidR="00C26A0F">
        <w:rPr>
          <w:color w:val="000000" w:themeColor="text1"/>
          <w:szCs w:val="22"/>
        </w:rPr>
        <w:t xml:space="preserve"> </w:t>
      </w:r>
    </w:p>
    <w:p w14:paraId="4A6E166B" w14:textId="40642BD4" w:rsidR="00262EA5" w:rsidRDefault="00262EA5" w:rsidP="00217AAE">
      <w:pPr>
        <w:pStyle w:val="ListParagraph"/>
        <w:numPr>
          <w:ilvl w:val="1"/>
          <w:numId w:val="1"/>
        </w:numPr>
        <w:rPr>
          <w:color w:val="000000" w:themeColor="text1"/>
          <w:szCs w:val="22"/>
        </w:rPr>
      </w:pPr>
      <w:r>
        <w:rPr>
          <w:color w:val="000000" w:themeColor="text1"/>
          <w:szCs w:val="22"/>
        </w:rPr>
        <w:t>Key discussion area around the tech that BAE developed for adding CR-like functionality to existing radio systems, which has a very lightweight protocol where most state functions are embedded in heartbeat messages</w:t>
      </w:r>
    </w:p>
    <w:p w14:paraId="6CA99273" w14:textId="4FC4AC81" w:rsidR="00262EA5" w:rsidRDefault="00262EA5" w:rsidP="00217AAE">
      <w:pPr>
        <w:pStyle w:val="ListParagraph"/>
        <w:numPr>
          <w:ilvl w:val="1"/>
          <w:numId w:val="1"/>
        </w:numPr>
        <w:rPr>
          <w:color w:val="000000" w:themeColor="text1"/>
          <w:szCs w:val="22"/>
        </w:rPr>
      </w:pPr>
      <w:r>
        <w:rPr>
          <w:color w:val="000000" w:themeColor="text1"/>
          <w:szCs w:val="22"/>
        </w:rPr>
        <w:t>Various concerns were raised with having too simple/lightweight a protocol as it would perhaps meet needs of CR applications with single users in set environment, but not research or spectrum forensics where there may be multiple users and multiple operators of components</w:t>
      </w:r>
    </w:p>
    <w:p w14:paraId="15DCB97D" w14:textId="1AEA432C" w:rsidR="00262EA5" w:rsidRDefault="002E53CF" w:rsidP="00217AAE">
      <w:pPr>
        <w:pStyle w:val="ListParagraph"/>
        <w:numPr>
          <w:ilvl w:val="1"/>
          <w:numId w:val="1"/>
        </w:numPr>
        <w:rPr>
          <w:color w:val="000000" w:themeColor="text1"/>
          <w:szCs w:val="22"/>
        </w:rPr>
      </w:pPr>
      <w:r>
        <w:rPr>
          <w:color w:val="000000" w:themeColor="text1"/>
          <w:szCs w:val="22"/>
        </w:rPr>
        <w:t>Area of investigation raised into “best of both worlds”, where protocol is extensible from very lightweight for simple functionality, with additional functionality added in full scope version.</w:t>
      </w:r>
    </w:p>
    <w:p w14:paraId="53FD494C" w14:textId="005400C7" w:rsidR="007A191E" w:rsidRPr="00737C06" w:rsidRDefault="007A191E" w:rsidP="00217AAE">
      <w:pPr>
        <w:pStyle w:val="ListParagraph"/>
        <w:numPr>
          <w:ilvl w:val="1"/>
          <w:numId w:val="1"/>
        </w:numPr>
        <w:rPr>
          <w:color w:val="000000" w:themeColor="text1"/>
          <w:szCs w:val="22"/>
        </w:rPr>
      </w:pPr>
      <w:r>
        <w:rPr>
          <w:color w:val="000000" w:themeColor="text1"/>
          <w:szCs w:val="22"/>
        </w:rPr>
        <w:t>To resolve the comment in the letter ballot, the commentator would need to submit a proposed remedy. Topic to be revisited in subsequent calls once current set of comments are dealt with.</w:t>
      </w:r>
    </w:p>
    <w:p w14:paraId="7D36CA3A" w14:textId="0DDEB8CC" w:rsidR="00BC0021" w:rsidRDefault="00540FF9" w:rsidP="00F25688">
      <w:pPr>
        <w:numPr>
          <w:ilvl w:val="0"/>
          <w:numId w:val="1"/>
        </w:numPr>
        <w:jc w:val="both"/>
        <w:rPr>
          <w:color w:val="000000" w:themeColor="text1"/>
          <w:szCs w:val="22"/>
        </w:rPr>
      </w:pPr>
      <w:r w:rsidRPr="00737C06">
        <w:rPr>
          <w:color w:val="000000" w:themeColor="text1"/>
          <w:szCs w:val="22"/>
        </w:rPr>
        <w:t>Meeting was adjourned at 1</w:t>
      </w:r>
      <w:r w:rsidR="00C26A0F">
        <w:rPr>
          <w:color w:val="000000" w:themeColor="text1"/>
          <w:szCs w:val="22"/>
        </w:rPr>
        <w:t>6</w:t>
      </w:r>
      <w:r w:rsidRPr="00737C06">
        <w:rPr>
          <w:color w:val="000000" w:themeColor="text1"/>
          <w:szCs w:val="22"/>
        </w:rPr>
        <w:t>h</w:t>
      </w:r>
      <w:r w:rsidR="00C26A0F">
        <w:rPr>
          <w:color w:val="000000" w:themeColor="text1"/>
          <w:szCs w:val="22"/>
        </w:rPr>
        <w:t>0</w:t>
      </w:r>
      <w:r w:rsidR="007F5EC0" w:rsidRPr="00737C06">
        <w:rPr>
          <w:color w:val="000000" w:themeColor="text1"/>
          <w:szCs w:val="22"/>
        </w:rPr>
        <w:t>0</w:t>
      </w:r>
      <w:r w:rsidRPr="00737C06">
        <w:rPr>
          <w:color w:val="000000" w:themeColor="text1"/>
          <w:szCs w:val="22"/>
        </w:rPr>
        <w:t xml:space="preserve"> UT</w:t>
      </w:r>
      <w:r w:rsidR="00F731AF" w:rsidRPr="00737C06">
        <w:rPr>
          <w:color w:val="000000" w:themeColor="text1"/>
          <w:szCs w:val="22"/>
        </w:rPr>
        <w:t>C</w:t>
      </w:r>
      <w:r w:rsidR="007F5EC0" w:rsidRPr="00737C06">
        <w:rPr>
          <w:color w:val="000000" w:themeColor="text1"/>
          <w:szCs w:val="22"/>
        </w:rPr>
        <w:t xml:space="preserve">, next meeting to be held </w:t>
      </w:r>
      <w:r w:rsidR="007A191E">
        <w:rPr>
          <w:color w:val="000000" w:themeColor="text1"/>
          <w:szCs w:val="22"/>
        </w:rPr>
        <w:t>20</w:t>
      </w:r>
      <w:r w:rsidR="00777322" w:rsidRPr="00737C06">
        <w:rPr>
          <w:color w:val="000000" w:themeColor="text1"/>
          <w:szCs w:val="22"/>
          <w:vertAlign w:val="superscript"/>
        </w:rPr>
        <w:t xml:space="preserve">th </w:t>
      </w:r>
      <w:r w:rsidR="00C26A0F">
        <w:rPr>
          <w:color w:val="000000" w:themeColor="text1"/>
          <w:szCs w:val="22"/>
        </w:rPr>
        <w:t>April</w:t>
      </w:r>
      <w:r w:rsidR="007F5EC0" w:rsidRPr="00737C06">
        <w:rPr>
          <w:color w:val="000000" w:themeColor="text1"/>
          <w:szCs w:val="22"/>
        </w:rPr>
        <w:t xml:space="preserve"> </w:t>
      </w:r>
      <w:r w:rsidR="00A9708C" w:rsidRPr="00737C06">
        <w:rPr>
          <w:color w:val="000000" w:themeColor="text1"/>
          <w:szCs w:val="22"/>
        </w:rPr>
        <w:t>2017</w:t>
      </w:r>
      <w:r w:rsidR="007F5EC0" w:rsidRPr="00737C06">
        <w:rPr>
          <w:color w:val="000000" w:themeColor="text1"/>
          <w:szCs w:val="22"/>
        </w:rPr>
        <w:t>.</w:t>
      </w:r>
    </w:p>
    <w:p w14:paraId="7E25F415" w14:textId="77777777" w:rsidR="00C26A0F" w:rsidRPr="00737C06" w:rsidRDefault="00C26A0F" w:rsidP="00C26A0F">
      <w:pPr>
        <w:jc w:val="both"/>
        <w:rPr>
          <w:color w:val="000000" w:themeColor="text1"/>
          <w:szCs w:val="22"/>
        </w:rPr>
      </w:pPr>
    </w:p>
    <w:sectPr w:rsidR="00C26A0F" w:rsidRPr="00737C06">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D9FB0" w14:textId="77777777" w:rsidR="00A5356B" w:rsidRDefault="00A5356B" w:rsidP="0044070E">
      <w:r>
        <w:separator/>
      </w:r>
    </w:p>
  </w:endnote>
  <w:endnote w:type="continuationSeparator" w:id="0">
    <w:p w14:paraId="4A5CF61A" w14:textId="77777777" w:rsidR="00A5356B" w:rsidRDefault="00A5356B"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26146" w14:textId="77777777" w:rsidR="00CF176F"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A5356B">
      <w:rPr>
        <w:noProof/>
      </w:rPr>
      <w:t>1</w:t>
    </w:r>
    <w:r>
      <w:fldChar w:fldCharType="end"/>
    </w:r>
    <w:r>
      <w:tab/>
      <w:t>Roger Hislop, Internet Solutions</w:t>
    </w:r>
  </w:p>
  <w:p w14:paraId="2B7AA521" w14:textId="77777777" w:rsidR="00CF176F" w:rsidRDefault="00A5356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363E1" w14:textId="77777777" w:rsidR="00A5356B" w:rsidRDefault="00A5356B" w:rsidP="0044070E">
      <w:r>
        <w:separator/>
      </w:r>
    </w:p>
  </w:footnote>
  <w:footnote w:type="continuationSeparator" w:id="0">
    <w:p w14:paraId="71986A7B" w14:textId="77777777" w:rsidR="00A5356B" w:rsidRDefault="00A5356B" w:rsidP="004407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967B8" w14:textId="74738508" w:rsidR="00CF176F" w:rsidRDefault="006F06DD">
    <w:pPr>
      <w:pStyle w:val="Header"/>
      <w:tabs>
        <w:tab w:val="clear" w:pos="6480"/>
        <w:tab w:val="center" w:pos="4680"/>
        <w:tab w:val="right" w:pos="9360"/>
      </w:tabs>
    </w:pPr>
    <w:r>
      <w:t>February</w:t>
    </w:r>
    <w:r w:rsidR="00794E2F">
      <w:t xml:space="preserve"> 2017</w:t>
    </w:r>
    <w:r w:rsidR="0039222B">
      <w:tab/>
    </w:r>
    <w:r w:rsidR="0039222B">
      <w:tab/>
    </w:r>
    <w:fldSimple w:instr=" TITLE  \* MERGEFORMAT ">
      <w:r w:rsidR="00794E2F">
        <w:t>doc.: IEEE 802.22-17</w:t>
      </w:r>
      <w:r w:rsidR="0039222B">
        <w:t>/00</w:t>
      </w:r>
      <w:r w:rsidR="00803EC2">
        <w:t>04</w:t>
      </w:r>
      <w:r w:rsidR="0039222B">
        <w:t>r</w:t>
      </w:r>
    </w:fldSimple>
    <w:r w:rsidR="00B97AD3">
      <w:t>0</w:t>
    </w:r>
    <w:r>
      <w:t>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00706"/>
    <w:multiLevelType w:val="hybridMultilevel"/>
    <w:tmpl w:val="242AEC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7A10F3"/>
    <w:multiLevelType w:val="hybridMultilevel"/>
    <w:tmpl w:val="A480356E"/>
    <w:lvl w:ilvl="0" w:tplc="D6F884BC">
      <w:start w:val="1"/>
      <w:numFmt w:val="decimal"/>
      <w:lvlText w:val="%1."/>
      <w:lvlJc w:val="left"/>
      <w:pPr>
        <w:ind w:left="2560" w:hanging="560"/>
      </w:pPr>
      <w:rPr>
        <w:rFonts w:hint="default"/>
      </w:rPr>
    </w:lvl>
    <w:lvl w:ilvl="1" w:tplc="08090019" w:tentative="1">
      <w:start w:val="1"/>
      <w:numFmt w:val="lowerLetter"/>
      <w:lvlText w:val="%2."/>
      <w:lvlJc w:val="left"/>
      <w:pPr>
        <w:ind w:left="3080" w:hanging="360"/>
      </w:pPr>
    </w:lvl>
    <w:lvl w:ilvl="2" w:tplc="0809001B" w:tentative="1">
      <w:start w:val="1"/>
      <w:numFmt w:val="lowerRoman"/>
      <w:lvlText w:val="%3."/>
      <w:lvlJc w:val="right"/>
      <w:pPr>
        <w:ind w:left="3800" w:hanging="180"/>
      </w:pPr>
    </w:lvl>
    <w:lvl w:ilvl="3" w:tplc="0809000F" w:tentative="1">
      <w:start w:val="1"/>
      <w:numFmt w:val="decimal"/>
      <w:lvlText w:val="%4."/>
      <w:lvlJc w:val="left"/>
      <w:pPr>
        <w:ind w:left="4520" w:hanging="360"/>
      </w:pPr>
    </w:lvl>
    <w:lvl w:ilvl="4" w:tplc="08090019" w:tentative="1">
      <w:start w:val="1"/>
      <w:numFmt w:val="lowerLetter"/>
      <w:lvlText w:val="%5."/>
      <w:lvlJc w:val="left"/>
      <w:pPr>
        <w:ind w:left="5240" w:hanging="360"/>
      </w:pPr>
    </w:lvl>
    <w:lvl w:ilvl="5" w:tplc="0809001B" w:tentative="1">
      <w:start w:val="1"/>
      <w:numFmt w:val="lowerRoman"/>
      <w:lvlText w:val="%6."/>
      <w:lvlJc w:val="right"/>
      <w:pPr>
        <w:ind w:left="5960" w:hanging="180"/>
      </w:pPr>
    </w:lvl>
    <w:lvl w:ilvl="6" w:tplc="0809000F" w:tentative="1">
      <w:start w:val="1"/>
      <w:numFmt w:val="decimal"/>
      <w:lvlText w:val="%7."/>
      <w:lvlJc w:val="left"/>
      <w:pPr>
        <w:ind w:left="6680" w:hanging="360"/>
      </w:pPr>
    </w:lvl>
    <w:lvl w:ilvl="7" w:tplc="08090019" w:tentative="1">
      <w:start w:val="1"/>
      <w:numFmt w:val="lowerLetter"/>
      <w:lvlText w:val="%8."/>
      <w:lvlJc w:val="left"/>
      <w:pPr>
        <w:ind w:left="7400" w:hanging="360"/>
      </w:pPr>
    </w:lvl>
    <w:lvl w:ilvl="8" w:tplc="0809001B" w:tentative="1">
      <w:start w:val="1"/>
      <w:numFmt w:val="lowerRoman"/>
      <w:lvlText w:val="%9."/>
      <w:lvlJc w:val="right"/>
      <w:pPr>
        <w:ind w:left="8120" w:hanging="180"/>
      </w:pPr>
    </w:lvl>
  </w:abstractNum>
  <w:abstractNum w:abstractNumId="3">
    <w:nsid w:val="62EF3EF9"/>
    <w:multiLevelType w:val="hybridMultilevel"/>
    <w:tmpl w:val="9C4218B8"/>
    <w:lvl w:ilvl="0" w:tplc="A70A9E32">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oNotDisplayPageBoundari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F9"/>
    <w:rsid w:val="0001461E"/>
    <w:rsid w:val="00037516"/>
    <w:rsid w:val="00083FDE"/>
    <w:rsid w:val="000915C2"/>
    <w:rsid w:val="000A1C05"/>
    <w:rsid w:val="000B4801"/>
    <w:rsid w:val="00133993"/>
    <w:rsid w:val="0013771F"/>
    <w:rsid w:val="001417F5"/>
    <w:rsid w:val="00142888"/>
    <w:rsid w:val="0017049B"/>
    <w:rsid w:val="001A301C"/>
    <w:rsid w:val="001A706B"/>
    <w:rsid w:val="001D004D"/>
    <w:rsid w:val="001D23A2"/>
    <w:rsid w:val="001D6BE2"/>
    <w:rsid w:val="001E1819"/>
    <w:rsid w:val="001E3056"/>
    <w:rsid w:val="002174FB"/>
    <w:rsid w:val="00217AAE"/>
    <w:rsid w:val="00256350"/>
    <w:rsid w:val="00262EA5"/>
    <w:rsid w:val="002718C4"/>
    <w:rsid w:val="00293B82"/>
    <w:rsid w:val="002A3C3A"/>
    <w:rsid w:val="002A4DA0"/>
    <w:rsid w:val="002A74D4"/>
    <w:rsid w:val="002D73E7"/>
    <w:rsid w:val="002E14A3"/>
    <w:rsid w:val="002E53CF"/>
    <w:rsid w:val="00302206"/>
    <w:rsid w:val="0031614E"/>
    <w:rsid w:val="003402DF"/>
    <w:rsid w:val="00352097"/>
    <w:rsid w:val="00361F5A"/>
    <w:rsid w:val="00362032"/>
    <w:rsid w:val="00362311"/>
    <w:rsid w:val="003655D7"/>
    <w:rsid w:val="0039222B"/>
    <w:rsid w:val="003A1BF0"/>
    <w:rsid w:val="003C15C4"/>
    <w:rsid w:val="003F4690"/>
    <w:rsid w:val="003F4AFB"/>
    <w:rsid w:val="003F5C2A"/>
    <w:rsid w:val="00405B05"/>
    <w:rsid w:val="00432E69"/>
    <w:rsid w:val="0044070E"/>
    <w:rsid w:val="00455921"/>
    <w:rsid w:val="00457C80"/>
    <w:rsid w:val="004709E5"/>
    <w:rsid w:val="00470E74"/>
    <w:rsid w:val="004710D6"/>
    <w:rsid w:val="004746DE"/>
    <w:rsid w:val="00484B3E"/>
    <w:rsid w:val="00487D1F"/>
    <w:rsid w:val="004C171C"/>
    <w:rsid w:val="004E40EF"/>
    <w:rsid w:val="004F1CB0"/>
    <w:rsid w:val="004F2FB7"/>
    <w:rsid w:val="00525043"/>
    <w:rsid w:val="00540FF9"/>
    <w:rsid w:val="00562696"/>
    <w:rsid w:val="00573B14"/>
    <w:rsid w:val="0058657A"/>
    <w:rsid w:val="0059783A"/>
    <w:rsid w:val="005D7934"/>
    <w:rsid w:val="005E023B"/>
    <w:rsid w:val="005E14DB"/>
    <w:rsid w:val="00612298"/>
    <w:rsid w:val="006176BB"/>
    <w:rsid w:val="00640ED2"/>
    <w:rsid w:val="00661BC9"/>
    <w:rsid w:val="006671E2"/>
    <w:rsid w:val="006A155A"/>
    <w:rsid w:val="006C726E"/>
    <w:rsid w:val="006C7759"/>
    <w:rsid w:val="006D0DB2"/>
    <w:rsid w:val="006D3C06"/>
    <w:rsid w:val="006D6B8D"/>
    <w:rsid w:val="006F06DD"/>
    <w:rsid w:val="00704BB6"/>
    <w:rsid w:val="00721002"/>
    <w:rsid w:val="00737C06"/>
    <w:rsid w:val="00740777"/>
    <w:rsid w:val="0075053A"/>
    <w:rsid w:val="00756892"/>
    <w:rsid w:val="0076582B"/>
    <w:rsid w:val="00767DE8"/>
    <w:rsid w:val="00777322"/>
    <w:rsid w:val="00794E2F"/>
    <w:rsid w:val="007A191E"/>
    <w:rsid w:val="007A42EA"/>
    <w:rsid w:val="007D681C"/>
    <w:rsid w:val="007E38A1"/>
    <w:rsid w:val="007F494E"/>
    <w:rsid w:val="007F5EC0"/>
    <w:rsid w:val="00803EC2"/>
    <w:rsid w:val="0080415C"/>
    <w:rsid w:val="00836534"/>
    <w:rsid w:val="00836B4A"/>
    <w:rsid w:val="008831D2"/>
    <w:rsid w:val="00886BA3"/>
    <w:rsid w:val="00895D08"/>
    <w:rsid w:val="00896C4F"/>
    <w:rsid w:val="008B008B"/>
    <w:rsid w:val="008C3625"/>
    <w:rsid w:val="008D2279"/>
    <w:rsid w:val="008D4706"/>
    <w:rsid w:val="009005AA"/>
    <w:rsid w:val="0090217F"/>
    <w:rsid w:val="00906D23"/>
    <w:rsid w:val="009364C1"/>
    <w:rsid w:val="00957BA5"/>
    <w:rsid w:val="009872B2"/>
    <w:rsid w:val="00990F4F"/>
    <w:rsid w:val="009D3025"/>
    <w:rsid w:val="009E08B0"/>
    <w:rsid w:val="009E1587"/>
    <w:rsid w:val="009F220A"/>
    <w:rsid w:val="009F47DE"/>
    <w:rsid w:val="00A02E3E"/>
    <w:rsid w:val="00A061BE"/>
    <w:rsid w:val="00A44798"/>
    <w:rsid w:val="00A451D9"/>
    <w:rsid w:val="00A5356B"/>
    <w:rsid w:val="00A603CF"/>
    <w:rsid w:val="00A707C5"/>
    <w:rsid w:val="00A76E4D"/>
    <w:rsid w:val="00A94DE9"/>
    <w:rsid w:val="00A9708C"/>
    <w:rsid w:val="00AA4B1F"/>
    <w:rsid w:val="00AC04C4"/>
    <w:rsid w:val="00AC7340"/>
    <w:rsid w:val="00AD1E64"/>
    <w:rsid w:val="00AE5524"/>
    <w:rsid w:val="00AF1A3C"/>
    <w:rsid w:val="00B21085"/>
    <w:rsid w:val="00B22B1C"/>
    <w:rsid w:val="00B53192"/>
    <w:rsid w:val="00B75182"/>
    <w:rsid w:val="00B97AD3"/>
    <w:rsid w:val="00BB0441"/>
    <w:rsid w:val="00BC0021"/>
    <w:rsid w:val="00BC7F02"/>
    <w:rsid w:val="00BF0F37"/>
    <w:rsid w:val="00BF206A"/>
    <w:rsid w:val="00C20F1F"/>
    <w:rsid w:val="00C21E79"/>
    <w:rsid w:val="00C26A0F"/>
    <w:rsid w:val="00C30691"/>
    <w:rsid w:val="00C437CB"/>
    <w:rsid w:val="00C44613"/>
    <w:rsid w:val="00C46384"/>
    <w:rsid w:val="00C577AA"/>
    <w:rsid w:val="00C77344"/>
    <w:rsid w:val="00CA6226"/>
    <w:rsid w:val="00CC0266"/>
    <w:rsid w:val="00CE6B02"/>
    <w:rsid w:val="00D012C9"/>
    <w:rsid w:val="00D13B13"/>
    <w:rsid w:val="00D2111F"/>
    <w:rsid w:val="00D35C86"/>
    <w:rsid w:val="00D3606E"/>
    <w:rsid w:val="00D43605"/>
    <w:rsid w:val="00D473A4"/>
    <w:rsid w:val="00D67E22"/>
    <w:rsid w:val="00DA4352"/>
    <w:rsid w:val="00DA45C3"/>
    <w:rsid w:val="00DA6399"/>
    <w:rsid w:val="00DB3DC3"/>
    <w:rsid w:val="00DD2621"/>
    <w:rsid w:val="00DD3FAA"/>
    <w:rsid w:val="00DD70BA"/>
    <w:rsid w:val="00DE31E4"/>
    <w:rsid w:val="00DE43A0"/>
    <w:rsid w:val="00DF181D"/>
    <w:rsid w:val="00E26AD2"/>
    <w:rsid w:val="00E37D39"/>
    <w:rsid w:val="00E64220"/>
    <w:rsid w:val="00E970F8"/>
    <w:rsid w:val="00EA4E74"/>
    <w:rsid w:val="00EC2956"/>
    <w:rsid w:val="00ED3ABA"/>
    <w:rsid w:val="00EE0B64"/>
    <w:rsid w:val="00EE2F1F"/>
    <w:rsid w:val="00EF269C"/>
    <w:rsid w:val="00F12331"/>
    <w:rsid w:val="00F17D63"/>
    <w:rsid w:val="00F25688"/>
    <w:rsid w:val="00F43A60"/>
    <w:rsid w:val="00F57D63"/>
    <w:rsid w:val="00F731AF"/>
    <w:rsid w:val="00F868B2"/>
    <w:rsid w:val="00F93B23"/>
    <w:rsid w:val="00FB17D4"/>
    <w:rsid w:val="00FD2BE3"/>
    <w:rsid w:val="00FE38F3"/>
    <w:rsid w:val="00FF5292"/>
    <w:rsid w:val="00FF72E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 w:id="200292571">
      <w:bodyDiv w:val="1"/>
      <w:marLeft w:val="0"/>
      <w:marRight w:val="0"/>
      <w:marTop w:val="0"/>
      <w:marBottom w:val="0"/>
      <w:divBdr>
        <w:top w:val="none" w:sz="0" w:space="0" w:color="auto"/>
        <w:left w:val="none" w:sz="0" w:space="0" w:color="auto"/>
        <w:bottom w:val="none" w:sz="0" w:space="0" w:color="auto"/>
        <w:right w:val="none" w:sz="0" w:space="0" w:color="auto"/>
      </w:divBdr>
    </w:div>
    <w:div w:id="282158291">
      <w:bodyDiv w:val="1"/>
      <w:marLeft w:val="0"/>
      <w:marRight w:val="0"/>
      <w:marTop w:val="0"/>
      <w:marBottom w:val="0"/>
      <w:divBdr>
        <w:top w:val="none" w:sz="0" w:space="0" w:color="auto"/>
        <w:left w:val="none" w:sz="0" w:space="0" w:color="auto"/>
        <w:bottom w:val="none" w:sz="0" w:space="0" w:color="auto"/>
        <w:right w:val="none" w:sz="0" w:space="0" w:color="auto"/>
      </w:divBdr>
    </w:div>
    <w:div w:id="305667561">
      <w:bodyDiv w:val="1"/>
      <w:marLeft w:val="0"/>
      <w:marRight w:val="0"/>
      <w:marTop w:val="0"/>
      <w:marBottom w:val="0"/>
      <w:divBdr>
        <w:top w:val="none" w:sz="0" w:space="0" w:color="auto"/>
        <w:left w:val="none" w:sz="0" w:space="0" w:color="auto"/>
        <w:bottom w:val="none" w:sz="0" w:space="0" w:color="auto"/>
        <w:right w:val="none" w:sz="0" w:space="0" w:color="auto"/>
      </w:divBdr>
    </w:div>
    <w:div w:id="538278371">
      <w:bodyDiv w:val="1"/>
      <w:marLeft w:val="0"/>
      <w:marRight w:val="0"/>
      <w:marTop w:val="0"/>
      <w:marBottom w:val="0"/>
      <w:divBdr>
        <w:top w:val="none" w:sz="0" w:space="0" w:color="auto"/>
        <w:left w:val="none" w:sz="0" w:space="0" w:color="auto"/>
        <w:bottom w:val="none" w:sz="0" w:space="0" w:color="auto"/>
        <w:right w:val="none" w:sz="0" w:space="0" w:color="auto"/>
      </w:divBdr>
    </w:div>
    <w:div w:id="770248754">
      <w:bodyDiv w:val="1"/>
      <w:marLeft w:val="0"/>
      <w:marRight w:val="0"/>
      <w:marTop w:val="0"/>
      <w:marBottom w:val="0"/>
      <w:divBdr>
        <w:top w:val="none" w:sz="0" w:space="0" w:color="auto"/>
        <w:left w:val="none" w:sz="0" w:space="0" w:color="auto"/>
        <w:bottom w:val="none" w:sz="0" w:space="0" w:color="auto"/>
        <w:right w:val="none" w:sz="0" w:space="0" w:color="auto"/>
      </w:divBdr>
    </w:div>
    <w:div w:id="857305518">
      <w:bodyDiv w:val="1"/>
      <w:marLeft w:val="0"/>
      <w:marRight w:val="0"/>
      <w:marTop w:val="0"/>
      <w:marBottom w:val="0"/>
      <w:divBdr>
        <w:top w:val="none" w:sz="0" w:space="0" w:color="auto"/>
        <w:left w:val="none" w:sz="0" w:space="0" w:color="auto"/>
        <w:bottom w:val="none" w:sz="0" w:space="0" w:color="auto"/>
        <w:right w:val="none" w:sz="0" w:space="0" w:color="auto"/>
      </w:divBdr>
    </w:div>
    <w:div w:id="16520527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bylaws/sb-bylaws.pdf" TargetMode="External"/><Relationship Id="rId12" Type="http://schemas.openxmlformats.org/officeDocument/2006/relationships/hyperlink" Target="mailto:carl.stevenson@ieee.org" TargetMode="External"/><Relationship Id="rId13" Type="http://schemas.openxmlformats.org/officeDocument/2006/relationships/hyperlink" Target="mailto:patcom@ieee.org" TargetMode="External"/><Relationship Id="rId14" Type="http://schemas.openxmlformats.org/officeDocument/2006/relationships/hyperlink" Target="http://standards.ieee.org/board/pat/pat-slideset.pdf"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oger.hislop@is.co.za" TargetMode="External"/><Relationship Id="rId8" Type="http://schemas.openxmlformats.org/officeDocument/2006/relationships/hyperlink" Target="http://standards.ieee.org/guides/bylaws/sb-bylaws.pdf" TargetMode="External"/><Relationship Id="rId9" Type="http://schemas.openxmlformats.org/officeDocument/2006/relationships/hyperlink" Target="mailto:carl.stevenson@ieee.org" TargetMode="External"/><Relationship Id="rId10" Type="http://schemas.openxmlformats.org/officeDocument/2006/relationships/hyperlink" Target="mailto:patcom@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362</Words>
  <Characters>2070</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 (IS)</cp:lastModifiedBy>
  <cp:revision>8</cp:revision>
  <dcterms:created xsi:type="dcterms:W3CDTF">2017-04-20T13:27:00Z</dcterms:created>
  <dcterms:modified xsi:type="dcterms:W3CDTF">2017-04-20T14:20:00Z</dcterms:modified>
</cp:coreProperties>
</file>