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464A793D" w:rsidR="00540FF9" w:rsidRDefault="00540FF9" w:rsidP="009D3025">
            <w:pPr>
              <w:pStyle w:val="T2"/>
              <w:ind w:left="0"/>
              <w:rPr>
                <w:sz w:val="20"/>
              </w:rPr>
            </w:pPr>
            <w:r>
              <w:rPr>
                <w:sz w:val="20"/>
              </w:rPr>
              <w:t>Date:</w:t>
            </w:r>
            <w:r>
              <w:rPr>
                <w:b w:val="0"/>
                <w:sz w:val="20"/>
              </w:rPr>
              <w:t xml:space="preserve">  2016-</w:t>
            </w:r>
            <w:r w:rsidR="009D3025">
              <w:rPr>
                <w:b w:val="0"/>
                <w:sz w:val="20"/>
              </w:rPr>
              <w:t>10</w:t>
            </w:r>
            <w:r>
              <w:rPr>
                <w:b w:val="0"/>
                <w:sz w:val="20"/>
              </w:rPr>
              <w:t>-</w:t>
            </w:r>
            <w:r w:rsidR="009D3025">
              <w:rPr>
                <w:b w:val="0"/>
                <w:sz w:val="20"/>
              </w:rPr>
              <w:t>07</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562696"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F84FBC3" w:rsidR="00540FF9" w:rsidRDefault="00540FF9" w:rsidP="00540FF9">
                            <w:pPr>
                              <w:jc w:val="both"/>
                            </w:pPr>
                            <w:r w:rsidRPr="00A00CBC">
                              <w:rPr>
                                <w:b/>
                              </w:rPr>
                              <w:t>Year 20</w:t>
                            </w:r>
                            <w:r>
                              <w:rPr>
                                <w:b/>
                              </w:rPr>
                              <w:t>16</w:t>
                            </w:r>
                            <w:r>
                              <w:t xml:space="preserve"> – </w:t>
                            </w:r>
                            <w:r w:rsidR="009D3025">
                              <w:t>Octo</w:t>
                            </w:r>
                            <w:r w:rsidR="00F93B23">
                              <w:t>ber</w:t>
                            </w:r>
                            <w:r w:rsidR="008D2279">
                              <w:t xml:space="preserve"> </w:t>
                            </w:r>
                            <w:r w:rsidR="00DD70BA">
                              <w:t>21</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F84FBC3" w:rsidR="00540FF9" w:rsidRDefault="00540FF9" w:rsidP="00540FF9">
                      <w:pPr>
                        <w:jc w:val="both"/>
                      </w:pPr>
                      <w:r w:rsidRPr="00A00CBC">
                        <w:rPr>
                          <w:b/>
                        </w:rPr>
                        <w:t>Year 20</w:t>
                      </w:r>
                      <w:r>
                        <w:rPr>
                          <w:b/>
                        </w:rPr>
                        <w:t>16</w:t>
                      </w:r>
                      <w:r>
                        <w:t xml:space="preserve"> – </w:t>
                      </w:r>
                      <w:r w:rsidR="009D3025">
                        <w:t>Octo</w:t>
                      </w:r>
                      <w:r w:rsidR="00F93B23">
                        <w:t>ber</w:t>
                      </w:r>
                      <w:r w:rsidR="008D2279">
                        <w:t xml:space="preserve"> </w:t>
                      </w:r>
                      <w:r w:rsidR="00DD70BA">
                        <w:t>21</w:t>
                      </w:r>
                      <w:r>
                        <w:t>, 2016</w:t>
                      </w:r>
                    </w:p>
                  </w:txbxContent>
                </v:textbox>
              </v:shape>
            </w:pict>
          </mc:Fallback>
        </mc:AlternateContent>
      </w:r>
    </w:p>
    <w:p w14:paraId="47078673" w14:textId="5273B128"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9D3025">
        <w:rPr>
          <w:b/>
          <w:sz w:val="32"/>
          <w:szCs w:val="32"/>
        </w:rPr>
        <w:t xml:space="preserve">October </w:t>
      </w:r>
      <w:r w:rsidR="00DD70BA">
        <w:rPr>
          <w:b/>
          <w:sz w:val="32"/>
          <w:szCs w:val="32"/>
        </w:rPr>
        <w:t>21</w:t>
      </w:r>
      <w:r w:rsidR="00DD70BA" w:rsidRPr="00DD70BA">
        <w:rPr>
          <w:b/>
          <w:sz w:val="32"/>
          <w:szCs w:val="32"/>
          <w:vertAlign w:val="superscript"/>
        </w:rPr>
        <w:t>st</w:t>
      </w:r>
      <w:r w:rsidR="00DD70BA">
        <w:rPr>
          <w:b/>
          <w:sz w:val="32"/>
          <w:szCs w:val="32"/>
        </w:rPr>
        <w:t xml:space="preserve"> 2016</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Pr="001E3056" w:rsidRDefault="00540FF9" w:rsidP="00F25688">
      <w:pPr>
        <w:rPr>
          <w:color w:val="000000" w:themeColor="text1"/>
          <w:szCs w:val="22"/>
        </w:rPr>
      </w:pPr>
      <w:r w:rsidRPr="001E3056">
        <w:rPr>
          <w:color w:val="000000" w:themeColor="text1"/>
          <w:szCs w:val="22"/>
        </w:rPr>
        <w:t>1. Attendance</w:t>
      </w:r>
    </w:p>
    <w:p w14:paraId="2CCE2481" w14:textId="4042648B" w:rsidR="00302206" w:rsidRPr="001E3056" w:rsidRDefault="00302206" w:rsidP="00302206">
      <w:pPr>
        <w:rPr>
          <w:color w:val="000000" w:themeColor="text1"/>
          <w:szCs w:val="22"/>
        </w:rPr>
      </w:pPr>
      <w:r w:rsidRPr="001E3056">
        <w:rPr>
          <w:color w:val="000000" w:themeColor="text1"/>
          <w:szCs w:val="22"/>
        </w:rPr>
        <w:t>Apurva Mody (AM), BAE Systems</w:t>
      </w:r>
    </w:p>
    <w:p w14:paraId="7A4CF820" w14:textId="66C49ED0" w:rsidR="00302206" w:rsidRPr="001E3056" w:rsidRDefault="00302206" w:rsidP="00302206">
      <w:pPr>
        <w:rPr>
          <w:color w:val="000000" w:themeColor="text1"/>
          <w:szCs w:val="22"/>
        </w:rPr>
      </w:pPr>
      <w:r w:rsidRPr="001E3056">
        <w:rPr>
          <w:color w:val="000000" w:themeColor="text1"/>
          <w:szCs w:val="22"/>
        </w:rPr>
        <w:t>Gianni Cerro (GC), University Pegaso</w:t>
      </w:r>
    </w:p>
    <w:p w14:paraId="7548595C" w14:textId="77777777" w:rsidR="00DD70BA" w:rsidRPr="001E3056" w:rsidRDefault="00DD70BA" w:rsidP="00DD70BA">
      <w:pPr>
        <w:rPr>
          <w:color w:val="000000" w:themeColor="text1"/>
          <w:szCs w:val="22"/>
        </w:rPr>
      </w:pPr>
      <w:r w:rsidRPr="001E3056">
        <w:rPr>
          <w:color w:val="000000" w:themeColor="text1"/>
          <w:szCs w:val="22"/>
        </w:rPr>
        <w:t>Roger Hislop (RH), TG chair, Internet Solutions</w:t>
      </w:r>
    </w:p>
    <w:p w14:paraId="7146AC38" w14:textId="77777777" w:rsidR="00DD70BA" w:rsidRDefault="00DD70BA" w:rsidP="00DD70BA">
      <w:pPr>
        <w:rPr>
          <w:szCs w:val="22"/>
        </w:rPr>
      </w:pPr>
      <w:r>
        <w:rPr>
          <w:szCs w:val="22"/>
        </w:rPr>
        <w:t>Jerry Kalke (JK), CBS</w:t>
      </w:r>
    </w:p>
    <w:p w14:paraId="554F8540" w14:textId="77777777" w:rsidR="00DD70BA" w:rsidRPr="001E3056" w:rsidRDefault="00DD70BA" w:rsidP="00DD70BA">
      <w:pPr>
        <w:jc w:val="both"/>
        <w:rPr>
          <w:color w:val="000000" w:themeColor="text1"/>
          <w:szCs w:val="22"/>
        </w:rPr>
      </w:pPr>
      <w:r w:rsidRPr="001E3056">
        <w:rPr>
          <w:color w:val="000000" w:themeColor="text1"/>
          <w:szCs w:val="22"/>
        </w:rPr>
        <w:t xml:space="preserve">John McGinn (JM), Cognitive Systems </w:t>
      </w:r>
    </w:p>
    <w:p w14:paraId="67BA2FBC" w14:textId="3F49D8FB" w:rsidR="00DD70BA" w:rsidRDefault="00DD70BA" w:rsidP="00302206">
      <w:pPr>
        <w:rPr>
          <w:szCs w:val="22"/>
        </w:rPr>
      </w:pPr>
      <w:r>
        <w:rPr>
          <w:szCs w:val="22"/>
        </w:rPr>
        <w:t>Mike Cotton (MC), NTIA</w:t>
      </w:r>
    </w:p>
    <w:p w14:paraId="3923EA4C" w14:textId="77777777" w:rsidR="00302206" w:rsidRPr="001E3056" w:rsidRDefault="00302206" w:rsidP="00302206">
      <w:pPr>
        <w:rPr>
          <w:color w:val="000000" w:themeColor="text1"/>
          <w:szCs w:val="22"/>
        </w:rPr>
      </w:pPr>
      <w:r w:rsidRPr="001E3056">
        <w:rPr>
          <w:color w:val="000000" w:themeColor="text1"/>
          <w:szCs w:val="22"/>
        </w:rPr>
        <w:t>Nilesh Khambekar (NK), University at Buffalo</w:t>
      </w:r>
    </w:p>
    <w:p w14:paraId="0F15D9BF" w14:textId="7CE12DA2" w:rsidR="00DD70BA" w:rsidRDefault="00DD70BA" w:rsidP="00302206">
      <w:pPr>
        <w:rPr>
          <w:color w:val="000000" w:themeColor="text1"/>
          <w:szCs w:val="22"/>
        </w:rPr>
      </w:pPr>
      <w:r>
        <w:rPr>
          <w:color w:val="000000" w:themeColor="text1"/>
          <w:szCs w:val="22"/>
        </w:rPr>
        <w:t>Marc Emmelman (ME), self</w:t>
      </w:r>
    </w:p>
    <w:p w14:paraId="54F00B66" w14:textId="41F916AA" w:rsidR="00BB0441" w:rsidRPr="001E3056" w:rsidRDefault="00BB0441" w:rsidP="00302206">
      <w:pPr>
        <w:rPr>
          <w:color w:val="000000" w:themeColor="text1"/>
          <w:szCs w:val="22"/>
        </w:rPr>
      </w:pPr>
      <w:r w:rsidRPr="001E3056">
        <w:rPr>
          <w:color w:val="000000" w:themeColor="text1"/>
          <w:szCs w:val="22"/>
        </w:rPr>
        <w:t>Oliver Holland (OH), Kings College London</w:t>
      </w:r>
    </w:p>
    <w:p w14:paraId="0BE74CE1" w14:textId="308483E4" w:rsidR="00BB0441" w:rsidRPr="001E3056" w:rsidRDefault="00BB0441" w:rsidP="00302206">
      <w:pPr>
        <w:rPr>
          <w:color w:val="000000" w:themeColor="text1"/>
          <w:szCs w:val="22"/>
        </w:rPr>
      </w:pPr>
      <w:r w:rsidRPr="001E3056">
        <w:rPr>
          <w:color w:val="000000" w:themeColor="text1"/>
          <w:szCs w:val="22"/>
        </w:rPr>
        <w:t>Bernd Bochow (BB), FOKUS</w:t>
      </w:r>
    </w:p>
    <w:p w14:paraId="110CDA92" w14:textId="65A09D21" w:rsidR="00E970F8" w:rsidRDefault="00E970F8" w:rsidP="00F25688">
      <w:pPr>
        <w:jc w:val="both"/>
        <w:rPr>
          <w:szCs w:val="22"/>
        </w:rPr>
      </w:pPr>
    </w:p>
    <w:p w14:paraId="5A40DE40" w14:textId="77777777" w:rsidR="00DD70BA" w:rsidRDefault="00DD70BA" w:rsidP="00F25688">
      <w:pPr>
        <w:jc w:val="both"/>
        <w:rPr>
          <w:szCs w:val="22"/>
        </w:rPr>
      </w:pPr>
    </w:p>
    <w:p w14:paraId="059B32E4" w14:textId="77777777" w:rsidR="00DD70BA" w:rsidRDefault="00DD70BA"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562696"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333BAB" w14:textId="1A34F713" w:rsidR="007A42EA" w:rsidRDefault="007A42EA" w:rsidP="007A42EA">
      <w:pPr>
        <w:pStyle w:val="ListParagraph"/>
        <w:numPr>
          <w:ilvl w:val="1"/>
          <w:numId w:val="1"/>
        </w:numPr>
        <w:jc w:val="both"/>
        <w:rPr>
          <w:szCs w:val="22"/>
        </w:rPr>
      </w:pPr>
      <w:r w:rsidRPr="00F731AF">
        <w:rPr>
          <w:szCs w:val="22"/>
        </w:rPr>
        <w:t xml:space="preserve">Meeting minutes from meeting of </w:t>
      </w:r>
      <w:r w:rsidR="00F93B23">
        <w:rPr>
          <w:szCs w:val="22"/>
        </w:rPr>
        <w:t>August</w:t>
      </w:r>
      <w:r w:rsidRPr="00F731AF">
        <w:rPr>
          <w:szCs w:val="22"/>
        </w:rPr>
        <w:t xml:space="preserve"> </w:t>
      </w:r>
      <w:r w:rsidR="002E14A3">
        <w:rPr>
          <w:szCs w:val="22"/>
        </w:rPr>
        <w:t>2</w:t>
      </w:r>
      <w:r w:rsidR="00F93B23">
        <w:rPr>
          <w:szCs w:val="22"/>
        </w:rPr>
        <w:t>6</w:t>
      </w:r>
      <w:r w:rsidR="002E14A3" w:rsidRPr="002E14A3">
        <w:rPr>
          <w:szCs w:val="22"/>
          <w:vertAlign w:val="superscript"/>
        </w:rPr>
        <w:t>th</w:t>
      </w:r>
      <w:r w:rsidRPr="00F731AF">
        <w:rPr>
          <w:szCs w:val="22"/>
        </w:rPr>
        <w:t xml:space="preserve"> reviewed and call for approval. </w:t>
      </w:r>
    </w:p>
    <w:p w14:paraId="1784D9E7" w14:textId="5B0A52EC" w:rsidR="007A42EA" w:rsidRPr="00F731AF" w:rsidRDefault="007A42EA" w:rsidP="007A42EA">
      <w:pPr>
        <w:pStyle w:val="ListParagraph"/>
        <w:numPr>
          <w:ilvl w:val="1"/>
          <w:numId w:val="1"/>
        </w:numPr>
        <w:jc w:val="both"/>
        <w:rPr>
          <w:szCs w:val="22"/>
        </w:rPr>
      </w:pPr>
      <w:r w:rsidRPr="00F731AF">
        <w:rPr>
          <w:szCs w:val="22"/>
        </w:rPr>
        <w:t xml:space="preserve">Moved by </w:t>
      </w:r>
      <w:r w:rsidR="00F93B23">
        <w:rPr>
          <w:szCs w:val="22"/>
        </w:rPr>
        <w:t>AM</w:t>
      </w:r>
      <w:r w:rsidRPr="00F731AF">
        <w:rPr>
          <w:szCs w:val="22"/>
        </w:rPr>
        <w:t xml:space="preserve">, seconded by </w:t>
      </w:r>
      <w:r w:rsidR="009F47DE">
        <w:rPr>
          <w:szCs w:val="22"/>
        </w:rPr>
        <w:t>OH</w:t>
      </w:r>
      <w:r w:rsidRPr="00F731AF">
        <w:rPr>
          <w:szCs w:val="22"/>
        </w:rPr>
        <w:t>, no objections, so approved.</w:t>
      </w:r>
    </w:p>
    <w:p w14:paraId="0C6B2B31" w14:textId="05FF18E0" w:rsidR="007E38A1" w:rsidRPr="00B22B1C" w:rsidRDefault="00540FF9" w:rsidP="00B22B1C">
      <w:pPr>
        <w:numPr>
          <w:ilvl w:val="0"/>
          <w:numId w:val="1"/>
        </w:numPr>
        <w:jc w:val="both"/>
        <w:rPr>
          <w:szCs w:val="22"/>
        </w:rPr>
      </w:pPr>
      <w:r w:rsidRPr="0058657A">
        <w:rPr>
          <w:szCs w:val="22"/>
        </w:rPr>
        <w:t>Task Group planning:</w:t>
      </w:r>
    </w:p>
    <w:p w14:paraId="333DDCBB" w14:textId="7BE60504" w:rsidR="00B22B1C" w:rsidRDefault="00256350" w:rsidP="00B22B1C">
      <w:pPr>
        <w:pStyle w:val="ListParagraph"/>
        <w:numPr>
          <w:ilvl w:val="1"/>
          <w:numId w:val="1"/>
        </w:numPr>
      </w:pPr>
      <w:r>
        <w:t xml:space="preserve">Presentation by </w:t>
      </w:r>
      <w:r w:rsidR="00DD70BA">
        <w:t>Roger Hislop, presenting overview of primitives in P1900.6 and architecture elements and how they might be used in 802.22.3 as normative standards.</w:t>
      </w:r>
    </w:p>
    <w:p w14:paraId="37DA9C53" w14:textId="77777777" w:rsidR="00DD70BA" w:rsidRDefault="00DD70BA" w:rsidP="00B22B1C">
      <w:pPr>
        <w:pStyle w:val="ListParagraph"/>
        <w:numPr>
          <w:ilvl w:val="2"/>
          <w:numId w:val="1"/>
        </w:numPr>
      </w:pPr>
      <w:r>
        <w:t>P1900.6 has considerable work already done in primitives for identifying sensor characteristics (discovery), and for senors to send data to a back end.</w:t>
      </w:r>
    </w:p>
    <w:p w14:paraId="51241741" w14:textId="12EAE8FF" w:rsidR="00B22B1C" w:rsidRDefault="00DD70BA" w:rsidP="00B22B1C">
      <w:pPr>
        <w:pStyle w:val="ListParagraph"/>
        <w:numPr>
          <w:ilvl w:val="2"/>
          <w:numId w:val="1"/>
        </w:numPr>
      </w:pPr>
      <w:r>
        <w:t>Some of the metrics/configurations, etc are generic, and there are also fields that allow vendor-specific strings to be implemented (device profiles, etc).</w:t>
      </w:r>
    </w:p>
    <w:p w14:paraId="58F93DCD" w14:textId="28BF3CE6" w:rsidR="00DD70BA" w:rsidRDefault="00DD70BA" w:rsidP="00DD70BA">
      <w:pPr>
        <w:pStyle w:val="ListParagraph"/>
        <w:numPr>
          <w:ilvl w:val="2"/>
          <w:numId w:val="1"/>
        </w:numPr>
      </w:pPr>
      <w:r>
        <w:t>Some discussion of these – consensus is that they would be broadly applicable in their current form, and would allow for faster implementation of an 802.22.3 standard</w:t>
      </w:r>
      <w:bookmarkStart w:id="0" w:name="_GoBack"/>
      <w:bookmarkEnd w:id="0"/>
    </w:p>
    <w:p w14:paraId="7F3A714B" w14:textId="24E286BB" w:rsidR="00DD70BA" w:rsidRDefault="00DD70BA" w:rsidP="00B22B1C">
      <w:pPr>
        <w:pStyle w:val="ListParagraph"/>
        <w:numPr>
          <w:ilvl w:val="1"/>
          <w:numId w:val="1"/>
        </w:numPr>
      </w:pPr>
      <w:r>
        <w:t>The emphasis is now on settling on enough basics to start to get reference implementations into play based on an 802.22.3 design, to start moving towards a first draft standard for balloting.</w:t>
      </w:r>
    </w:p>
    <w:p w14:paraId="0E23E852" w14:textId="118525ED" w:rsidR="00B22B1C" w:rsidRDefault="00B22B1C" w:rsidP="00B22B1C">
      <w:pPr>
        <w:pStyle w:val="ListParagraph"/>
        <w:numPr>
          <w:ilvl w:val="1"/>
          <w:numId w:val="1"/>
        </w:numPr>
      </w:pPr>
      <w:r>
        <w:t xml:space="preserve">The </w:t>
      </w:r>
      <w:r w:rsidR="00DD70BA">
        <w:t>group reviewed the upcoming IEEE802 plenary in San Antonio, as to who would be able to attend, and moving some of the slots to allow additional people to be able to make it for the 22.3 specific sessions. AM as 802.22 chair sent out revised schedule.</w:t>
      </w:r>
    </w:p>
    <w:p w14:paraId="7D36CA3A" w14:textId="0EBD1BA0" w:rsidR="00BC0021" w:rsidRPr="00B22B1C" w:rsidRDefault="00540FF9" w:rsidP="00F25688">
      <w:pPr>
        <w:numPr>
          <w:ilvl w:val="0"/>
          <w:numId w:val="1"/>
        </w:numPr>
        <w:jc w:val="both"/>
        <w:rPr>
          <w:szCs w:val="22"/>
        </w:rPr>
      </w:pPr>
      <w:r w:rsidRPr="0058657A">
        <w:rPr>
          <w:szCs w:val="22"/>
        </w:rPr>
        <w:t>Meeting was adjourned at 1</w:t>
      </w:r>
      <w:r w:rsidR="00C30691">
        <w:rPr>
          <w:szCs w:val="22"/>
        </w:rPr>
        <w:t>4</w:t>
      </w:r>
      <w:r w:rsidRPr="0058657A">
        <w:rPr>
          <w:szCs w:val="22"/>
        </w:rPr>
        <w:t>h</w:t>
      </w:r>
      <w:r w:rsidR="00DD70BA">
        <w:rPr>
          <w:szCs w:val="22"/>
        </w:rPr>
        <w:t>15</w:t>
      </w:r>
      <w:r w:rsidRPr="0058657A">
        <w:rPr>
          <w:szCs w:val="22"/>
        </w:rPr>
        <w:t xml:space="preserve"> UT</w:t>
      </w:r>
      <w:r w:rsidR="00F731AF">
        <w:rPr>
          <w:szCs w:val="22"/>
        </w:rPr>
        <w:t>C</w:t>
      </w:r>
    </w:p>
    <w:sectPr w:rsidR="00BC002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D0E0A" w14:textId="77777777" w:rsidR="00562696" w:rsidRDefault="00562696" w:rsidP="0044070E">
      <w:r>
        <w:separator/>
      </w:r>
    </w:p>
  </w:endnote>
  <w:endnote w:type="continuationSeparator" w:id="0">
    <w:p w14:paraId="6F4B5FA0" w14:textId="77777777" w:rsidR="00562696" w:rsidRDefault="00562696"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562696">
      <w:rPr>
        <w:noProof/>
      </w:rPr>
      <w:t>1</w:t>
    </w:r>
    <w:r>
      <w:fldChar w:fldCharType="end"/>
    </w:r>
    <w:r>
      <w:tab/>
      <w:t>Roger Hislop, Internet Solutions</w:t>
    </w:r>
  </w:p>
  <w:p w14:paraId="2B7AA521" w14:textId="77777777" w:rsidR="00CF176F" w:rsidRDefault="005626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5F71C" w14:textId="77777777" w:rsidR="00562696" w:rsidRDefault="00562696" w:rsidP="0044070E">
      <w:r>
        <w:separator/>
      </w:r>
    </w:p>
  </w:footnote>
  <w:footnote w:type="continuationSeparator" w:id="0">
    <w:p w14:paraId="4AD0CA00" w14:textId="77777777" w:rsidR="00562696" w:rsidRDefault="00562696"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1A925C3E" w:rsidR="00CF176F" w:rsidRDefault="00FB17D4">
    <w:pPr>
      <w:pStyle w:val="Header"/>
      <w:tabs>
        <w:tab w:val="clear" w:pos="6480"/>
        <w:tab w:val="center" w:pos="4680"/>
        <w:tab w:val="right" w:pos="9360"/>
      </w:tabs>
    </w:pPr>
    <w:r>
      <w:t>October</w:t>
    </w:r>
    <w:r w:rsidR="0039222B">
      <w:t xml:space="preserve"> 2016</w:t>
    </w:r>
    <w:r w:rsidR="0039222B">
      <w:tab/>
    </w:r>
    <w:r w:rsidR="0039222B">
      <w:tab/>
    </w:r>
    <w:r w:rsidR="00562696">
      <w:fldChar w:fldCharType="begin"/>
    </w:r>
    <w:r w:rsidR="00562696">
      <w:instrText xml:space="preserve"> TITLE  \* MERGEFORMAT </w:instrText>
    </w:r>
    <w:r w:rsidR="00562696">
      <w:fldChar w:fldCharType="separate"/>
    </w:r>
    <w:r w:rsidR="0039222B">
      <w:t>doc.: IEEE 802.22-16/0012r</w:t>
    </w:r>
    <w:r w:rsidR="00562696">
      <w:fldChar w:fldCharType="end"/>
    </w:r>
    <w:r>
      <w:t>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A1C05"/>
    <w:rsid w:val="000B4801"/>
    <w:rsid w:val="0013771F"/>
    <w:rsid w:val="00142888"/>
    <w:rsid w:val="0017049B"/>
    <w:rsid w:val="001A706B"/>
    <w:rsid w:val="001D004D"/>
    <w:rsid w:val="001D23A2"/>
    <w:rsid w:val="001D6BE2"/>
    <w:rsid w:val="001E1819"/>
    <w:rsid w:val="001E3056"/>
    <w:rsid w:val="00256350"/>
    <w:rsid w:val="00293B82"/>
    <w:rsid w:val="002D73E7"/>
    <w:rsid w:val="002E14A3"/>
    <w:rsid w:val="00302206"/>
    <w:rsid w:val="0031614E"/>
    <w:rsid w:val="003402DF"/>
    <w:rsid w:val="00361F5A"/>
    <w:rsid w:val="00362311"/>
    <w:rsid w:val="0039222B"/>
    <w:rsid w:val="003A1BF0"/>
    <w:rsid w:val="003C15C4"/>
    <w:rsid w:val="003F4690"/>
    <w:rsid w:val="00405B05"/>
    <w:rsid w:val="00432E69"/>
    <w:rsid w:val="0044070E"/>
    <w:rsid w:val="00455921"/>
    <w:rsid w:val="004710D6"/>
    <w:rsid w:val="004C171C"/>
    <w:rsid w:val="004E40EF"/>
    <w:rsid w:val="00525043"/>
    <w:rsid w:val="00540FF9"/>
    <w:rsid w:val="00562696"/>
    <w:rsid w:val="00573B14"/>
    <w:rsid w:val="0058657A"/>
    <w:rsid w:val="005D7934"/>
    <w:rsid w:val="005E14DB"/>
    <w:rsid w:val="00661BC9"/>
    <w:rsid w:val="006C726E"/>
    <w:rsid w:val="006D0DB2"/>
    <w:rsid w:val="00721002"/>
    <w:rsid w:val="00740777"/>
    <w:rsid w:val="00756892"/>
    <w:rsid w:val="007A42EA"/>
    <w:rsid w:val="007E38A1"/>
    <w:rsid w:val="00836534"/>
    <w:rsid w:val="00836B4A"/>
    <w:rsid w:val="00886BA3"/>
    <w:rsid w:val="00896C4F"/>
    <w:rsid w:val="008B008B"/>
    <w:rsid w:val="008C3625"/>
    <w:rsid w:val="008D2279"/>
    <w:rsid w:val="00906D23"/>
    <w:rsid w:val="009364C1"/>
    <w:rsid w:val="00957BA5"/>
    <w:rsid w:val="009872B2"/>
    <w:rsid w:val="00990F4F"/>
    <w:rsid w:val="009D3025"/>
    <w:rsid w:val="009E1587"/>
    <w:rsid w:val="009F47DE"/>
    <w:rsid w:val="00A44798"/>
    <w:rsid w:val="00A451D9"/>
    <w:rsid w:val="00A603CF"/>
    <w:rsid w:val="00A707C5"/>
    <w:rsid w:val="00A76E4D"/>
    <w:rsid w:val="00A94DE9"/>
    <w:rsid w:val="00AC7340"/>
    <w:rsid w:val="00AE5524"/>
    <w:rsid w:val="00AF1A3C"/>
    <w:rsid w:val="00B21085"/>
    <w:rsid w:val="00B22B1C"/>
    <w:rsid w:val="00B53192"/>
    <w:rsid w:val="00BB0441"/>
    <w:rsid w:val="00BC0021"/>
    <w:rsid w:val="00BC7F02"/>
    <w:rsid w:val="00BF0F37"/>
    <w:rsid w:val="00BF206A"/>
    <w:rsid w:val="00C20F1F"/>
    <w:rsid w:val="00C21E79"/>
    <w:rsid w:val="00C30691"/>
    <w:rsid w:val="00C437CB"/>
    <w:rsid w:val="00C44613"/>
    <w:rsid w:val="00C46384"/>
    <w:rsid w:val="00C577AA"/>
    <w:rsid w:val="00CA6226"/>
    <w:rsid w:val="00CC0266"/>
    <w:rsid w:val="00CE6B02"/>
    <w:rsid w:val="00D13B13"/>
    <w:rsid w:val="00D2111F"/>
    <w:rsid w:val="00D35C86"/>
    <w:rsid w:val="00D3606E"/>
    <w:rsid w:val="00D43605"/>
    <w:rsid w:val="00D473A4"/>
    <w:rsid w:val="00DA45C3"/>
    <w:rsid w:val="00DD2621"/>
    <w:rsid w:val="00DD3FAA"/>
    <w:rsid w:val="00DD70BA"/>
    <w:rsid w:val="00DE31E4"/>
    <w:rsid w:val="00DE43A0"/>
    <w:rsid w:val="00E26AD2"/>
    <w:rsid w:val="00E970F8"/>
    <w:rsid w:val="00EA4E74"/>
    <w:rsid w:val="00ED3ABA"/>
    <w:rsid w:val="00EE2F1F"/>
    <w:rsid w:val="00F25688"/>
    <w:rsid w:val="00F43A60"/>
    <w:rsid w:val="00F57D63"/>
    <w:rsid w:val="00F731AF"/>
    <w:rsid w:val="00F868B2"/>
    <w:rsid w:val="00F93B23"/>
    <w:rsid w:val="00FB17D4"/>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2231</Characters>
  <Application>Microsoft Macintosh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2</cp:revision>
  <dcterms:created xsi:type="dcterms:W3CDTF">2016-11-04T13:29:00Z</dcterms:created>
  <dcterms:modified xsi:type="dcterms:W3CDTF">2016-11-04T13:29:00Z</dcterms:modified>
</cp:coreProperties>
</file>