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782C5D" w:rsidP="00D57F65">
            <w:pPr>
              <w:pStyle w:val="T2"/>
              <w:rPr>
                <w:sz w:val="22"/>
                <w:lang w:eastAsia="ja-JP"/>
              </w:rPr>
            </w:pPr>
            <w:r>
              <w:rPr>
                <w:rFonts w:hint="eastAsia"/>
                <w:sz w:val="22"/>
                <w:lang w:eastAsia="ja-JP"/>
              </w:rPr>
              <w:t>A-WRAN Descriptions</w:t>
            </w:r>
          </w:p>
        </w:tc>
      </w:tr>
      <w:tr w:rsidR="009B6794" w:rsidRPr="00D57F65">
        <w:trPr>
          <w:trHeight w:val="359"/>
          <w:jc w:val="center"/>
        </w:trPr>
        <w:tc>
          <w:tcPr>
            <w:tcW w:w="9576" w:type="dxa"/>
            <w:gridSpan w:val="5"/>
            <w:vAlign w:val="center"/>
          </w:tcPr>
          <w:p w:rsidR="009B6794" w:rsidRPr="00D57F65" w:rsidRDefault="00AD3A3F" w:rsidP="00782C5D">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782C5D">
              <w:rPr>
                <w:rFonts w:hint="eastAsia"/>
                <w:b w:val="0"/>
                <w:sz w:val="16"/>
                <w:lang w:eastAsia="ja-JP"/>
              </w:rPr>
              <w:t>7</w:t>
            </w:r>
            <w:r w:rsidRPr="00D57F65">
              <w:rPr>
                <w:b w:val="0"/>
                <w:sz w:val="16"/>
              </w:rPr>
              <w:t>-</w:t>
            </w:r>
            <w:r w:rsidR="00782C5D">
              <w:rPr>
                <w:rFonts w:hint="eastAsia"/>
                <w:b w:val="0"/>
                <w:sz w:val="16"/>
                <w:lang w:eastAsia="ja-JP"/>
              </w:rPr>
              <w:t>03</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8D16E7" w:rsidP="00CA416F">
            <w:pPr>
              <w:pStyle w:val="T2"/>
              <w:spacing w:after="0"/>
              <w:ind w:left="0" w:right="0"/>
              <w:rPr>
                <w:b w:val="0"/>
                <w:sz w:val="12"/>
              </w:rPr>
            </w:pPr>
            <w:hyperlink r:id="rId7"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962525">
      <w:pPr>
        <w:pStyle w:val="T1"/>
        <w:spacing w:after="120"/>
        <w:rPr>
          <w:sz w:val="20"/>
        </w:rPr>
      </w:pPr>
      <w:bookmarkStart w:id="0" w:name="_GoBack"/>
      <w:bookmarkEnd w:id="0"/>
      <w:r>
        <w:rPr>
          <w:noProof/>
          <w:sz w:val="22"/>
          <w:lang w:val="en-US" w:eastAsia="ja-JP"/>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3810" t="190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062" w:rsidRDefault="004A7062">
                            <w:pPr>
                              <w:pStyle w:val="T1"/>
                              <w:spacing w:after="120"/>
                            </w:pPr>
                            <w:r>
                              <w:t>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4A7062" w:rsidRDefault="004A7062">
                      <w:pPr>
                        <w:pStyle w:val="T1"/>
                        <w:spacing w:after="120"/>
                      </w:pPr>
                      <w:r>
                        <w:t>Abstract</w:t>
                      </w:r>
                    </w:p>
                  </w:txbxContent>
                </v:textbox>
              </v:shape>
            </w:pict>
          </mc:Fallback>
        </mc:AlternateContent>
      </w:r>
    </w:p>
    <w:p w:rsidR="00D57F65" w:rsidRPr="00D57F65" w:rsidRDefault="00962525" w:rsidP="009B6794">
      <w:pPr>
        <w:rPr>
          <w:sz w:val="20"/>
        </w:rPr>
      </w:pPr>
      <w:r>
        <w:rPr>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3453765</wp:posOffset>
                </wp:positionV>
                <wp:extent cx="6057900" cy="2801620"/>
                <wp:effectExtent l="13335" t="14605" r="1524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iLQIAAFkEAAAOAAAAZHJzL2Uyb0RvYy54bWysVFFv0zAQfkfiP1h+p0mrtuuiptPoKEIa&#10;A2njBziOk1jYPmO7Tcqv5+x0XTUQD4g8WLbv/N3d991lfTNoRQ7CeQmmpNNJTokwHGpp2pJ+e9q9&#10;W1HiAzM1U2BESY/C05vN2zfr3hZiBh2oWjiCIMYXvS1pF4ItsszzTmjmJ2CFQWMDTrOAR9dmtWM9&#10;omuVzfJ8mfXgauuAC+/x9m400k3CbxrBw5em8SIQVVLMLaTVpbWKa7ZZs6J1zHaSn9Jg/5CFZtJg&#10;0DPUHQuM7J38DUpL7sBDEyYcdAZNI7lINWA10/xVNY8dsyLVguR4e6bJ/z9Y/nD46oisSzqjxDCN&#10;Ej2JIZD3MJB5ZKe3vkCnR4tuYcBrVDlV6u098O+eGNh2zLTi1jnoO8FqzG4aX2YXT0ccH0Gq/jPU&#10;GIbtAySgoXE6UodkEERHlY5nZWIqHC+X+eLqOkcTR9tslU+Xs6Rdxorn59b58FGAJnFTUofSJ3h2&#10;uPchpsOKZ5cYzYOS9U4qlQ6urbbKkQPDNtmlL1Xwyk0Z0mP4xRwz+TtGjt9u9ycMLQM2vJK6pKvo&#10;dWrBSNwHU6d2DEyqcY85K3NiMpI30hiGakiSJZojyxXUR6TWwdjfOI+46cD9pKTH3i6p/7FnTlCi&#10;PhmU53o6n8dhSIf54gq5JO7SUl1amOEIVdJAybjdhnGA9tbJtsNIY0MYuEVJG5nIfsnqlD72b9Lg&#10;NGtxQC7Pyevlj7D5BQAA//8DAFBLAwQUAAYACAAAACEA2khxFd8AAAAKAQAADwAAAGRycy9kb3du&#10;cmV2LnhtbEyPwU6DQBCG7ya+w2ZMvLULCg0gS6MmNak3Wy/etuwIKDtL2G1Bn77jqd7+yXz555ty&#10;PdtenHD0nSMF8TICgVQ701Gj4H2/WWQgfNBkdO8IFfygh3V1fVXqwriJ3vC0C43gEvKFVtCGMBRS&#10;+rpFq/3SDUi8+3Sj1YHHsZFm1BOX217eRdFKWt0RX2j1gM8t1t+7o1WA2dM05lH6Gm9WRn5st18v&#10;tP9V6vZmfnwAEXAOFxj+9FkdKnY6uCMZL3oFizxnUkGa3HNgIE+SGMSBQ5bGIKtS/n+hOgMAAP//&#10;AwBQSwECLQAUAAYACAAAACEAtoM4kv4AAADhAQAAEwAAAAAAAAAAAAAAAAAAAAAAW0NvbnRlbnRf&#10;VHlwZXNdLnhtbFBLAQItABQABgAIAAAAIQA4/SH/1gAAAJQBAAALAAAAAAAAAAAAAAAAAC8BAABf&#10;cmVscy8ucmVsc1BLAQItABQABgAIAAAAIQDE2E+iLQIAAFkEAAAOAAAAAAAAAAAAAAAAAC4CAABk&#10;cnMvZTJvRG9jLnhtbFBLAQItABQABgAIAAAAIQDaSHEV3wAAAAoBAAAPAAAAAAAAAAAAAAAAAIcE&#10;AABkcnMvZG93bnJldi54bWxQSwUGAAAAAAQABADzAAAAkwUAAAAA&#10;" o:allowincell="f" strokecolor="blue" strokeweight="2pt">
                <v:textbox>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11"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AD3A3F" w:rsidRPr="00D57F65">
        <w:rPr>
          <w:sz w:val="20"/>
        </w:rPr>
        <w:br w:type="page"/>
      </w:r>
    </w:p>
    <w:p w:rsidR="009B6794" w:rsidRPr="00BF2EEA" w:rsidRDefault="009B6794" w:rsidP="009B6794">
      <w:pPr>
        <w:rPr>
          <w:sz w:val="20"/>
          <w:lang w:val="en-US" w:eastAsia="ja-JP"/>
        </w:rPr>
      </w:pPr>
    </w:p>
    <w:tbl>
      <w:tblPr>
        <w:tblW w:w="11040" w:type="dxa"/>
        <w:tblInd w:w="99" w:type="dxa"/>
        <w:tblCellMar>
          <w:left w:w="99" w:type="dxa"/>
          <w:right w:w="99" w:type="dxa"/>
        </w:tblCellMar>
        <w:tblLook w:val="04A0" w:firstRow="1" w:lastRow="0" w:firstColumn="1" w:lastColumn="0" w:noHBand="0" w:noVBand="1"/>
      </w:tblPr>
      <w:tblGrid>
        <w:gridCol w:w="537"/>
        <w:gridCol w:w="599"/>
        <w:gridCol w:w="4952"/>
        <w:gridCol w:w="4952"/>
      </w:tblGrid>
      <w:tr w:rsidR="008E6291" w:rsidRPr="008E6291" w:rsidTr="008E6291">
        <w:trPr>
          <w:trHeight w:val="3120"/>
        </w:trPr>
        <w:tc>
          <w:tcPr>
            <w:tcW w:w="537" w:type="dxa"/>
            <w:tcBorders>
              <w:top w:val="nil"/>
              <w:left w:val="nil"/>
              <w:bottom w:val="nil"/>
              <w:right w:val="nil"/>
            </w:tcBorders>
            <w:shd w:val="clear" w:color="auto" w:fill="auto"/>
            <w:noWrap/>
            <w:hideMark/>
          </w:tcPr>
          <w:p w:rsidR="008E6291" w:rsidRPr="008E6291" w:rsidRDefault="008E6291" w:rsidP="008E6291">
            <w:pPr>
              <w:jc w:val="center"/>
              <w:rPr>
                <w:rFonts w:ascii="ＭＳ Ｐゴシック" w:eastAsia="ＭＳ Ｐゴシック" w:hAnsi="ＭＳ Ｐゴシック" w:cs="ＭＳ Ｐゴシック"/>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5</w:t>
            </w:r>
          </w:p>
        </w:tc>
        <w:tc>
          <w:tcPr>
            <w:tcW w:w="599" w:type="dxa"/>
            <w:tcBorders>
              <w:top w:val="nil"/>
              <w:left w:val="nil"/>
              <w:bottom w:val="nil"/>
              <w:right w:val="nil"/>
            </w:tcBorders>
            <w:shd w:val="clear" w:color="auto" w:fill="auto"/>
            <w:hideMark/>
          </w:tcPr>
          <w:p w:rsidR="008E6291" w:rsidRPr="008E6291" w:rsidRDefault="008E6291" w:rsidP="008E6291">
            <w:pPr>
              <w:jc w:val="center"/>
              <w:rPr>
                <w:rFonts w:ascii="ＭＳ Ｐゴシック" w:eastAsia="ＭＳ Ｐゴシック" w:hAnsi="ＭＳ Ｐゴシック" w:cs="ＭＳ Ｐゴシック" w:hint="eastAsia"/>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TR</w:t>
            </w:r>
          </w:p>
        </w:tc>
        <w:tc>
          <w:tcPr>
            <w:tcW w:w="4952" w:type="dxa"/>
            <w:tcBorders>
              <w:top w:val="nil"/>
              <w:left w:val="nil"/>
              <w:bottom w:val="nil"/>
              <w:right w:val="nil"/>
            </w:tcBorders>
            <w:shd w:val="clear" w:color="auto" w:fill="auto"/>
            <w:vAlign w:val="center"/>
            <w:hideMark/>
          </w:tcPr>
          <w:p w:rsidR="008E6291" w:rsidRPr="008E6291" w:rsidRDefault="008E6291" w:rsidP="008E6291">
            <w:pPr>
              <w:jc w:val="both"/>
              <w:rPr>
                <w:rFonts w:ascii="ＭＳ Ｐゴシック" w:eastAsia="ＭＳ Ｐゴシック" w:hAnsi="ＭＳ Ｐゴシック" w:cs="ＭＳ Ｐゴシック" w:hint="eastAsia"/>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In the legacy/base standard, the BS ID and other parameters in the CBP MAC PDU, are carried in the SCH data that is copied into the CBP MAC PDU header that is defined in Table 8 of the base standard.  In the current draft, the A-BS ID comes from the FCH PHY-OM2, while most of the other parameters come from the ExtFCH.  The “SCH data” field of Table 8 only accommodates the legacy structure of the coexistence parameters, and doesn’t accommodate how this data is spread over the FCH PHY-OM2 and/or ExtFCH.  No specific resolution is provided in this section.</w:t>
            </w:r>
          </w:p>
        </w:tc>
        <w:tc>
          <w:tcPr>
            <w:tcW w:w="4952" w:type="dxa"/>
            <w:tcBorders>
              <w:top w:val="nil"/>
              <w:left w:val="nil"/>
              <w:bottom w:val="nil"/>
              <w:right w:val="nil"/>
            </w:tcBorders>
            <w:shd w:val="clear" w:color="auto" w:fill="auto"/>
            <w:vAlign w:val="center"/>
            <w:hideMark/>
          </w:tcPr>
          <w:p w:rsidR="008E6291" w:rsidRPr="008E6291" w:rsidRDefault="008E6291" w:rsidP="008E6291">
            <w:pPr>
              <w:jc w:val="both"/>
              <w:rPr>
                <w:rFonts w:ascii="ＭＳ Ｐゴシック" w:eastAsia="ＭＳ Ｐゴシック" w:hAnsi="ＭＳ Ｐゴシック" w:cs="ＭＳ Ｐゴシック" w:hint="eastAsia"/>
                <w:color w:val="000000"/>
                <w:szCs w:val="22"/>
                <w:lang w:val="en-US" w:eastAsia="ja-JP"/>
              </w:rPr>
            </w:pPr>
            <w:r w:rsidRPr="008E6291">
              <w:rPr>
                <w:rFonts w:ascii="ＭＳ Ｐゴシック" w:eastAsia="ＭＳ Ｐゴシック" w:hAnsi="ＭＳ Ｐゴシック" w:cs="ＭＳ Ｐゴシック" w:hint="eastAsia"/>
                <w:color w:val="000000"/>
                <w:szCs w:val="22"/>
                <w:lang w:val="en-US" w:eastAsia="ja-JP"/>
              </w:rPr>
              <w:t>Modify “SCH Data” field of Table 8 to accommodate the relevant data as structured in SCH, FCH PHY-OM2, and/or FCH PHY-OM2+ExtFCH. --or-- Add a second/new CBP MAC PDU format, that is exclusive for use by A-BS, A-CPE, and newer S-CPEs that reflects the relevant data that is spread over FCH PHY-OM2 and ExtFCH. Refer to section 6 of 22-14/128r0</w:t>
            </w:r>
          </w:p>
        </w:tc>
      </w:tr>
    </w:tbl>
    <w:p w:rsidR="00BF2EEA" w:rsidRDefault="00BF2EEA" w:rsidP="009B6794">
      <w:pPr>
        <w:rPr>
          <w:sz w:val="20"/>
          <w:lang w:eastAsia="ja-JP"/>
        </w:rPr>
      </w:pPr>
    </w:p>
    <w:p w:rsidR="008E6291" w:rsidRDefault="008E6291" w:rsidP="009B6794">
      <w:pPr>
        <w:rPr>
          <w:sz w:val="20"/>
          <w:lang w:eastAsia="ja-JP"/>
        </w:rPr>
      </w:pPr>
    </w:p>
    <w:p w:rsidR="008E6291" w:rsidRDefault="008E6291" w:rsidP="008E6291">
      <w:pPr>
        <w:pStyle w:val="aa"/>
        <w:widowControl w:val="0"/>
        <w:numPr>
          <w:ilvl w:val="0"/>
          <w:numId w:val="19"/>
        </w:numPr>
        <w:autoSpaceDE w:val="0"/>
        <w:autoSpaceDN w:val="0"/>
        <w:adjustRightInd w:val="0"/>
        <w:rPr>
          <w:lang w:eastAsia="ja-JP"/>
        </w:rPr>
      </w:pPr>
      <w:r>
        <w:rPr>
          <w:rFonts w:hint="eastAsia"/>
          <w:lang w:eastAsia="ja-JP"/>
        </w:rPr>
        <w:t>Proposed Resolution</w:t>
      </w:r>
    </w:p>
    <w:p w:rsidR="008E6291" w:rsidRDefault="008E6291" w:rsidP="009B6794">
      <w:pPr>
        <w:rPr>
          <w:sz w:val="20"/>
          <w:lang w:eastAsia="ja-JP"/>
        </w:rPr>
      </w:pPr>
    </w:p>
    <w:p w:rsidR="008E6291" w:rsidRDefault="008E6291" w:rsidP="009B6794">
      <w:pPr>
        <w:rPr>
          <w:sz w:val="20"/>
          <w:lang w:eastAsia="ja-JP"/>
        </w:rPr>
      </w:pPr>
      <w:r>
        <w:rPr>
          <w:rFonts w:hint="eastAsia"/>
          <w:sz w:val="20"/>
          <w:lang w:eastAsia="ja-JP"/>
        </w:rPr>
        <w:t>Table 8 in 802.22 Standard is shown in below.</w:t>
      </w:r>
    </w:p>
    <w:p w:rsidR="008E6291" w:rsidRDefault="008E6291" w:rsidP="009B6794">
      <w:pPr>
        <w:rPr>
          <w:sz w:val="20"/>
          <w:lang w:eastAsia="ja-JP"/>
        </w:rPr>
      </w:pPr>
      <w:r>
        <w:rPr>
          <w:noProof/>
          <w:lang w:val="en-US" w:eastAsia="ja-JP"/>
        </w:rPr>
        <w:drawing>
          <wp:inline distT="0" distB="0" distL="0" distR="0" wp14:anchorId="188BF699" wp14:editId="530BEFB9">
            <wp:extent cx="6400800" cy="4295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4295775"/>
                    </a:xfrm>
                    <a:prstGeom prst="rect">
                      <a:avLst/>
                    </a:prstGeom>
                  </pic:spPr>
                </pic:pic>
              </a:graphicData>
            </a:graphic>
          </wp:inline>
        </w:drawing>
      </w:r>
    </w:p>
    <w:p w:rsidR="008E6291" w:rsidRDefault="008E6291" w:rsidP="009B6794">
      <w:pPr>
        <w:rPr>
          <w:sz w:val="20"/>
          <w:lang w:eastAsia="ja-JP"/>
        </w:rPr>
      </w:pPr>
    </w:p>
    <w:p w:rsidR="008E6291" w:rsidRPr="008E6291" w:rsidRDefault="008E6291" w:rsidP="008E6291">
      <w:pPr>
        <w:pStyle w:val="aa"/>
        <w:numPr>
          <w:ilvl w:val="0"/>
          <w:numId w:val="27"/>
        </w:numPr>
        <w:rPr>
          <w:sz w:val="20"/>
          <w:lang w:eastAsia="ja-JP"/>
        </w:rPr>
      </w:pPr>
      <w:r w:rsidRPr="008E6291">
        <w:rPr>
          <w:rFonts w:hint="eastAsia"/>
          <w:sz w:val="20"/>
          <w:lang w:eastAsia="ja-JP"/>
        </w:rPr>
        <w:t xml:space="preserve">Revise the title of Table 8 from </w:t>
      </w:r>
      <w:r w:rsidRPr="008E6291">
        <w:rPr>
          <w:sz w:val="20"/>
          <w:lang w:eastAsia="ja-JP"/>
        </w:rPr>
        <w:t>“CBP MAC PDU format” to “</w:t>
      </w:r>
      <w:r w:rsidRPr="008E6291">
        <w:rPr>
          <w:color w:val="FF0000"/>
          <w:sz w:val="20"/>
          <w:u w:val="single"/>
          <w:lang w:eastAsia="ja-JP"/>
        </w:rPr>
        <w:t>CBP MAC PDU format (PHY OM1)</w:t>
      </w:r>
      <w:r w:rsidRPr="008E6291">
        <w:rPr>
          <w:sz w:val="20"/>
          <w:u w:val="single"/>
          <w:lang w:eastAsia="ja-JP"/>
        </w:rPr>
        <w:t>”</w:t>
      </w:r>
    </w:p>
    <w:p w:rsidR="008E6291" w:rsidRDefault="008E6291" w:rsidP="009B6794">
      <w:pPr>
        <w:rPr>
          <w:rFonts w:hint="eastAsia"/>
          <w:sz w:val="20"/>
          <w:lang w:eastAsia="ja-JP"/>
        </w:rPr>
      </w:pPr>
    </w:p>
    <w:p w:rsidR="008E6291" w:rsidRDefault="008E6291" w:rsidP="008E6291">
      <w:pPr>
        <w:pStyle w:val="aa"/>
        <w:numPr>
          <w:ilvl w:val="0"/>
          <w:numId w:val="27"/>
        </w:numPr>
        <w:rPr>
          <w:sz w:val="20"/>
          <w:lang w:eastAsia="ja-JP"/>
        </w:rPr>
      </w:pPr>
      <w:r w:rsidRPr="008E6291">
        <w:rPr>
          <w:sz w:val="20"/>
          <w:lang w:eastAsia="ja-JP"/>
        </w:rPr>
        <w:t>Add</w:t>
      </w:r>
      <w:r w:rsidRPr="008E6291">
        <w:rPr>
          <w:rFonts w:hint="eastAsia"/>
          <w:sz w:val="20"/>
          <w:lang w:eastAsia="ja-JP"/>
        </w:rPr>
        <w:t xml:space="preserve"> Table 8</w:t>
      </w:r>
      <w:r w:rsidRPr="008E6291">
        <w:rPr>
          <w:sz w:val="20"/>
          <w:lang w:eastAsia="ja-JP"/>
        </w:rPr>
        <w:t>a</w:t>
      </w:r>
      <w:r w:rsidRPr="008E6291">
        <w:rPr>
          <w:rFonts w:hint="eastAsia"/>
          <w:sz w:val="20"/>
          <w:lang w:eastAsia="ja-JP"/>
        </w:rPr>
        <w:t xml:space="preserve"> </w:t>
      </w:r>
      <w:r w:rsidR="00962525">
        <w:rPr>
          <w:sz w:val="20"/>
          <w:lang w:eastAsia="ja-JP"/>
        </w:rPr>
        <w:t xml:space="preserve">for “CBP_MAC_PDU format (PHY OM2)” </w:t>
      </w:r>
      <w:r w:rsidRPr="008E6291">
        <w:rPr>
          <w:rFonts w:hint="eastAsia"/>
          <w:sz w:val="20"/>
          <w:lang w:eastAsia="ja-JP"/>
        </w:rPr>
        <w:t>as follows</w:t>
      </w:r>
    </w:p>
    <w:p w:rsidR="008E6291" w:rsidRPr="008E6291" w:rsidRDefault="008E6291" w:rsidP="008E6291">
      <w:pPr>
        <w:pStyle w:val="aa"/>
        <w:rPr>
          <w:rFonts w:hint="eastAsia"/>
          <w:sz w:val="20"/>
          <w:lang w:eastAsia="ja-JP"/>
        </w:rPr>
      </w:pPr>
    </w:p>
    <w:p w:rsidR="008E6291" w:rsidRPr="008E6291" w:rsidRDefault="008E6291" w:rsidP="008E6291">
      <w:pPr>
        <w:pStyle w:val="aa"/>
        <w:ind w:left="420"/>
        <w:jc w:val="center"/>
        <w:rPr>
          <w:rFonts w:hint="eastAsia"/>
          <w:sz w:val="20"/>
          <w:lang w:eastAsia="ja-JP"/>
        </w:rPr>
      </w:pPr>
      <w:r>
        <w:rPr>
          <w:rFonts w:hint="eastAsia"/>
          <w:sz w:val="20"/>
          <w:lang w:eastAsia="ja-JP"/>
        </w:rPr>
        <w:t xml:space="preserve">Table 8a </w:t>
      </w:r>
      <w:r>
        <w:rPr>
          <w:sz w:val="20"/>
          <w:lang w:eastAsia="ja-JP"/>
        </w:rPr>
        <w:t>–</w:t>
      </w:r>
      <w:r>
        <w:rPr>
          <w:rFonts w:hint="eastAsia"/>
          <w:sz w:val="20"/>
          <w:lang w:eastAsia="ja-JP"/>
        </w:rPr>
        <w:t xml:space="preserve"> CBP MAC PDU format (PHY OM2)</w:t>
      </w:r>
    </w:p>
    <w:tbl>
      <w:tblPr>
        <w:tblStyle w:val="ab"/>
        <w:tblW w:w="0" w:type="auto"/>
        <w:jc w:val="center"/>
        <w:tblLook w:val="04A0" w:firstRow="1" w:lastRow="0" w:firstColumn="1" w:lastColumn="0" w:noHBand="0" w:noVBand="1"/>
      </w:tblPr>
      <w:tblGrid>
        <w:gridCol w:w="2958"/>
        <w:gridCol w:w="1134"/>
        <w:gridCol w:w="5381"/>
      </w:tblGrid>
      <w:tr w:rsidR="008E6291" w:rsidTr="008E6291">
        <w:trPr>
          <w:jc w:val="center"/>
        </w:trPr>
        <w:tc>
          <w:tcPr>
            <w:tcW w:w="2958" w:type="dxa"/>
          </w:tcPr>
          <w:p w:rsidR="008E6291" w:rsidRDefault="008E6291" w:rsidP="008E6291">
            <w:pPr>
              <w:jc w:val="center"/>
              <w:rPr>
                <w:rFonts w:hint="eastAsia"/>
                <w:sz w:val="20"/>
                <w:lang w:eastAsia="ja-JP"/>
              </w:rPr>
            </w:pPr>
            <w:r>
              <w:rPr>
                <w:rFonts w:hint="eastAsia"/>
                <w:sz w:val="20"/>
                <w:lang w:eastAsia="ja-JP"/>
              </w:rPr>
              <w:t>Syntax</w:t>
            </w:r>
          </w:p>
        </w:tc>
        <w:tc>
          <w:tcPr>
            <w:tcW w:w="1134" w:type="dxa"/>
          </w:tcPr>
          <w:p w:rsidR="008E6291" w:rsidRDefault="008E6291" w:rsidP="008E6291">
            <w:pPr>
              <w:jc w:val="center"/>
              <w:rPr>
                <w:rFonts w:hint="eastAsia"/>
                <w:sz w:val="20"/>
                <w:lang w:eastAsia="ja-JP"/>
              </w:rPr>
            </w:pPr>
            <w:r>
              <w:rPr>
                <w:rFonts w:hint="eastAsia"/>
                <w:sz w:val="20"/>
                <w:lang w:eastAsia="ja-JP"/>
              </w:rPr>
              <w:t>Size</w:t>
            </w:r>
          </w:p>
        </w:tc>
        <w:tc>
          <w:tcPr>
            <w:tcW w:w="5381" w:type="dxa"/>
          </w:tcPr>
          <w:p w:rsidR="008E6291" w:rsidRDefault="008E6291" w:rsidP="008E6291">
            <w:pPr>
              <w:jc w:val="center"/>
              <w:rPr>
                <w:rFonts w:hint="eastAsia"/>
                <w:sz w:val="20"/>
                <w:lang w:eastAsia="ja-JP"/>
              </w:rPr>
            </w:pPr>
            <w:r>
              <w:rPr>
                <w:rFonts w:hint="eastAsia"/>
                <w:sz w:val="20"/>
                <w:lang w:eastAsia="ja-JP"/>
              </w:rPr>
              <w:t>Notes</w:t>
            </w: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t>CBP_MAC_PDU_Format() {</w:t>
            </w:r>
          </w:p>
        </w:tc>
        <w:tc>
          <w:tcPr>
            <w:tcW w:w="1134" w:type="dxa"/>
          </w:tcPr>
          <w:p w:rsidR="008E6291" w:rsidRDefault="008E6291" w:rsidP="008E6291">
            <w:pPr>
              <w:jc w:val="center"/>
              <w:rPr>
                <w:rFonts w:hint="eastAsia"/>
                <w:sz w:val="20"/>
                <w:lang w:eastAsia="ja-JP"/>
              </w:rPr>
            </w:pPr>
          </w:p>
        </w:tc>
        <w:tc>
          <w:tcPr>
            <w:tcW w:w="5381" w:type="dxa"/>
          </w:tcPr>
          <w:p w:rsidR="008E6291" w:rsidRDefault="008E6291" w:rsidP="009B6794">
            <w:pPr>
              <w:rPr>
                <w:rFonts w:hint="eastAsia"/>
                <w:sz w:val="20"/>
                <w:lang w:eastAsia="ja-JP"/>
              </w:rPr>
            </w:pP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lastRenderedPageBreak/>
              <w:t>Length</w:t>
            </w:r>
          </w:p>
        </w:tc>
        <w:tc>
          <w:tcPr>
            <w:tcW w:w="1134" w:type="dxa"/>
          </w:tcPr>
          <w:p w:rsidR="008E6291" w:rsidRDefault="008E6291" w:rsidP="008E6291">
            <w:pPr>
              <w:jc w:val="center"/>
              <w:rPr>
                <w:rFonts w:hint="eastAsia"/>
                <w:sz w:val="20"/>
                <w:lang w:eastAsia="ja-JP"/>
              </w:rPr>
            </w:pPr>
            <w:r>
              <w:rPr>
                <w:rFonts w:hint="eastAsia"/>
                <w:sz w:val="20"/>
                <w:lang w:eastAsia="ja-JP"/>
              </w:rPr>
              <w:t>8 bits</w:t>
            </w:r>
          </w:p>
        </w:tc>
        <w:tc>
          <w:tcPr>
            <w:tcW w:w="5381" w:type="dxa"/>
          </w:tcPr>
          <w:p w:rsidR="008E6291" w:rsidRDefault="00F43336" w:rsidP="009B6794">
            <w:pPr>
              <w:rPr>
                <w:rFonts w:hint="eastAsia"/>
                <w:sz w:val="20"/>
                <w:lang w:eastAsia="ja-JP"/>
              </w:rPr>
            </w:pPr>
            <w:r>
              <w:rPr>
                <w:rFonts w:hint="eastAsia"/>
                <w:sz w:val="20"/>
                <w:lang w:eastAsia="ja-JP"/>
              </w:rPr>
              <w:t>The length of bytes of the CBP MAC PDU including the MAC header and th</w:t>
            </w:r>
            <w:r>
              <w:rPr>
                <w:sz w:val="20"/>
                <w:lang w:eastAsia="ja-JP"/>
              </w:rPr>
              <w:t>e CRC.</w:t>
            </w: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t>FCH and Extended FCH Index</w:t>
            </w:r>
          </w:p>
        </w:tc>
        <w:tc>
          <w:tcPr>
            <w:tcW w:w="1134" w:type="dxa"/>
          </w:tcPr>
          <w:p w:rsidR="008E6291" w:rsidRPr="008E6291" w:rsidRDefault="008E6291" w:rsidP="008E6291">
            <w:pPr>
              <w:jc w:val="center"/>
              <w:rPr>
                <w:rFonts w:hint="eastAsia"/>
                <w:sz w:val="20"/>
                <w:lang w:eastAsia="ja-JP"/>
              </w:rPr>
            </w:pPr>
            <w:r>
              <w:rPr>
                <w:sz w:val="20"/>
                <w:lang w:eastAsia="ja-JP"/>
              </w:rPr>
              <w:t>4 bits</w:t>
            </w:r>
          </w:p>
        </w:tc>
        <w:tc>
          <w:tcPr>
            <w:tcW w:w="5381" w:type="dxa"/>
          </w:tcPr>
          <w:p w:rsidR="008E6291" w:rsidRDefault="00F43336" w:rsidP="009B6794">
            <w:pPr>
              <w:rPr>
                <w:sz w:val="20"/>
                <w:lang w:eastAsia="ja-JP"/>
              </w:rPr>
            </w:pPr>
            <w:r>
              <w:rPr>
                <w:rFonts w:hint="eastAsia"/>
                <w:sz w:val="20"/>
                <w:lang w:eastAsia="ja-JP"/>
              </w:rPr>
              <w:t xml:space="preserve">FCH and Extended FCH Data included in the CBP_MAC_PDU contains the sum of the following elements (see Table </w:t>
            </w:r>
            <w:r>
              <w:rPr>
                <w:sz w:val="20"/>
                <w:lang w:eastAsia="ja-JP"/>
              </w:rPr>
              <w:t>A</w:t>
            </w:r>
            <w:r>
              <w:rPr>
                <w:rFonts w:hint="eastAsia"/>
                <w:sz w:val="20"/>
                <w:lang w:eastAsia="ja-JP"/>
              </w:rPr>
              <w:t>1</w:t>
            </w:r>
            <w:r>
              <w:rPr>
                <w:sz w:val="20"/>
                <w:lang w:eastAsia="ja-JP"/>
              </w:rPr>
              <w:t xml:space="preserve"> and Table B1</w:t>
            </w:r>
            <w:r>
              <w:rPr>
                <w:rFonts w:hint="eastAsia"/>
                <w:sz w:val="20"/>
                <w:lang w:eastAsia="ja-JP"/>
              </w:rPr>
              <w:t>)</w:t>
            </w:r>
          </w:p>
          <w:p w:rsidR="00F43336" w:rsidRDefault="00F43336" w:rsidP="009B6794">
            <w:pPr>
              <w:rPr>
                <w:sz w:val="20"/>
                <w:lang w:eastAsia="ja-JP"/>
              </w:rPr>
            </w:pPr>
            <w:r>
              <w:rPr>
                <w:sz w:val="20"/>
                <w:lang w:eastAsia="ja-JP"/>
              </w:rPr>
              <w:t xml:space="preserve">0000: 8 first parameters of the FCH for PHY OM2 (Table A1) = 11 bytes </w:t>
            </w:r>
          </w:p>
          <w:p w:rsidR="00F43336" w:rsidRDefault="00F43336" w:rsidP="009B6794">
            <w:pPr>
              <w:rPr>
                <w:sz w:val="20"/>
                <w:lang w:eastAsia="ja-JP"/>
              </w:rPr>
            </w:pPr>
            <w:r>
              <w:rPr>
                <w:sz w:val="20"/>
                <w:lang w:eastAsia="ja-JP"/>
              </w:rPr>
              <w:t>1000: 10 parameters related to intra-frame QP of the Extended FCH (Table B1) = 12 bytes</w:t>
            </w:r>
          </w:p>
          <w:p w:rsidR="00F43336" w:rsidRDefault="00F43336" w:rsidP="009B6794">
            <w:pPr>
              <w:rPr>
                <w:sz w:val="20"/>
                <w:lang w:eastAsia="ja-JP"/>
              </w:rPr>
            </w:pPr>
            <w:r>
              <w:rPr>
                <w:sz w:val="20"/>
                <w:lang w:eastAsia="ja-JP"/>
              </w:rPr>
              <w:t>0100: 2 parameters on related to inter-frame QP of the Extended FCH (Table B1) = 2 bytes</w:t>
            </w:r>
          </w:p>
          <w:p w:rsidR="00F43336" w:rsidRDefault="00F43336" w:rsidP="009B6794">
            <w:pPr>
              <w:rPr>
                <w:sz w:val="20"/>
                <w:lang w:eastAsia="ja-JP"/>
              </w:rPr>
            </w:pPr>
            <w:r>
              <w:rPr>
                <w:sz w:val="20"/>
                <w:lang w:eastAsia="ja-JP"/>
              </w:rPr>
              <w:t>0010: 3 parameters on SCW scheduling of the Extended FCH (Table B1) = 6 bytes</w:t>
            </w:r>
          </w:p>
          <w:p w:rsidR="00F43336" w:rsidRDefault="00F43336" w:rsidP="009B6794">
            <w:pPr>
              <w:rPr>
                <w:sz w:val="20"/>
                <w:lang w:eastAsia="ja-JP"/>
              </w:rPr>
            </w:pPr>
            <w:r>
              <w:rPr>
                <w:sz w:val="20"/>
                <w:lang w:eastAsia="ja-JP"/>
              </w:rPr>
              <w:t>0001: 3 parameters on DS/US Split of the Extended FCH (Table B1) = 3 bytes</w:t>
            </w:r>
          </w:p>
          <w:p w:rsidR="00F43336" w:rsidRDefault="00F43336" w:rsidP="009B6794">
            <w:pPr>
              <w:rPr>
                <w:rFonts w:hint="eastAsia"/>
                <w:sz w:val="20"/>
                <w:lang w:eastAsia="ja-JP"/>
              </w:rPr>
            </w:pPr>
            <w:r>
              <w:rPr>
                <w:sz w:val="20"/>
                <w:lang w:eastAsia="ja-JP"/>
              </w:rPr>
              <w:t>Note that this last 3 parameters segment can only be included in CBP burst transmitted by A-BSs</w:t>
            </w: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t>FCH and Extended FCH Data</w:t>
            </w:r>
          </w:p>
        </w:tc>
        <w:tc>
          <w:tcPr>
            <w:tcW w:w="1134" w:type="dxa"/>
          </w:tcPr>
          <w:p w:rsidR="008E6291" w:rsidRPr="008E6291" w:rsidRDefault="008E6291" w:rsidP="008E6291">
            <w:pPr>
              <w:jc w:val="center"/>
              <w:rPr>
                <w:rFonts w:hint="eastAsia"/>
                <w:sz w:val="20"/>
                <w:lang w:eastAsia="ja-JP"/>
              </w:rPr>
            </w:pPr>
            <w:r>
              <w:rPr>
                <w:sz w:val="20"/>
                <w:lang w:eastAsia="ja-JP"/>
              </w:rPr>
              <w:t>Variable (interger number of bytes)</w:t>
            </w:r>
          </w:p>
        </w:tc>
        <w:tc>
          <w:tcPr>
            <w:tcW w:w="5381" w:type="dxa"/>
          </w:tcPr>
          <w:p w:rsidR="008E6291" w:rsidRDefault="00F43336" w:rsidP="009B6794">
            <w:pPr>
              <w:rPr>
                <w:rFonts w:hint="eastAsia"/>
                <w:sz w:val="20"/>
                <w:lang w:eastAsia="ja-JP"/>
              </w:rPr>
            </w:pPr>
            <w:r>
              <w:rPr>
                <w:rFonts w:hint="eastAsia"/>
                <w:sz w:val="20"/>
                <w:lang w:eastAsia="ja-JP"/>
              </w:rPr>
              <w:t xml:space="preserve">Data extracted from the FCH and Extended FCH transmitted by A-BS sourcing this CBP. </w:t>
            </w:r>
            <w:r>
              <w:rPr>
                <w:sz w:val="20"/>
                <w:lang w:eastAsia="ja-JP"/>
              </w:rPr>
              <w:t>This data includes the A-BS_ID. Only the useful information contained in the FCH and Extended FCH should be replicated here. This indicates that the FCH and Extended FCH should be built with IEs only present when needed. Table A1 and Table B1 should be modified accordingly.</w:t>
            </w: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t>HCS</w:t>
            </w:r>
          </w:p>
        </w:tc>
        <w:tc>
          <w:tcPr>
            <w:tcW w:w="1134" w:type="dxa"/>
          </w:tcPr>
          <w:p w:rsidR="008E6291" w:rsidRDefault="008E6291" w:rsidP="008E6291">
            <w:pPr>
              <w:jc w:val="center"/>
              <w:rPr>
                <w:rFonts w:hint="eastAsia"/>
                <w:sz w:val="20"/>
                <w:lang w:eastAsia="ja-JP"/>
              </w:rPr>
            </w:pPr>
            <w:r>
              <w:rPr>
                <w:rFonts w:hint="eastAsia"/>
                <w:sz w:val="20"/>
                <w:lang w:eastAsia="ja-JP"/>
              </w:rPr>
              <w:t>8 bits</w:t>
            </w:r>
          </w:p>
        </w:tc>
        <w:tc>
          <w:tcPr>
            <w:tcW w:w="5381" w:type="dxa"/>
          </w:tcPr>
          <w:p w:rsidR="008E6291" w:rsidRDefault="00F43336" w:rsidP="009B6794">
            <w:pPr>
              <w:rPr>
                <w:rFonts w:hint="eastAsia"/>
                <w:sz w:val="20"/>
                <w:lang w:eastAsia="ja-JP"/>
              </w:rPr>
            </w:pPr>
            <w:r>
              <w:rPr>
                <w:rFonts w:hint="eastAsia"/>
                <w:sz w:val="20"/>
                <w:lang w:eastAsia="ja-JP"/>
              </w:rPr>
              <w:t>Header Check Sequence.</w:t>
            </w: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t>IEs</w:t>
            </w:r>
          </w:p>
        </w:tc>
        <w:tc>
          <w:tcPr>
            <w:tcW w:w="1134" w:type="dxa"/>
          </w:tcPr>
          <w:p w:rsidR="008E6291" w:rsidRDefault="008E6291" w:rsidP="008E6291">
            <w:pPr>
              <w:jc w:val="center"/>
              <w:rPr>
                <w:rFonts w:hint="eastAsia"/>
                <w:sz w:val="20"/>
                <w:lang w:eastAsia="ja-JP"/>
              </w:rPr>
            </w:pPr>
            <w:r>
              <w:rPr>
                <w:rFonts w:hint="eastAsia"/>
                <w:sz w:val="20"/>
                <w:lang w:eastAsia="ja-JP"/>
              </w:rPr>
              <w:t>Variable (interger number of bytes)</w:t>
            </w:r>
          </w:p>
        </w:tc>
        <w:tc>
          <w:tcPr>
            <w:tcW w:w="5381" w:type="dxa"/>
          </w:tcPr>
          <w:p w:rsidR="008E6291" w:rsidRPr="008E6291" w:rsidRDefault="008E6291" w:rsidP="009B6794">
            <w:pPr>
              <w:rPr>
                <w:rFonts w:hint="eastAsia"/>
                <w:sz w:val="20"/>
                <w:lang w:eastAsia="ja-JP"/>
              </w:rPr>
            </w:pPr>
            <w:r>
              <w:rPr>
                <w:sz w:val="20"/>
                <w:lang w:eastAsia="ja-JP"/>
              </w:rPr>
              <w:t>CBP information elements (see 7.6.1.3.1)</w:t>
            </w:r>
          </w:p>
        </w:tc>
      </w:tr>
      <w:tr w:rsidR="008E6291" w:rsidTr="008E6291">
        <w:trPr>
          <w:jc w:val="center"/>
        </w:trPr>
        <w:tc>
          <w:tcPr>
            <w:tcW w:w="2958" w:type="dxa"/>
          </w:tcPr>
          <w:p w:rsidR="008E6291" w:rsidRDefault="008E6291" w:rsidP="009B6794">
            <w:pPr>
              <w:rPr>
                <w:rFonts w:hint="eastAsia"/>
                <w:sz w:val="20"/>
                <w:lang w:eastAsia="ja-JP"/>
              </w:rPr>
            </w:pPr>
            <w:r>
              <w:rPr>
                <w:rFonts w:hint="eastAsia"/>
                <w:sz w:val="20"/>
                <w:lang w:eastAsia="ja-JP"/>
              </w:rPr>
              <w:t>}</w:t>
            </w:r>
          </w:p>
        </w:tc>
        <w:tc>
          <w:tcPr>
            <w:tcW w:w="1134" w:type="dxa"/>
          </w:tcPr>
          <w:p w:rsidR="008E6291" w:rsidRDefault="008E6291" w:rsidP="008E6291">
            <w:pPr>
              <w:jc w:val="center"/>
              <w:rPr>
                <w:rFonts w:hint="eastAsia"/>
                <w:sz w:val="20"/>
                <w:lang w:eastAsia="ja-JP"/>
              </w:rPr>
            </w:pPr>
          </w:p>
        </w:tc>
        <w:tc>
          <w:tcPr>
            <w:tcW w:w="5381" w:type="dxa"/>
          </w:tcPr>
          <w:p w:rsidR="008E6291" w:rsidRDefault="008E6291" w:rsidP="009B6794">
            <w:pPr>
              <w:rPr>
                <w:rFonts w:hint="eastAsia"/>
                <w:sz w:val="20"/>
                <w:lang w:eastAsia="ja-JP"/>
              </w:rPr>
            </w:pPr>
          </w:p>
        </w:tc>
      </w:tr>
    </w:tbl>
    <w:p w:rsidR="008E6291" w:rsidRDefault="008E6291" w:rsidP="009B6794">
      <w:pPr>
        <w:rPr>
          <w:rFonts w:hint="eastAsia"/>
          <w:sz w:val="20"/>
          <w:lang w:eastAsia="ja-JP"/>
        </w:rPr>
      </w:pPr>
    </w:p>
    <w:sectPr w:rsidR="008E6291" w:rsidSect="009B6794">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E7" w:rsidRDefault="008D16E7">
      <w:r>
        <w:separator/>
      </w:r>
    </w:p>
  </w:endnote>
  <w:endnote w:type="continuationSeparator" w:id="0">
    <w:p w:rsidR="008D16E7" w:rsidRDefault="008D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62" w:rsidRDefault="008D16E7">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4A7062">
      <w:t>Submission</w:t>
    </w:r>
    <w:r>
      <w:fldChar w:fldCharType="end"/>
    </w:r>
    <w:r w:rsidR="004A7062">
      <w:tab/>
      <w:t xml:space="preserve">page </w:t>
    </w:r>
    <w:r>
      <w:fldChar w:fldCharType="begin"/>
    </w:r>
    <w:r>
      <w:instrText xml:space="preserve">page </w:instrText>
    </w:r>
    <w:r>
      <w:fldChar w:fldCharType="separate"/>
    </w:r>
    <w:r w:rsidR="00962525">
      <w:rPr>
        <w:noProof/>
      </w:rPr>
      <w:t>2</w:t>
    </w:r>
    <w:r>
      <w:rPr>
        <w:noProof/>
      </w:rPr>
      <w:fldChar w:fldCharType="end"/>
    </w:r>
    <w:r w:rsidR="004A7062">
      <w:tab/>
    </w:r>
    <w:r w:rsidR="00CA416F">
      <w:rPr>
        <w:rFonts w:hint="eastAsia"/>
        <w:lang w:eastAsia="ja-JP"/>
      </w:rPr>
      <w:t>cwpyo, NICT</w:t>
    </w:r>
  </w:p>
  <w:p w:rsidR="004A7062" w:rsidRDefault="004A7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E7" w:rsidRDefault="008D16E7">
      <w:r>
        <w:separator/>
      </w:r>
    </w:p>
  </w:footnote>
  <w:footnote w:type="continuationSeparator" w:id="0">
    <w:p w:rsidR="008D16E7" w:rsidRDefault="008D1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62" w:rsidRDefault="00AA20B6">
    <w:pPr>
      <w:pStyle w:val="a4"/>
      <w:tabs>
        <w:tab w:val="clear" w:pos="6480"/>
        <w:tab w:val="center" w:pos="4680"/>
        <w:tab w:val="right" w:pos="9360"/>
      </w:tabs>
    </w:pPr>
    <w:r>
      <w:fldChar w:fldCharType="begin"/>
    </w:r>
    <w:r w:rsidR="003E5D24">
      <w:instrText xml:space="preserve"> KEYWORDS  \* MERGEFORMAT </w:instrText>
    </w:r>
    <w:r>
      <w:fldChar w:fldCharType="separate"/>
    </w:r>
    <w:r w:rsidR="008E6291">
      <w:rPr>
        <w:lang w:eastAsia="ja-JP"/>
      </w:rPr>
      <w:t>Nov.</w:t>
    </w:r>
    <w:r w:rsidR="004A7062">
      <w:t xml:space="preserve"> 2014</w:t>
    </w:r>
    <w:r>
      <w:fldChar w:fldCharType="end"/>
    </w:r>
    <w:r w:rsidR="004A7062">
      <w:tab/>
    </w:r>
    <w:r w:rsidR="004A7062">
      <w:tab/>
    </w:r>
    <w:r w:rsidR="008D16E7">
      <w:fldChar w:fldCharType="begin"/>
    </w:r>
    <w:r w:rsidR="008D16E7">
      <w:instrText xml:space="preserve"> TITLE  \* MERGEFORMAT </w:instrText>
    </w:r>
    <w:r w:rsidR="008D16E7">
      <w:fldChar w:fldCharType="separate"/>
    </w:r>
    <w:r w:rsidR="00CD05F9">
      <w:t xml:space="preserve">doc.: </w:t>
    </w:r>
    <w:r w:rsidR="00962525">
      <w:rPr>
        <w:rStyle w:val="highlight1"/>
        <w:rFonts w:ascii="Verdana" w:hAnsi="Verdana"/>
        <w:color w:val="000000"/>
      </w:rPr>
      <w:t>22-14-0138-00-000b</w:t>
    </w:r>
    <w:r w:rsidR="005B78EB">
      <w:t xml:space="preserve"> </w:t>
    </w:r>
    <w:r w:rsidR="008D16E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5B870C8"/>
    <w:multiLevelType w:val="multilevel"/>
    <w:tmpl w:val="DF22CE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A92A41"/>
    <w:multiLevelType w:val="hybridMultilevel"/>
    <w:tmpl w:val="C7049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9">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3">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4">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0"/>
  </w:num>
  <w:num w:numId="9">
    <w:abstractNumId w:val="8"/>
  </w:num>
  <w:num w:numId="10">
    <w:abstractNumId w:val="8"/>
  </w:num>
  <w:num w:numId="11">
    <w:abstractNumId w:val="5"/>
  </w:num>
  <w:num w:numId="12">
    <w:abstractNumId w:val="5"/>
  </w:num>
  <w:num w:numId="13">
    <w:abstractNumId w:val="4"/>
  </w:num>
  <w:num w:numId="14">
    <w:abstractNumId w:val="3"/>
  </w:num>
  <w:num w:numId="15">
    <w:abstractNumId w:val="13"/>
  </w:num>
  <w:num w:numId="16">
    <w:abstractNumId w:val="12"/>
  </w:num>
  <w:num w:numId="17">
    <w:abstractNumId w:val="14"/>
  </w:num>
  <w:num w:numId="18">
    <w:abstractNumId w:val="8"/>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9"/>
  </w:num>
  <w:num w:numId="25">
    <w:abstractNumId w:val="11"/>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C2"/>
    <w:rsid w:val="000460D9"/>
    <w:rsid w:val="00063C95"/>
    <w:rsid w:val="0007729F"/>
    <w:rsid w:val="001010DB"/>
    <w:rsid w:val="00111D1E"/>
    <w:rsid w:val="00127B45"/>
    <w:rsid w:val="00144D09"/>
    <w:rsid w:val="001652F0"/>
    <w:rsid w:val="001B77D0"/>
    <w:rsid w:val="001C1FE0"/>
    <w:rsid w:val="001E10FF"/>
    <w:rsid w:val="00260F76"/>
    <w:rsid w:val="00263C88"/>
    <w:rsid w:val="002B3740"/>
    <w:rsid w:val="002E0E8B"/>
    <w:rsid w:val="0030275F"/>
    <w:rsid w:val="00303A4F"/>
    <w:rsid w:val="00315CC0"/>
    <w:rsid w:val="003421B2"/>
    <w:rsid w:val="0034348D"/>
    <w:rsid w:val="003B6F79"/>
    <w:rsid w:val="003E5D24"/>
    <w:rsid w:val="003F08ED"/>
    <w:rsid w:val="003F49AB"/>
    <w:rsid w:val="00430A43"/>
    <w:rsid w:val="00437BC2"/>
    <w:rsid w:val="004A7062"/>
    <w:rsid w:val="004B5CC7"/>
    <w:rsid w:val="004D16FB"/>
    <w:rsid w:val="004D1B18"/>
    <w:rsid w:val="004D66F9"/>
    <w:rsid w:val="004F4177"/>
    <w:rsid w:val="00555F45"/>
    <w:rsid w:val="00572319"/>
    <w:rsid w:val="005B78EB"/>
    <w:rsid w:val="006503DE"/>
    <w:rsid w:val="00685440"/>
    <w:rsid w:val="006A0E61"/>
    <w:rsid w:val="006C4F38"/>
    <w:rsid w:val="006E42A1"/>
    <w:rsid w:val="00713A46"/>
    <w:rsid w:val="00764F13"/>
    <w:rsid w:val="00782C5D"/>
    <w:rsid w:val="007872B3"/>
    <w:rsid w:val="00790583"/>
    <w:rsid w:val="007B0CC3"/>
    <w:rsid w:val="007F7F46"/>
    <w:rsid w:val="008254CC"/>
    <w:rsid w:val="00861B96"/>
    <w:rsid w:val="00883CFE"/>
    <w:rsid w:val="00897866"/>
    <w:rsid w:val="008D16E7"/>
    <w:rsid w:val="008E6291"/>
    <w:rsid w:val="00920978"/>
    <w:rsid w:val="00962525"/>
    <w:rsid w:val="009B5E97"/>
    <w:rsid w:val="009B6794"/>
    <w:rsid w:val="009F0BC4"/>
    <w:rsid w:val="009F32D9"/>
    <w:rsid w:val="00A27DBF"/>
    <w:rsid w:val="00A35726"/>
    <w:rsid w:val="00A37E09"/>
    <w:rsid w:val="00A41374"/>
    <w:rsid w:val="00A4412D"/>
    <w:rsid w:val="00AA20B6"/>
    <w:rsid w:val="00AB4B47"/>
    <w:rsid w:val="00AB598E"/>
    <w:rsid w:val="00AD3A3F"/>
    <w:rsid w:val="00B016D9"/>
    <w:rsid w:val="00B02E08"/>
    <w:rsid w:val="00B94766"/>
    <w:rsid w:val="00BA3938"/>
    <w:rsid w:val="00BC327E"/>
    <w:rsid w:val="00BF2EEA"/>
    <w:rsid w:val="00C507D7"/>
    <w:rsid w:val="00C5626C"/>
    <w:rsid w:val="00C94B0B"/>
    <w:rsid w:val="00CA416F"/>
    <w:rsid w:val="00CD05F9"/>
    <w:rsid w:val="00CD6C1A"/>
    <w:rsid w:val="00D57F65"/>
    <w:rsid w:val="00D87B07"/>
    <w:rsid w:val="00E12358"/>
    <w:rsid w:val="00F17A0A"/>
    <w:rsid w:val="00F43336"/>
    <w:rsid w:val="00FC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color="white">
      <v:fill color="white"/>
      <v:textbox inset="5.85pt,.7pt,5.85pt,.7pt"/>
    </o:shapedefaults>
    <o:shapelayout v:ext="edit">
      <o:idmap v:ext="edit" data="1"/>
    </o:shapelayout>
  </w:shapeDefaults>
  <w:decimalSymbol w:val="."/>
  <w:listSeparator w:val=","/>
  <w15:docId w15:val="{C6F6338F-0EDD-48CD-9204-6DEAE5C1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2021547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hyperlink" Target="mailto:apurva.mody@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2700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表昌佑</cp:lastModifiedBy>
  <cp:revision>2</cp:revision>
  <cp:lastPrinted>1899-12-31T15:00:00Z</cp:lastPrinted>
  <dcterms:created xsi:type="dcterms:W3CDTF">2014-11-03T16:58:00Z</dcterms:created>
  <dcterms:modified xsi:type="dcterms:W3CDTF">2014-11-03T16:58:00Z</dcterms:modified>
</cp:coreProperties>
</file>