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5A8A9"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9448F" w14:paraId="42A3F68C" w14:textId="77777777">
        <w:trPr>
          <w:trHeight w:val="485"/>
          <w:jc w:val="center"/>
        </w:trPr>
        <w:tc>
          <w:tcPr>
            <w:tcW w:w="9576" w:type="dxa"/>
            <w:gridSpan w:val="5"/>
            <w:vAlign w:val="center"/>
          </w:tcPr>
          <w:p w14:paraId="567431B6" w14:textId="1508EDF4" w:rsidR="00D9448F" w:rsidRPr="00BF7A38" w:rsidRDefault="00394718" w:rsidP="00C4410F">
            <w:pPr>
              <w:pStyle w:val="T2"/>
            </w:pPr>
            <w:r>
              <w:rPr>
                <w:lang w:val="en-US"/>
              </w:rPr>
              <w:t>Perfomance of</w:t>
            </w:r>
            <w:r w:rsidR="00F964D6">
              <w:rPr>
                <w:lang w:val="en-US"/>
              </w:rPr>
              <w:t xml:space="preserve"> </w:t>
            </w:r>
            <w:r w:rsidR="00BF7A38">
              <w:t>Multidimentional TCM for the IEEE 802.22b</w:t>
            </w:r>
          </w:p>
        </w:tc>
      </w:tr>
      <w:tr w:rsidR="00D9448F" w14:paraId="657A6C3D" w14:textId="77777777">
        <w:trPr>
          <w:trHeight w:val="359"/>
          <w:jc w:val="center"/>
        </w:trPr>
        <w:tc>
          <w:tcPr>
            <w:tcW w:w="9576" w:type="dxa"/>
            <w:gridSpan w:val="5"/>
            <w:vAlign w:val="center"/>
          </w:tcPr>
          <w:p w14:paraId="27363420" w14:textId="0A8D5CF5" w:rsidR="00D9448F" w:rsidRDefault="00D9448F" w:rsidP="007F46BF">
            <w:pPr>
              <w:pStyle w:val="T2"/>
              <w:ind w:left="0"/>
              <w:rPr>
                <w:sz w:val="20"/>
              </w:rPr>
            </w:pPr>
            <w:r>
              <w:rPr>
                <w:sz w:val="20"/>
              </w:rPr>
              <w:t>Date:</w:t>
            </w:r>
            <w:r>
              <w:rPr>
                <w:b w:val="0"/>
                <w:sz w:val="20"/>
              </w:rPr>
              <w:t xml:space="preserve">  </w:t>
            </w:r>
            <w:r w:rsidR="00FF65C8">
              <w:rPr>
                <w:b w:val="0"/>
                <w:sz w:val="20"/>
              </w:rPr>
              <w:t>201</w:t>
            </w:r>
            <w:r w:rsidR="007F46BF">
              <w:rPr>
                <w:b w:val="0"/>
                <w:sz w:val="20"/>
              </w:rPr>
              <w:t>4</w:t>
            </w:r>
            <w:r>
              <w:rPr>
                <w:b w:val="0"/>
                <w:sz w:val="20"/>
              </w:rPr>
              <w:t>-</w:t>
            </w:r>
            <w:r w:rsidR="007F46BF">
              <w:rPr>
                <w:b w:val="0"/>
                <w:sz w:val="20"/>
              </w:rPr>
              <w:t>0</w:t>
            </w:r>
            <w:r w:rsidR="007F46BF">
              <w:rPr>
                <w:b w:val="0"/>
                <w:sz w:val="20"/>
              </w:rPr>
              <w:t>3</w:t>
            </w:r>
            <w:r>
              <w:rPr>
                <w:b w:val="0"/>
                <w:sz w:val="20"/>
              </w:rPr>
              <w:t>-</w:t>
            </w:r>
            <w:r w:rsidR="00FF65C8">
              <w:rPr>
                <w:b w:val="0"/>
                <w:sz w:val="20"/>
              </w:rPr>
              <w:t>1</w:t>
            </w:r>
            <w:r w:rsidR="007F46BF">
              <w:rPr>
                <w:b w:val="0"/>
                <w:sz w:val="20"/>
              </w:rPr>
              <w:t>9</w:t>
            </w:r>
            <w:bookmarkStart w:id="0" w:name="_GoBack"/>
            <w:bookmarkEnd w:id="0"/>
          </w:p>
        </w:tc>
      </w:tr>
      <w:tr w:rsidR="00D9448F" w14:paraId="5E0B04F3" w14:textId="77777777">
        <w:trPr>
          <w:cantSplit/>
          <w:jc w:val="center"/>
        </w:trPr>
        <w:tc>
          <w:tcPr>
            <w:tcW w:w="9576" w:type="dxa"/>
            <w:gridSpan w:val="5"/>
            <w:vAlign w:val="center"/>
          </w:tcPr>
          <w:p w14:paraId="24975E57" w14:textId="77777777" w:rsidR="00D9448F" w:rsidRDefault="00D9448F">
            <w:pPr>
              <w:pStyle w:val="T2"/>
              <w:spacing w:after="0"/>
              <w:ind w:left="0" w:right="0"/>
              <w:jc w:val="left"/>
              <w:rPr>
                <w:sz w:val="20"/>
              </w:rPr>
            </w:pPr>
            <w:r>
              <w:rPr>
                <w:sz w:val="20"/>
              </w:rPr>
              <w:t>Author(s):</w:t>
            </w:r>
          </w:p>
        </w:tc>
      </w:tr>
      <w:tr w:rsidR="00D9448F" w14:paraId="39F08B1D" w14:textId="77777777">
        <w:trPr>
          <w:jc w:val="center"/>
        </w:trPr>
        <w:tc>
          <w:tcPr>
            <w:tcW w:w="1336" w:type="dxa"/>
            <w:vAlign w:val="center"/>
          </w:tcPr>
          <w:p w14:paraId="67C9B3D8" w14:textId="77777777" w:rsidR="00D9448F" w:rsidRDefault="00D9448F">
            <w:pPr>
              <w:pStyle w:val="T2"/>
              <w:spacing w:after="0"/>
              <w:ind w:left="0" w:right="0"/>
              <w:jc w:val="left"/>
              <w:rPr>
                <w:sz w:val="20"/>
              </w:rPr>
            </w:pPr>
            <w:r>
              <w:rPr>
                <w:sz w:val="20"/>
              </w:rPr>
              <w:t>Name</w:t>
            </w:r>
          </w:p>
        </w:tc>
        <w:tc>
          <w:tcPr>
            <w:tcW w:w="2064" w:type="dxa"/>
            <w:vAlign w:val="center"/>
          </w:tcPr>
          <w:p w14:paraId="40054FF1" w14:textId="77777777" w:rsidR="00D9448F" w:rsidRDefault="00D9448F">
            <w:pPr>
              <w:pStyle w:val="T2"/>
              <w:spacing w:after="0"/>
              <w:ind w:left="0" w:right="0"/>
              <w:jc w:val="left"/>
              <w:rPr>
                <w:sz w:val="20"/>
              </w:rPr>
            </w:pPr>
            <w:r>
              <w:rPr>
                <w:sz w:val="20"/>
              </w:rPr>
              <w:t>Company</w:t>
            </w:r>
          </w:p>
        </w:tc>
        <w:tc>
          <w:tcPr>
            <w:tcW w:w="2814" w:type="dxa"/>
            <w:vAlign w:val="center"/>
          </w:tcPr>
          <w:p w14:paraId="26D8AEAA" w14:textId="77777777" w:rsidR="00D9448F" w:rsidRDefault="00D9448F">
            <w:pPr>
              <w:pStyle w:val="T2"/>
              <w:spacing w:after="0"/>
              <w:ind w:left="0" w:right="0"/>
              <w:jc w:val="left"/>
              <w:rPr>
                <w:sz w:val="20"/>
              </w:rPr>
            </w:pPr>
            <w:r>
              <w:rPr>
                <w:sz w:val="20"/>
              </w:rPr>
              <w:t>Address</w:t>
            </w:r>
          </w:p>
        </w:tc>
        <w:tc>
          <w:tcPr>
            <w:tcW w:w="1715" w:type="dxa"/>
            <w:vAlign w:val="center"/>
          </w:tcPr>
          <w:p w14:paraId="61B168A0" w14:textId="77777777" w:rsidR="00D9448F" w:rsidRDefault="00D9448F">
            <w:pPr>
              <w:pStyle w:val="T2"/>
              <w:spacing w:after="0"/>
              <w:ind w:left="0" w:right="0"/>
              <w:jc w:val="left"/>
              <w:rPr>
                <w:sz w:val="20"/>
              </w:rPr>
            </w:pPr>
            <w:r>
              <w:rPr>
                <w:sz w:val="20"/>
              </w:rPr>
              <w:t>Phone</w:t>
            </w:r>
          </w:p>
        </w:tc>
        <w:tc>
          <w:tcPr>
            <w:tcW w:w="1647" w:type="dxa"/>
            <w:vAlign w:val="center"/>
          </w:tcPr>
          <w:p w14:paraId="6E07BD28" w14:textId="77777777" w:rsidR="00D9448F" w:rsidRDefault="00D9448F">
            <w:pPr>
              <w:pStyle w:val="T2"/>
              <w:spacing w:after="0"/>
              <w:ind w:left="0" w:right="0"/>
              <w:jc w:val="left"/>
              <w:rPr>
                <w:sz w:val="20"/>
              </w:rPr>
            </w:pPr>
            <w:r>
              <w:rPr>
                <w:sz w:val="20"/>
              </w:rPr>
              <w:t>email</w:t>
            </w:r>
          </w:p>
        </w:tc>
      </w:tr>
      <w:tr w:rsidR="00FF65C8" w14:paraId="70B7B182" w14:textId="77777777" w:rsidTr="00C4410F">
        <w:trPr>
          <w:trHeight w:val="531"/>
          <w:jc w:val="center"/>
        </w:trPr>
        <w:tc>
          <w:tcPr>
            <w:tcW w:w="1336" w:type="dxa"/>
            <w:vAlign w:val="center"/>
          </w:tcPr>
          <w:p w14:paraId="5C159A72" w14:textId="77777777" w:rsidR="00FF65C8" w:rsidRPr="007C0904" w:rsidRDefault="00FF65C8" w:rsidP="00FF65C8">
            <w:pPr>
              <w:pStyle w:val="T2"/>
              <w:spacing w:after="0"/>
              <w:ind w:left="0" w:right="0"/>
              <w:rPr>
                <w:b w:val="0"/>
                <w:sz w:val="20"/>
                <w:lang w:eastAsia="ja-JP"/>
              </w:rPr>
            </w:pPr>
            <w:r>
              <w:rPr>
                <w:b w:val="0"/>
                <w:sz w:val="20"/>
                <w:lang w:eastAsia="ja-JP"/>
              </w:rPr>
              <w:t>Shigenobu</w:t>
            </w:r>
            <w:r>
              <w:rPr>
                <w:rFonts w:ascii="Microsoft Yi Baiti" w:hAnsi="Microsoft Yi Baiti" w:cs="Microsoft Yi Baiti"/>
                <w:b w:val="0"/>
                <w:sz w:val="20"/>
                <w:lang w:eastAsia="ja-JP"/>
              </w:rPr>
              <w:t xml:space="preserve">　</w:t>
            </w:r>
            <w:r>
              <w:rPr>
                <w:b w:val="0"/>
                <w:sz w:val="20"/>
                <w:lang w:eastAsia="ja-JP"/>
              </w:rPr>
              <w:t xml:space="preserve"> Sasaki</w:t>
            </w:r>
          </w:p>
        </w:tc>
        <w:tc>
          <w:tcPr>
            <w:tcW w:w="2064" w:type="dxa"/>
            <w:vAlign w:val="center"/>
          </w:tcPr>
          <w:p w14:paraId="43D2E91F"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0D461EB6"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8050 I</w:t>
            </w:r>
            <w:r>
              <w:rPr>
                <w:b w:val="0"/>
                <w:sz w:val="20"/>
                <w:lang w:eastAsia="ja-JP"/>
              </w:rPr>
              <w:t>k</w:t>
            </w:r>
            <w:r w:rsidRPr="007C0904">
              <w:rPr>
                <w:rFonts w:hint="eastAsia"/>
                <w:b w:val="0"/>
                <w:sz w:val="20"/>
                <w:lang w:eastAsia="ja-JP"/>
              </w:rPr>
              <w:t>arashi 2-no-cho, Niigata, 950-2181 Japan</w:t>
            </w:r>
          </w:p>
        </w:tc>
        <w:tc>
          <w:tcPr>
            <w:tcW w:w="1715" w:type="dxa"/>
            <w:vAlign w:val="center"/>
          </w:tcPr>
          <w:p w14:paraId="5614D46D"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78264F28" w14:textId="77777777" w:rsidR="00FF65C8" w:rsidRPr="00F12BDE" w:rsidRDefault="00FF65C8" w:rsidP="00FF65C8">
            <w:pPr>
              <w:pStyle w:val="T2"/>
              <w:keepLines/>
              <w:spacing w:before="120" w:after="0"/>
              <w:ind w:left="0" w:right="0"/>
              <w:rPr>
                <w:b w:val="0"/>
                <w:sz w:val="16"/>
                <w:lang w:val="en-US" w:eastAsia="ja-JP"/>
              </w:rPr>
            </w:pPr>
            <w:r>
              <w:rPr>
                <w:b w:val="0"/>
                <w:sz w:val="16"/>
                <w:lang w:val="en-US" w:eastAsia="ja-JP"/>
              </w:rPr>
              <w:t>shinsasaki@ieee.org</w:t>
            </w:r>
          </w:p>
        </w:tc>
      </w:tr>
      <w:tr w:rsidR="00FF65C8" w14:paraId="06C78E4C" w14:textId="77777777" w:rsidTr="00C4410F">
        <w:trPr>
          <w:trHeight w:val="567"/>
          <w:jc w:val="center"/>
        </w:trPr>
        <w:tc>
          <w:tcPr>
            <w:tcW w:w="1336" w:type="dxa"/>
            <w:vAlign w:val="center"/>
          </w:tcPr>
          <w:p w14:paraId="5221AB5B" w14:textId="77777777" w:rsidR="00FF65C8" w:rsidRPr="007C0904" w:rsidRDefault="00FF65C8" w:rsidP="00FF65C8">
            <w:pPr>
              <w:pStyle w:val="T2"/>
              <w:spacing w:after="0"/>
              <w:ind w:left="0" w:right="0"/>
              <w:rPr>
                <w:b w:val="0"/>
                <w:sz w:val="20"/>
                <w:lang w:eastAsia="ja-JP"/>
              </w:rPr>
            </w:pPr>
            <w:r>
              <w:rPr>
                <w:b w:val="0"/>
                <w:sz w:val="20"/>
                <w:lang w:eastAsia="ja-JP"/>
              </w:rPr>
              <w:t>Bingxuan Zhao</w:t>
            </w:r>
          </w:p>
        </w:tc>
        <w:tc>
          <w:tcPr>
            <w:tcW w:w="2064" w:type="dxa"/>
            <w:vAlign w:val="center"/>
          </w:tcPr>
          <w:p w14:paraId="70B7A7E2"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50B08389"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8050 I</w:t>
            </w:r>
            <w:r>
              <w:rPr>
                <w:b w:val="0"/>
                <w:sz w:val="20"/>
                <w:lang w:eastAsia="ja-JP"/>
              </w:rPr>
              <w:t>k</w:t>
            </w:r>
            <w:r w:rsidRPr="007C0904">
              <w:rPr>
                <w:rFonts w:hint="eastAsia"/>
                <w:b w:val="0"/>
                <w:sz w:val="20"/>
                <w:lang w:eastAsia="ja-JP"/>
              </w:rPr>
              <w:t>arashi 2-no-cho, Niigata, 950-2181 Japan</w:t>
            </w:r>
          </w:p>
        </w:tc>
        <w:tc>
          <w:tcPr>
            <w:tcW w:w="1715" w:type="dxa"/>
            <w:vAlign w:val="center"/>
          </w:tcPr>
          <w:p w14:paraId="1EB2F11E"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w:t>
            </w:r>
            <w:r>
              <w:rPr>
                <w:b w:val="0"/>
                <w:sz w:val="20"/>
                <w:lang w:eastAsia="ja-JP"/>
              </w:rPr>
              <w:t>5284</w:t>
            </w:r>
          </w:p>
        </w:tc>
        <w:tc>
          <w:tcPr>
            <w:tcW w:w="1647" w:type="dxa"/>
            <w:vAlign w:val="center"/>
          </w:tcPr>
          <w:p w14:paraId="51D8D747" w14:textId="77777777" w:rsidR="00FF65C8" w:rsidRPr="007C0904" w:rsidRDefault="00FF65C8" w:rsidP="00FF65C8">
            <w:pPr>
              <w:pStyle w:val="T2"/>
              <w:spacing w:after="0"/>
              <w:ind w:left="0" w:right="0"/>
              <w:rPr>
                <w:b w:val="0"/>
                <w:sz w:val="16"/>
                <w:lang w:eastAsia="ja-JP"/>
              </w:rPr>
            </w:pPr>
            <w:r>
              <w:rPr>
                <w:b w:val="0"/>
                <w:sz w:val="16"/>
                <w:lang w:eastAsia="ja-JP"/>
              </w:rPr>
              <w:t>bxzhao@ieee.org</w:t>
            </w:r>
          </w:p>
        </w:tc>
      </w:tr>
      <w:tr w:rsidR="00CA4B3B" w:rsidRPr="00CA4B3B" w14:paraId="6E44E83C" w14:textId="77777777" w:rsidTr="00C4410F">
        <w:trPr>
          <w:trHeight w:val="567"/>
          <w:jc w:val="center"/>
        </w:trPr>
        <w:tc>
          <w:tcPr>
            <w:tcW w:w="1336" w:type="dxa"/>
            <w:vAlign w:val="center"/>
          </w:tcPr>
          <w:p w14:paraId="3C9BA25A" w14:textId="648E4612" w:rsidR="00CA4B3B" w:rsidRPr="00CA4B3B" w:rsidRDefault="00CA4B3B" w:rsidP="00FF65C8">
            <w:pPr>
              <w:pStyle w:val="T2"/>
              <w:spacing w:after="0"/>
              <w:ind w:left="0" w:right="0"/>
              <w:rPr>
                <w:b w:val="0"/>
                <w:sz w:val="20"/>
                <w:lang w:eastAsia="ja-JP"/>
              </w:rPr>
            </w:pPr>
            <w:r w:rsidRPr="00CA4B3B">
              <w:rPr>
                <w:b w:val="0"/>
                <w:sz w:val="20"/>
                <w:lang w:eastAsia="ja-JP"/>
              </w:rPr>
              <w:t>Takuto Uchida</w:t>
            </w:r>
          </w:p>
        </w:tc>
        <w:tc>
          <w:tcPr>
            <w:tcW w:w="2064" w:type="dxa"/>
            <w:vAlign w:val="center"/>
          </w:tcPr>
          <w:p w14:paraId="39B02106" w14:textId="06CA2F98" w:rsidR="00CA4B3B" w:rsidRPr="00CA4B3B" w:rsidRDefault="00CA4B3B" w:rsidP="00FF65C8">
            <w:pPr>
              <w:pStyle w:val="T2"/>
              <w:spacing w:after="0"/>
              <w:ind w:left="0" w:right="0"/>
              <w:rPr>
                <w:b w:val="0"/>
                <w:sz w:val="20"/>
                <w:lang w:eastAsia="ja-JP"/>
              </w:rPr>
            </w:pPr>
            <w:r w:rsidRPr="00CA4B3B">
              <w:rPr>
                <w:rFonts w:hint="eastAsia"/>
                <w:b w:val="0"/>
                <w:sz w:val="20"/>
                <w:lang w:eastAsia="ja-JP"/>
              </w:rPr>
              <w:t>Niigata University</w:t>
            </w:r>
          </w:p>
        </w:tc>
        <w:tc>
          <w:tcPr>
            <w:tcW w:w="2814" w:type="dxa"/>
            <w:vAlign w:val="center"/>
          </w:tcPr>
          <w:p w14:paraId="34EFC436" w14:textId="15909989" w:rsidR="00CA4B3B" w:rsidRPr="00CA4B3B" w:rsidRDefault="00CA4B3B" w:rsidP="00FF65C8">
            <w:pPr>
              <w:pStyle w:val="T2"/>
              <w:spacing w:after="0"/>
              <w:ind w:left="0" w:right="0"/>
              <w:rPr>
                <w:b w:val="0"/>
                <w:sz w:val="20"/>
                <w:lang w:eastAsia="ja-JP"/>
              </w:rPr>
            </w:pPr>
            <w:r w:rsidRPr="00CA4B3B">
              <w:rPr>
                <w:rFonts w:hint="eastAsia"/>
                <w:b w:val="0"/>
                <w:sz w:val="20"/>
                <w:lang w:eastAsia="ja-JP"/>
              </w:rPr>
              <w:t>8050 I</w:t>
            </w:r>
            <w:r w:rsidRPr="00CA4B3B">
              <w:rPr>
                <w:b w:val="0"/>
                <w:sz w:val="20"/>
                <w:lang w:eastAsia="ja-JP"/>
              </w:rPr>
              <w:t>k</w:t>
            </w:r>
            <w:r w:rsidRPr="00CA4B3B">
              <w:rPr>
                <w:rFonts w:hint="eastAsia"/>
                <w:b w:val="0"/>
                <w:sz w:val="20"/>
                <w:lang w:eastAsia="ja-JP"/>
              </w:rPr>
              <w:t>arashi 2-no-cho, Niigata, 950-2181 Japan</w:t>
            </w:r>
          </w:p>
        </w:tc>
        <w:tc>
          <w:tcPr>
            <w:tcW w:w="1715" w:type="dxa"/>
            <w:vAlign w:val="center"/>
          </w:tcPr>
          <w:p w14:paraId="6D472E12" w14:textId="675EE2E6" w:rsidR="00CA4B3B" w:rsidRPr="00CA4B3B" w:rsidRDefault="00CA4B3B" w:rsidP="00FF65C8">
            <w:pPr>
              <w:pStyle w:val="T2"/>
              <w:spacing w:after="0"/>
              <w:ind w:left="0" w:right="0"/>
              <w:rPr>
                <w:b w:val="0"/>
                <w:sz w:val="20"/>
                <w:lang w:eastAsia="ja-JP"/>
              </w:rPr>
            </w:pPr>
            <w:r w:rsidRPr="00CA4B3B">
              <w:rPr>
                <w:rFonts w:hint="eastAsia"/>
                <w:b w:val="0"/>
                <w:sz w:val="20"/>
                <w:lang w:eastAsia="ja-JP"/>
              </w:rPr>
              <w:t>81-25-262-</w:t>
            </w:r>
            <w:r w:rsidRPr="00CA4B3B">
              <w:rPr>
                <w:b w:val="0"/>
                <w:sz w:val="20"/>
                <w:lang w:eastAsia="ja-JP"/>
              </w:rPr>
              <w:t>5284</w:t>
            </w:r>
          </w:p>
        </w:tc>
        <w:tc>
          <w:tcPr>
            <w:tcW w:w="1647" w:type="dxa"/>
            <w:vAlign w:val="center"/>
          </w:tcPr>
          <w:p w14:paraId="5EBF5C4D" w14:textId="129D5D6B" w:rsidR="00CA4B3B" w:rsidRPr="00CA4B3B" w:rsidRDefault="00BE2526" w:rsidP="00FF65C8">
            <w:pPr>
              <w:pStyle w:val="T2"/>
              <w:spacing w:after="0"/>
              <w:ind w:left="0" w:right="0"/>
              <w:rPr>
                <w:b w:val="0"/>
                <w:sz w:val="16"/>
                <w:lang w:eastAsia="ja-JP"/>
              </w:rPr>
            </w:pPr>
            <w:r>
              <w:rPr>
                <w:b w:val="0"/>
                <w:sz w:val="16"/>
                <w:lang w:eastAsia="ja-JP"/>
              </w:rPr>
              <w:t>u-takuto@telecom0.eng.niigata-u.ac.jp</w:t>
            </w:r>
          </w:p>
        </w:tc>
      </w:tr>
    </w:tbl>
    <w:p w14:paraId="30AAA25F" w14:textId="77777777" w:rsidR="00D9448F" w:rsidRDefault="00355FEE">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26222B06" wp14:editId="07D94240">
                <wp:simplePos x="0" y="0"/>
                <wp:positionH relativeFrom="column">
                  <wp:posOffset>-62865</wp:posOffset>
                </wp:positionH>
                <wp:positionV relativeFrom="paragraph">
                  <wp:posOffset>205740</wp:posOffset>
                </wp:positionV>
                <wp:extent cx="5943600" cy="2844800"/>
                <wp:effectExtent l="0" t="0" r="0" b="0"/>
                <wp:wrapNone/>
                <wp:docPr id="27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F4FDA" w14:textId="77777777" w:rsidR="003C2632" w:rsidRDefault="003C2632">
                            <w:pPr>
                              <w:pStyle w:val="T1"/>
                              <w:spacing w:after="120"/>
                            </w:pPr>
                            <w:r>
                              <w:t>Abstract</w:t>
                            </w:r>
                          </w:p>
                          <w:p w14:paraId="2B172F92" w14:textId="37DA6CF5" w:rsidR="003C2632" w:rsidRDefault="003C2632">
                            <w:pPr>
                              <w:jc w:val="both"/>
                            </w:pPr>
                            <w:r>
                              <w:t xml:space="preserve">This document presents some simulation results on the performance of multidimentional trellis coded modulation (MD-TCM) in the PHY proposal from Niigata University (doc. </w:t>
                            </w:r>
                            <w:r w:rsidRPr="00BF7A38">
                              <w:t>IEEE 802.22-12-0091/r1</w:t>
                            </w:r>
                            <w:r>
                              <w:t>). The content of this document is a part of comment resolution of the Comment ID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" o:allowincell="f" stroked="f">
                <v:textbox>
                  <w:txbxContent>
                    <w:p w14:paraId="4D2F4FDA" w14:textId="77777777" w:rsidR="003C2632" w:rsidRDefault="003C2632">
                      <w:pPr>
                        <w:pStyle w:val="T1"/>
                        <w:spacing w:after="120"/>
                      </w:pPr>
                      <w:r>
                        <w:t>Abstract</w:t>
                      </w:r>
                    </w:p>
                    <w:p w14:paraId="2B172F92" w14:textId="37DA6CF5" w:rsidR="003C2632" w:rsidRDefault="003C2632">
                      <w:pPr>
                        <w:jc w:val="both"/>
                      </w:pPr>
                      <w:r>
                        <w:t xml:space="preserve">This document presents some simulation results on the performance of multidimentional trellis coded modulation (MD-TCM) in the PHY proposal from Niigata University (doc. </w:t>
                      </w:r>
                      <w:r w:rsidRPr="00BF7A38">
                        <w:t>IEEE 802.22-12-0091/r1</w:t>
                      </w:r>
                      <w:r>
                        <w:t>). The content of this document is a part of comment resolution of the Comment ID 23..</w:t>
                      </w:r>
                    </w:p>
                  </w:txbxContent>
                </v:textbox>
              </v:shape>
            </w:pict>
          </mc:Fallback>
        </mc:AlternateContent>
      </w:r>
    </w:p>
    <w:p w14:paraId="379B8C42" w14:textId="077AA21A" w:rsidR="00D9448F" w:rsidRDefault="00355FEE" w:rsidP="00422EEC">
      <w:r>
        <w:rPr>
          <w:noProof/>
          <w:lang w:val="en-US" w:eastAsia="ja-JP"/>
        </w:rPr>
        <mc:AlternateContent>
          <mc:Choice Requires="wps">
            <w:drawing>
              <wp:anchor distT="0" distB="0" distL="114300" distR="114300" simplePos="0" relativeHeight="251658240" behindDoc="0" locked="0" layoutInCell="0" allowOverlap="1" wp14:anchorId="34CF4626" wp14:editId="0EC302CA">
                <wp:simplePos x="0" y="0"/>
                <wp:positionH relativeFrom="column">
                  <wp:posOffset>-62865</wp:posOffset>
                </wp:positionH>
                <wp:positionV relativeFrom="paragraph">
                  <wp:posOffset>3453765</wp:posOffset>
                </wp:positionV>
                <wp:extent cx="6057900" cy="2801620"/>
                <wp:effectExtent l="0" t="0" r="0" b="0"/>
                <wp:wrapNone/>
                <wp:docPr id="276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1E10734C" w14:textId="77777777" w:rsidR="003C2632" w:rsidRDefault="003C2632">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3C2632" w:rsidRDefault="003C2632">
                            <w:pPr>
                              <w:jc w:val="both"/>
                              <w:rPr>
                                <w:rFonts w:ascii="Arial Unicode MS" w:eastAsia="Arial Unicode MS" w:hAnsi="Arial Unicode MS"/>
                                <w:color w:val="000000"/>
                                <w:sz w:val="18"/>
                                <w:lang w:val="en-US"/>
                              </w:rPr>
                            </w:pPr>
                          </w:p>
                          <w:p w14:paraId="16759C5A" w14:textId="77777777" w:rsidR="003C2632" w:rsidRDefault="003C2632">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3C2632" w:rsidRDefault="003C2632">
                            <w:pPr>
                              <w:jc w:val="both"/>
                              <w:rPr>
                                <w:color w:val="000000"/>
                                <w:sz w:val="18"/>
                              </w:rPr>
                            </w:pPr>
                          </w:p>
                          <w:p w14:paraId="3328BF6A" w14:textId="77777777" w:rsidR="003C2632" w:rsidRDefault="003C2632">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3C2632" w:rsidRDefault="003C2632">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" o:allowincell="f" strokecolor="blue" strokeweight="2pt">
                <v:textbox>
                  <w:txbxContent>
                    <w:p w14:paraId="1E10734C" w14:textId="77777777" w:rsidR="00394718" w:rsidRDefault="00394718">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394718" w:rsidRDefault="00394718">
                      <w:pPr>
                        <w:jc w:val="both"/>
                        <w:rPr>
                          <w:rFonts w:ascii="Arial Unicode MS" w:eastAsia="Arial Unicode MS" w:hAnsi="Arial Unicode MS"/>
                          <w:color w:val="000000"/>
                          <w:sz w:val="18"/>
                          <w:lang w:val="en-US"/>
                        </w:rPr>
                      </w:pPr>
                    </w:p>
                    <w:p w14:paraId="16759C5A" w14:textId="77777777" w:rsidR="00394718" w:rsidRDefault="00394718">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394718" w:rsidRDefault="00394718">
                      <w:pPr>
                        <w:jc w:val="both"/>
                        <w:rPr>
                          <w:color w:val="000000"/>
                          <w:sz w:val="18"/>
                        </w:rPr>
                      </w:pPr>
                    </w:p>
                    <w:p w14:paraId="3328BF6A" w14:textId="77777777" w:rsidR="00394718" w:rsidRDefault="00394718">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394718" w:rsidRDefault="00394718">
                      <w:pPr>
                        <w:jc w:val="both"/>
                        <w:rPr>
                          <w:sz w:val="18"/>
                        </w:rPr>
                      </w:pPr>
                      <w:r>
                        <w:rPr>
                          <w:color w:val="000000"/>
                          <w:sz w:val="18"/>
                        </w:rPr>
                        <w:t>&lt;</w:t>
                      </w:r>
                      <w:hyperlink r:id="rId12"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3"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D9448F">
        <w:br w:type="page"/>
      </w:r>
    </w:p>
    <w:p w14:paraId="5F183CBC" w14:textId="14F8C7AF" w:rsidR="00826856" w:rsidRDefault="00826856" w:rsidP="00CD664D">
      <w:pPr>
        <w:pStyle w:val="1"/>
        <w:numPr>
          <w:ilvl w:val="0"/>
          <w:numId w:val="6"/>
        </w:numPr>
      </w:pPr>
      <w:r>
        <w:lastRenderedPageBreak/>
        <w:t>Introduction</w:t>
      </w:r>
    </w:p>
    <w:p w14:paraId="1500E71C" w14:textId="5192C859" w:rsidR="00826856" w:rsidRDefault="00826856" w:rsidP="00826856">
      <w:r>
        <w:t xml:space="preserve">  This document describes a part of resolution of CID </w:t>
      </w:r>
      <w:r w:rsidR="0084097A">
        <w:t xml:space="preserve">22 and </w:t>
      </w:r>
      <w:r>
        <w:t>23 in the TGb LB1 ballot.  The comment database is located in DCN: 22-13/158r0 (or latest revision) and is listed as follows:</w:t>
      </w:r>
    </w:p>
    <w:p w14:paraId="65609744" w14:textId="327EB255" w:rsidR="00D9448F" w:rsidRPr="00422EEC" w:rsidRDefault="00D9448F" w:rsidP="00826856"/>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99" w:type="dxa"/>
          <w:right w:w="99" w:type="dxa"/>
        </w:tblCellMar>
        <w:tblLook w:val="04A0" w:firstRow="1" w:lastRow="0" w:firstColumn="1" w:lastColumn="0" w:noHBand="0" w:noVBand="1"/>
      </w:tblPr>
      <w:tblGrid>
        <w:gridCol w:w="676"/>
        <w:gridCol w:w="740"/>
        <w:gridCol w:w="659"/>
        <w:gridCol w:w="739"/>
        <w:gridCol w:w="6542"/>
      </w:tblGrid>
      <w:tr w:rsidR="00394718" w:rsidRPr="00DA2837" w14:paraId="587CBCC9" w14:textId="77777777" w:rsidTr="00DA2837">
        <w:trPr>
          <w:trHeight w:val="468"/>
        </w:trPr>
        <w:tc>
          <w:tcPr>
            <w:tcW w:w="676" w:type="dxa"/>
            <w:shd w:val="clear" w:color="auto" w:fill="auto"/>
            <w:noWrap/>
            <w:vAlign w:val="center"/>
          </w:tcPr>
          <w:p w14:paraId="20FF905A" w14:textId="446349A7" w:rsidR="00394718" w:rsidRPr="00DA2837" w:rsidRDefault="00394718" w:rsidP="00826856">
            <w:pPr>
              <w:jc w:val="center"/>
              <w:textAlignment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ID</w:t>
            </w:r>
          </w:p>
        </w:tc>
        <w:tc>
          <w:tcPr>
            <w:tcW w:w="740" w:type="dxa"/>
            <w:shd w:val="clear" w:color="auto" w:fill="auto"/>
            <w:vAlign w:val="center"/>
          </w:tcPr>
          <w:p w14:paraId="0751A38A" w14:textId="0F5A829D" w:rsidR="00394718" w:rsidRPr="00DA2837" w:rsidRDefault="00394718" w:rsidP="00826856">
            <w:pPr>
              <w:jc w:val="center"/>
              <w:textAlignment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Page</w:t>
            </w:r>
          </w:p>
        </w:tc>
        <w:tc>
          <w:tcPr>
            <w:tcW w:w="659" w:type="dxa"/>
            <w:shd w:val="clear" w:color="auto" w:fill="auto"/>
            <w:vAlign w:val="center"/>
          </w:tcPr>
          <w:p w14:paraId="61FBAC9D" w14:textId="1E5180E0" w:rsidR="00394718" w:rsidRPr="00DA2837" w:rsidRDefault="00394718" w:rsidP="00826856">
            <w:pPr>
              <w:jc w:val="center"/>
              <w:textAlignment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Line</w:t>
            </w:r>
          </w:p>
        </w:tc>
        <w:tc>
          <w:tcPr>
            <w:tcW w:w="739" w:type="dxa"/>
            <w:shd w:val="clear" w:color="auto" w:fill="auto"/>
            <w:vAlign w:val="center"/>
          </w:tcPr>
          <w:p w14:paraId="0F19E7D1" w14:textId="37C9E1EC" w:rsidR="00394718" w:rsidRPr="00DA2837" w:rsidRDefault="00394718" w:rsidP="00826856">
            <w:pPr>
              <w:jc w:val="center"/>
              <w:textAlignment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Type</w:t>
            </w:r>
          </w:p>
        </w:tc>
        <w:tc>
          <w:tcPr>
            <w:tcW w:w="6542" w:type="dxa"/>
            <w:shd w:val="clear" w:color="auto" w:fill="auto"/>
            <w:vAlign w:val="center"/>
          </w:tcPr>
          <w:p w14:paraId="6FDEFC2A" w14:textId="300D7551" w:rsidR="00394718" w:rsidRPr="00DA2837" w:rsidRDefault="00394718" w:rsidP="00826856">
            <w:pPr>
              <w:jc w:val="center"/>
              <w:textAlignment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Comment</w:t>
            </w:r>
          </w:p>
        </w:tc>
      </w:tr>
      <w:tr w:rsidR="00394718" w:rsidRPr="0084097A" w14:paraId="6CD2372B" w14:textId="77777777" w:rsidTr="00DA2837">
        <w:trPr>
          <w:trHeight w:val="695"/>
        </w:trPr>
        <w:tc>
          <w:tcPr>
            <w:tcW w:w="676" w:type="dxa"/>
            <w:shd w:val="clear" w:color="auto" w:fill="auto"/>
            <w:noWrap/>
            <w:hideMark/>
          </w:tcPr>
          <w:p w14:paraId="720972E7" w14:textId="77777777" w:rsidR="00394718" w:rsidRPr="00DA2837" w:rsidRDefault="00394718" w:rsidP="00394718">
            <w:pPr>
              <w:jc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23</w:t>
            </w:r>
          </w:p>
        </w:tc>
        <w:tc>
          <w:tcPr>
            <w:tcW w:w="740" w:type="dxa"/>
            <w:shd w:val="clear" w:color="auto" w:fill="auto"/>
            <w:hideMark/>
          </w:tcPr>
          <w:p w14:paraId="427A0809" w14:textId="77777777" w:rsidR="00394718" w:rsidRPr="00DA2837" w:rsidRDefault="00394718" w:rsidP="00394718">
            <w:pPr>
              <w:jc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Table AU1</w:t>
            </w:r>
          </w:p>
        </w:tc>
        <w:tc>
          <w:tcPr>
            <w:tcW w:w="659" w:type="dxa"/>
            <w:shd w:val="clear" w:color="auto" w:fill="auto"/>
            <w:hideMark/>
          </w:tcPr>
          <w:p w14:paraId="5E932632" w14:textId="77777777" w:rsidR="00394718" w:rsidRPr="00DA2837" w:rsidRDefault="00394718" w:rsidP="00394718">
            <w:pPr>
              <w:jc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165</w:t>
            </w:r>
          </w:p>
        </w:tc>
        <w:tc>
          <w:tcPr>
            <w:tcW w:w="739" w:type="dxa"/>
            <w:shd w:val="clear" w:color="auto" w:fill="auto"/>
            <w:hideMark/>
          </w:tcPr>
          <w:p w14:paraId="4E2D3FB4" w14:textId="77777777" w:rsidR="00394718" w:rsidRPr="00DA2837" w:rsidRDefault="00394718" w:rsidP="00394718">
            <w:pPr>
              <w:jc w:val="center"/>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T</w:t>
            </w:r>
          </w:p>
        </w:tc>
        <w:tc>
          <w:tcPr>
            <w:tcW w:w="6542" w:type="dxa"/>
            <w:shd w:val="clear" w:color="auto" w:fill="auto"/>
            <w:hideMark/>
          </w:tcPr>
          <w:p w14:paraId="38F1B9AD" w14:textId="16B18A94" w:rsidR="00394718" w:rsidRPr="00DA2837" w:rsidRDefault="00394718" w:rsidP="0084097A">
            <w:pPr>
              <w:ind w:left="64" w:rightChars="148" w:right="326" w:hangingChars="32" w:hanging="64"/>
              <w:rPr>
                <w:rFonts w:ascii="Arial" w:eastAsia="Times New Roman" w:hAnsi="Arial" w:cs="Arial"/>
                <w:color w:val="000000" w:themeColor="text1"/>
                <w:sz w:val="20"/>
                <w:shd w:val="clear" w:color="auto" w:fill="FFFFFF" w:themeFill="background1"/>
                <w:lang w:val="en-US" w:eastAsia="ja-JP"/>
              </w:rPr>
            </w:pPr>
            <w:r w:rsidRPr="00DA2837">
              <w:rPr>
                <w:rFonts w:ascii="Arial" w:eastAsia="Times New Roman" w:hAnsi="Arial" w:cs="Arial"/>
                <w:color w:val="000000" w:themeColor="text1"/>
                <w:sz w:val="20"/>
                <w:shd w:val="clear" w:color="auto" w:fill="FFFFFF" w:themeFill="background1"/>
                <w:lang w:val="en-US" w:eastAsia="ja-JP"/>
              </w:rPr>
              <w:t xml:space="preserve"> </w:t>
            </w:r>
            <w:r w:rsidR="00DA2837">
              <w:rPr>
                <w:rFonts w:ascii="Arial" w:hAnsi="Arial" w:cs="Arial"/>
                <w:color w:val="000000" w:themeColor="text1"/>
                <w:sz w:val="20"/>
                <w:shd w:val="clear" w:color="auto" w:fill="FFFFFF" w:themeFill="background1"/>
              </w:rPr>
              <w:t>W</w:t>
            </w:r>
            <w:r w:rsidR="0084097A" w:rsidRPr="00DA2837">
              <w:rPr>
                <w:rFonts w:ascii="Arial" w:hAnsi="Arial" w:cs="Arial"/>
                <w:color w:val="000000" w:themeColor="text1"/>
                <w:sz w:val="20"/>
                <w:shd w:val="clear" w:color="auto" w:fill="FFFFFF" w:themeFill="background1"/>
              </w:rPr>
              <w:t>hat is the merit of having PHY Mode 22 and 23 since they neither increase data rate nor spectral efficiency ?</w:t>
            </w:r>
          </w:p>
        </w:tc>
      </w:tr>
    </w:tbl>
    <w:p w14:paraId="5601C043" w14:textId="50A12E8E" w:rsidR="00394718" w:rsidRPr="0084097A" w:rsidRDefault="00394718" w:rsidP="000D57DF">
      <w:pPr>
        <w:pStyle w:val="3"/>
        <w:rPr>
          <w:shd w:val="clear" w:color="auto" w:fill="FFFFFF" w:themeFill="background1"/>
        </w:rPr>
      </w:pPr>
    </w:p>
    <w:p w14:paraId="70E75578" w14:textId="15AA0BC0" w:rsidR="00826856" w:rsidRDefault="00826856" w:rsidP="00826856">
      <w:pPr>
        <w:pStyle w:val="1"/>
        <w:numPr>
          <w:ilvl w:val="0"/>
          <w:numId w:val="6"/>
        </w:numPr>
      </w:pPr>
      <w:r>
        <w:t xml:space="preserve"> </w:t>
      </w:r>
      <w:r w:rsidR="0084097A">
        <w:t>System Model</w:t>
      </w:r>
    </w:p>
    <w:p w14:paraId="4EED2AE3" w14:textId="108AAB5C" w:rsidR="00826856" w:rsidRDefault="00CD664D" w:rsidP="00CD664D">
      <w:pPr>
        <w:rPr>
          <w:lang w:eastAsia="ja-JP"/>
        </w:rPr>
      </w:pPr>
      <w:r>
        <w:rPr>
          <w:rFonts w:hint="eastAsia"/>
          <w:lang w:eastAsia="ja-JP"/>
        </w:rPr>
        <w:t xml:space="preserve">　</w:t>
      </w:r>
      <w:r>
        <w:rPr>
          <w:rFonts w:hint="eastAsia"/>
          <w:lang w:eastAsia="ja-JP"/>
        </w:rPr>
        <w:t>Simulation model of the multidimensional trellis encoder is shown in Fig. XX1.</w:t>
      </w:r>
    </w:p>
    <w:p w14:paraId="32DC91DC" w14:textId="52D4698E" w:rsidR="00CD664D" w:rsidRPr="00826856" w:rsidRDefault="00CD664D" w:rsidP="00CD664D">
      <w:pPr>
        <w:rPr>
          <w:lang w:eastAsia="ja-JP"/>
        </w:rPr>
      </w:pPr>
      <w:r>
        <w:rPr>
          <w:rFonts w:hint="eastAsia"/>
          <w:lang w:eastAsia="ja-JP"/>
        </w:rPr>
        <w:t xml:space="preserve"> OFDM symbol mapping in the following of the MD-TCM encoder is the same as of conventional coded QAM encoder and mapper as showin in [1].</w:t>
      </w:r>
    </w:p>
    <w:p w14:paraId="721BC28F" w14:textId="77777777" w:rsidR="00826856" w:rsidRDefault="00826856">
      <w:pPr>
        <w:rPr>
          <w:lang w:eastAsia="ja-JP"/>
        </w:rPr>
      </w:pPr>
    </w:p>
    <w:p w14:paraId="2E03CE9A" w14:textId="77777777" w:rsidR="00826856" w:rsidRDefault="00826856">
      <w:pPr>
        <w:rPr>
          <w:lang w:eastAsia="ja-JP"/>
        </w:rPr>
      </w:pPr>
    </w:p>
    <w:p w14:paraId="5975C643" w14:textId="38C78F6C" w:rsidR="00C94D01" w:rsidRDefault="00355FEE" w:rsidP="007A462E">
      <w:pPr>
        <w:jc w:val="center"/>
        <w:rPr>
          <w:lang w:eastAsia="ja-JP"/>
        </w:rPr>
      </w:pPr>
      <w:r>
        <w:rPr>
          <w:noProof/>
          <w:lang w:val="en-US" w:eastAsia="ja-JP"/>
        </w:rPr>
        <w:drawing>
          <wp:inline distT="0" distB="0" distL="0" distR="0" wp14:anchorId="6A4EB0D5" wp14:editId="5FD1BD1C">
            <wp:extent cx="4552950" cy="4114800"/>
            <wp:effectExtent l="0" t="0" r="0" b="0"/>
            <wp:docPr id="1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4114800"/>
                    </a:xfrm>
                    <a:prstGeom prst="rect">
                      <a:avLst/>
                    </a:prstGeom>
                    <a:noFill/>
                    <a:ln>
                      <a:noFill/>
                    </a:ln>
                    <a:effectLst/>
                  </pic:spPr>
                </pic:pic>
              </a:graphicData>
            </a:graphic>
          </wp:inline>
        </w:drawing>
      </w:r>
    </w:p>
    <w:p w14:paraId="1643EB5C" w14:textId="5494700D" w:rsidR="00C94D01" w:rsidRDefault="00C94D01" w:rsidP="007A462E">
      <w:pPr>
        <w:jc w:val="center"/>
      </w:pPr>
      <w:r>
        <w:t xml:space="preserve">Figure </w:t>
      </w:r>
      <w:r w:rsidR="00D73D70">
        <w:t>XX</w:t>
      </w:r>
      <w:r w:rsidR="00B82B65">
        <w:t>1</w:t>
      </w:r>
      <w:r>
        <w:t xml:space="preserve">: </w:t>
      </w:r>
      <w:r w:rsidR="00C54E1C">
        <w:t xml:space="preserve">Structure of </w:t>
      </w:r>
      <w:r>
        <w:t>Multidimensional trellis encoder</w:t>
      </w:r>
    </w:p>
    <w:p w14:paraId="46A8D4EE" w14:textId="57C3157A" w:rsidR="00AD223D" w:rsidRDefault="00AD223D"/>
    <w:p w14:paraId="039243F6" w14:textId="77777777" w:rsidR="0043738E" w:rsidRPr="004B6FF6" w:rsidRDefault="0043738E"/>
    <w:p w14:paraId="2ED954E7" w14:textId="77777777" w:rsidR="002F3DA8" w:rsidRDefault="002F3DA8">
      <w:pPr>
        <w:rPr>
          <w:lang w:eastAsia="ja-JP"/>
        </w:rPr>
      </w:pPr>
    </w:p>
    <w:p w14:paraId="3B4D3D0E" w14:textId="77777777" w:rsidR="001D4A41" w:rsidRDefault="001D4A41" w:rsidP="001D4A41">
      <w:pPr>
        <w:pStyle w:val="1"/>
        <w:numPr>
          <w:ilvl w:val="0"/>
          <w:numId w:val="6"/>
        </w:numPr>
      </w:pPr>
      <w:r>
        <w:t>Simulation Results</w:t>
      </w:r>
    </w:p>
    <w:p w14:paraId="2FD72DD3" w14:textId="015413B7" w:rsidR="0084097A" w:rsidRDefault="0084097A" w:rsidP="00D73D70">
      <w:r>
        <w:t xml:space="preserve"> Fig. </w:t>
      </w:r>
      <w:r w:rsidR="00D73D70">
        <w:t xml:space="preserve">XX2 </w:t>
      </w:r>
      <w:r>
        <w:t>displays the bit-error rate (BER) performance versus the E</w:t>
      </w:r>
      <w:r w:rsidRPr="00D73D70">
        <w:rPr>
          <w:vertAlign w:val="subscript"/>
        </w:rPr>
        <w:t>b</w:t>
      </w:r>
      <w:r>
        <w:t>/N</w:t>
      </w:r>
      <w:r w:rsidRPr="00D73D70">
        <w:rPr>
          <w:vertAlign w:val="subscript"/>
        </w:rPr>
        <w:t>0</w:t>
      </w:r>
      <w:r>
        <w:t xml:space="preserve"> on the 4D-TCM 48QAM (referred to 48QAM in the figure), 5/6-coded 64QAM (64QAM in the figure), 4D-TCM 192QAM (referred to192QAM in the </w:t>
      </w:r>
      <w:r>
        <w:lastRenderedPageBreak/>
        <w:t>figure), and 7/8-coded 256QAM (256QAM in the figure) in additive white Gaussian noise (AWGN) channel, respectively.  At the 2x10</w:t>
      </w:r>
      <w:r w:rsidRPr="00D73D70">
        <w:rPr>
          <w:vertAlign w:val="superscript"/>
        </w:rPr>
        <w:t>-4</w:t>
      </w:r>
      <w:r>
        <w:t xml:space="preserve"> BER, the 4D-TCM 48 QAM has around 5.5dB gain of the signal-to-noise ratio (SNR) comparing to the 5/6-coded 64 QAM. Similar performance gain appears in the case of 4D-TCM 192QAM.</w:t>
      </w:r>
    </w:p>
    <w:p w14:paraId="1A704768" w14:textId="77777777" w:rsidR="0084097A" w:rsidRPr="0084097A" w:rsidRDefault="0084097A" w:rsidP="00D73D70"/>
    <w:p w14:paraId="036AAE2A" w14:textId="264E14B6" w:rsidR="00A219B3" w:rsidRDefault="00F949A6" w:rsidP="0084097A">
      <w:pPr>
        <w:jc w:val="center"/>
        <w:rPr>
          <w:b/>
          <w:lang w:val="en-US" w:eastAsia="ja-JP"/>
        </w:rPr>
      </w:pPr>
      <w:r>
        <w:rPr>
          <w:noProof/>
          <w:lang w:val="en-US" w:eastAsia="ja-JP"/>
        </w:rPr>
        <w:drawing>
          <wp:inline distT="0" distB="0" distL="0" distR="0" wp14:anchorId="42965BEB" wp14:editId="32400473">
            <wp:extent cx="4627776" cy="3521284"/>
            <wp:effectExtent l="0" t="0" r="0"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1D6DD2" w14:textId="7096D1A8" w:rsidR="00A219B3" w:rsidRDefault="00E21901" w:rsidP="0084097A">
      <w:pPr>
        <w:jc w:val="center"/>
        <w:rPr>
          <w:lang w:eastAsia="ja-JP"/>
        </w:rPr>
      </w:pPr>
      <w:r>
        <w:rPr>
          <w:rFonts w:hint="eastAsia"/>
          <w:lang w:eastAsia="ja-JP"/>
        </w:rPr>
        <w:t>Fig. XX1 Bit error rate performance in AWGN channel</w:t>
      </w:r>
    </w:p>
    <w:p w14:paraId="4EE5E1CD" w14:textId="77777777" w:rsidR="0084097A" w:rsidRDefault="0084097A">
      <w:pPr>
        <w:rPr>
          <w:lang w:eastAsia="ja-JP"/>
        </w:rPr>
      </w:pPr>
    </w:p>
    <w:p w14:paraId="64145CB9" w14:textId="35B98A14" w:rsidR="0084097A" w:rsidRDefault="0084097A">
      <w:pPr>
        <w:rPr>
          <w:lang w:eastAsia="ja-JP"/>
        </w:rPr>
      </w:pPr>
      <w:r>
        <w:t>Fig. XX</w:t>
      </w:r>
      <w:r w:rsidR="00D73D70">
        <w:t>3</w:t>
      </w:r>
      <w:r>
        <w:t xml:space="preserve"> shows the BER performance on the 4D-TCM 48QAM (referred to 48QAM in the figure), 5/6-coded 64QAM (64QAM in the figure), 4D-TCM 192QAM (referred to192QAM in the figure), and 7/8-coded 256QAM (256QAM in the figure) in </w:t>
      </w:r>
      <w:r w:rsidR="00D73D70">
        <w:t>IEEE 802.22 channel model A (CM A)</w:t>
      </w:r>
      <w:r>
        <w:t>.  At the 2x10</w:t>
      </w:r>
      <w:r w:rsidRPr="00D73D70">
        <w:rPr>
          <w:vertAlign w:val="superscript"/>
        </w:rPr>
        <w:t>-4</w:t>
      </w:r>
      <w:r>
        <w:t xml:space="preserve"> BER, the 4D-TCM 48 QAM has around </w:t>
      </w:r>
      <w:r w:rsidR="00D73D70">
        <w:t>7</w:t>
      </w:r>
      <w:r>
        <w:t xml:space="preserve">dB </w:t>
      </w:r>
      <w:r w:rsidR="00D73D70">
        <w:t xml:space="preserve">SNR </w:t>
      </w:r>
      <w:r>
        <w:t>gain comparing to the 5/6-coded 64 QAM. Similar performance gain appears in the case of 4D-TCM 192QAM.</w:t>
      </w:r>
    </w:p>
    <w:p w14:paraId="31A95760" w14:textId="127CF23F" w:rsidR="002A46EE" w:rsidRDefault="002A46EE" w:rsidP="0084097A">
      <w:pPr>
        <w:jc w:val="center"/>
        <w:rPr>
          <w:lang w:eastAsia="ja-JP"/>
        </w:rPr>
      </w:pPr>
      <w:r>
        <w:rPr>
          <w:noProof/>
          <w:lang w:val="en-US" w:eastAsia="ja-JP"/>
        </w:rPr>
        <w:lastRenderedPageBreak/>
        <w:drawing>
          <wp:inline distT="0" distB="0" distL="0" distR="0" wp14:anchorId="5E661C99" wp14:editId="6DAF7A3F">
            <wp:extent cx="4230249" cy="3434434"/>
            <wp:effectExtent l="0" t="0" r="1206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54D6D7" w14:textId="768780BF" w:rsidR="00E21901" w:rsidRDefault="002A46EE" w:rsidP="0084097A">
      <w:pPr>
        <w:jc w:val="center"/>
        <w:rPr>
          <w:lang w:eastAsia="ja-JP"/>
        </w:rPr>
      </w:pPr>
      <w:r>
        <w:rPr>
          <w:rFonts w:hint="eastAsia"/>
          <w:lang w:eastAsia="ja-JP"/>
        </w:rPr>
        <w:t>Fig. XX2 Bit error rate performance in IEEE 802.22 CM A</w:t>
      </w:r>
    </w:p>
    <w:p w14:paraId="3B2D9CAD" w14:textId="77777777" w:rsidR="002A46EE" w:rsidRDefault="002A46EE">
      <w:pPr>
        <w:rPr>
          <w:lang w:eastAsia="ja-JP"/>
        </w:rPr>
      </w:pPr>
    </w:p>
    <w:p w14:paraId="66B55B4B" w14:textId="66270427" w:rsidR="00D73D70" w:rsidRDefault="00D73D70">
      <w:pPr>
        <w:rPr>
          <w:lang w:eastAsia="ja-JP"/>
        </w:rPr>
      </w:pPr>
      <w:r>
        <w:t>Fig. XX4 shows the BER performance on the 4D-TCM 48QAM, 5/6-coded 64QAM, 4D-TCM 192QAM, and 7/8-coded 256QAM in IEEE 802.22 channel model B (CM B).  At the 2x10</w:t>
      </w:r>
      <w:r w:rsidRPr="001F4BE3">
        <w:rPr>
          <w:vertAlign w:val="superscript"/>
        </w:rPr>
        <w:t>-4</w:t>
      </w:r>
      <w:r>
        <w:t xml:space="preserve"> BER, the 4D-TCM 48 QAM has around 8dB SNR gain comparing to the 5/6-coded 64 QAM. In the cases of 4D-TCM 192QAM and 256 QAM, the error floor appears due to severe multipath channel condition. However, the 4D-TCM 192QAM still has some performance advantage.</w:t>
      </w:r>
    </w:p>
    <w:p w14:paraId="567C4C99" w14:textId="77777777" w:rsidR="00D73D70" w:rsidRDefault="00D73D70">
      <w:pPr>
        <w:rPr>
          <w:lang w:eastAsia="ja-JP"/>
        </w:rPr>
      </w:pPr>
    </w:p>
    <w:p w14:paraId="37C1D205" w14:textId="4DFFFCEC" w:rsidR="00E95AC1" w:rsidRDefault="002A46EE" w:rsidP="0084097A">
      <w:pPr>
        <w:jc w:val="center"/>
        <w:rPr>
          <w:noProof/>
          <w:lang w:val="en-US" w:eastAsia="ja-JP"/>
        </w:rPr>
      </w:pPr>
      <w:r>
        <w:rPr>
          <w:noProof/>
          <w:lang w:val="en-US" w:eastAsia="ja-JP"/>
        </w:rPr>
        <w:drawing>
          <wp:inline distT="0" distB="0" distL="0" distR="0" wp14:anchorId="468AC61E" wp14:editId="48788D82">
            <wp:extent cx="4392721" cy="3771522"/>
            <wp:effectExtent l="0" t="0" r="1905"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76BEDB" w14:textId="21A2E0BC" w:rsidR="002A46EE" w:rsidRDefault="002A46EE" w:rsidP="0084097A">
      <w:pPr>
        <w:jc w:val="center"/>
        <w:rPr>
          <w:lang w:eastAsia="ja-JP"/>
        </w:rPr>
      </w:pPr>
      <w:r>
        <w:rPr>
          <w:rFonts w:hint="eastAsia"/>
          <w:lang w:eastAsia="ja-JP"/>
        </w:rPr>
        <w:t>Fig. XX4 Bit error rate performance in IEEE 802.22 CM B</w:t>
      </w:r>
    </w:p>
    <w:p w14:paraId="2CD3DA47" w14:textId="2C89EDCC" w:rsidR="00DA2837" w:rsidRDefault="00DA2837" w:rsidP="00DA2837">
      <w:pPr>
        <w:pStyle w:val="1"/>
        <w:numPr>
          <w:ilvl w:val="0"/>
          <w:numId w:val="6"/>
        </w:numPr>
      </w:pPr>
      <w:r>
        <w:lastRenderedPageBreak/>
        <w:t>Conclusions</w:t>
      </w:r>
    </w:p>
    <w:p w14:paraId="56699BC6" w14:textId="27F64C7B" w:rsidR="00DA2837" w:rsidRPr="00DA2837" w:rsidRDefault="00DA2837" w:rsidP="00DA2837">
      <w:r>
        <w:t xml:space="preserve"> According to the simulation results in Figs. XX2, XX3 and XX4, the PHY mode 22 and 23  should be retained as optional PHY modes.</w:t>
      </w:r>
    </w:p>
    <w:p w14:paraId="00945AC0" w14:textId="77777777" w:rsidR="00E95AC1" w:rsidRDefault="00E95AC1" w:rsidP="00DA2837">
      <w:pPr>
        <w:pStyle w:val="1"/>
        <w:ind w:left="480"/>
        <w:rPr>
          <w:lang w:eastAsia="ja-JP"/>
        </w:rPr>
      </w:pPr>
    </w:p>
    <w:p w14:paraId="566A320B" w14:textId="77777777" w:rsidR="00E95AC1" w:rsidRDefault="00E95AC1">
      <w:pPr>
        <w:rPr>
          <w:lang w:eastAsia="ja-JP"/>
        </w:rPr>
      </w:pPr>
    </w:p>
    <w:p w14:paraId="430EB5FA" w14:textId="77777777" w:rsidR="00E95AC1" w:rsidRDefault="00E95AC1">
      <w:pPr>
        <w:rPr>
          <w:lang w:eastAsia="ja-JP"/>
        </w:rPr>
      </w:pPr>
    </w:p>
    <w:p w14:paraId="530ABF5E" w14:textId="77777777" w:rsidR="00D9448F" w:rsidRDefault="00D9448F">
      <w:pPr>
        <w:rPr>
          <w:b/>
          <w:sz w:val="24"/>
        </w:rPr>
      </w:pPr>
      <w:r>
        <w:rPr>
          <w:lang w:eastAsia="ja-JP"/>
        </w:rPr>
        <w:br w:type="page"/>
      </w:r>
      <w:r>
        <w:rPr>
          <w:b/>
          <w:sz w:val="24"/>
        </w:rPr>
        <w:lastRenderedPageBreak/>
        <w:t>References:</w:t>
      </w:r>
      <w:r w:rsidR="00FF65C8">
        <w:rPr>
          <w:b/>
          <w:sz w:val="24"/>
        </w:rPr>
        <w:t xml:space="preserve"> </w:t>
      </w:r>
    </w:p>
    <w:p w14:paraId="5E5C6E2F" w14:textId="77777777" w:rsidR="00FF65C8" w:rsidRDefault="00B20979" w:rsidP="00B20979">
      <w:pPr>
        <w:numPr>
          <w:ilvl w:val="0"/>
          <w:numId w:val="4"/>
        </w:numPr>
        <w:rPr>
          <w:sz w:val="24"/>
        </w:rPr>
      </w:pPr>
      <w:r>
        <w:rPr>
          <w:sz w:val="24"/>
        </w:rPr>
        <w:t xml:space="preserve">Shigenobu Sasaki, et al., </w:t>
      </w:r>
      <w:r w:rsidRPr="00B20979">
        <w:rPr>
          <w:bCs/>
          <w:sz w:val="24"/>
        </w:rPr>
        <w:t>PHY/MAC Proposal for the IEEE 802.22b,</w:t>
      </w:r>
      <w:r w:rsidRPr="00B20979">
        <w:rPr>
          <w:sz w:val="24"/>
        </w:rPr>
        <w:t xml:space="preserve"> </w:t>
      </w:r>
      <w:r>
        <w:rPr>
          <w:sz w:val="24"/>
        </w:rPr>
        <w:t>IEEE 802.22-12-0091/r1, Nov. 2012</w:t>
      </w:r>
    </w:p>
    <w:p w14:paraId="1AFBF6A4" w14:textId="77777777" w:rsidR="00B20979" w:rsidRDefault="00B20979" w:rsidP="00B20979">
      <w:pPr>
        <w:numPr>
          <w:ilvl w:val="0"/>
          <w:numId w:val="4"/>
        </w:numPr>
        <w:rPr>
          <w:sz w:val="24"/>
        </w:rPr>
      </w:pPr>
      <w:r w:rsidRPr="00B20979">
        <w:rPr>
          <w:sz w:val="24"/>
        </w:rPr>
        <w:t>L. F. Wei, “Trellis-coded modulation with multidimensional constellations,” IEEE Trans. Info. Theory, vol. 33, No. 4, pp. 483-531, 1987</w:t>
      </w:r>
    </w:p>
    <w:p w14:paraId="59D6E263" w14:textId="4BBA53FB" w:rsidR="00F964D6" w:rsidRDefault="00F964D6" w:rsidP="00B20979">
      <w:pPr>
        <w:numPr>
          <w:ilvl w:val="0"/>
          <w:numId w:val="4"/>
        </w:numPr>
        <w:rPr>
          <w:sz w:val="24"/>
        </w:rPr>
      </w:pPr>
      <w:r>
        <w:rPr>
          <w:sz w:val="24"/>
        </w:rPr>
        <w:t>Shigenobu Sasaki and Bingxuan Zhao, “</w:t>
      </w:r>
      <w:r>
        <w:t xml:space="preserve">Multidimentional TCM for the IEEE 802.22b,” Doc. </w:t>
      </w:r>
      <w:r>
        <w:rPr>
          <w:sz w:val="24"/>
        </w:rPr>
        <w:t>IEEE 802.22-13-0153/r0, Sep. 2013</w:t>
      </w:r>
    </w:p>
    <w:p w14:paraId="379176A7" w14:textId="6281BD75" w:rsidR="0084097A" w:rsidRPr="00B20979" w:rsidRDefault="0084097A" w:rsidP="00B20979">
      <w:pPr>
        <w:numPr>
          <w:ilvl w:val="0"/>
          <w:numId w:val="4"/>
        </w:numPr>
        <w:rPr>
          <w:sz w:val="24"/>
        </w:rPr>
      </w:pPr>
      <w:r>
        <w:rPr>
          <w:sz w:val="24"/>
        </w:rPr>
        <w:t>IEEE Std. 802.22-2011, July 2011.</w:t>
      </w:r>
    </w:p>
    <w:p w14:paraId="4F31A4D4" w14:textId="77777777" w:rsidR="00B20979" w:rsidRDefault="00B20979" w:rsidP="00B20979">
      <w:pPr>
        <w:ind w:left="480"/>
        <w:rPr>
          <w:sz w:val="24"/>
        </w:rPr>
      </w:pPr>
    </w:p>
    <w:p w14:paraId="3E8D3C25" w14:textId="77777777" w:rsidR="00B20979" w:rsidRDefault="00B20979" w:rsidP="00B20979">
      <w:pPr>
        <w:rPr>
          <w:sz w:val="24"/>
        </w:rPr>
      </w:pPr>
    </w:p>
    <w:p w14:paraId="4B493D32" w14:textId="77777777" w:rsidR="00B20979" w:rsidRPr="00B20979" w:rsidRDefault="00B20979" w:rsidP="00B20979">
      <w:pPr>
        <w:rPr>
          <w:sz w:val="24"/>
        </w:rPr>
      </w:pPr>
    </w:p>
    <w:p w14:paraId="53BD7444" w14:textId="77777777" w:rsidR="00D9448F" w:rsidRDefault="00D9448F"/>
    <w:sectPr w:rsidR="00D9448F" w:rsidSect="00D9448F">
      <w:headerReference w:type="default" r:id="rId19"/>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8C965" w14:textId="77777777" w:rsidR="003C2632" w:rsidRDefault="003C2632">
      <w:r>
        <w:separator/>
      </w:r>
    </w:p>
  </w:endnote>
  <w:endnote w:type="continuationSeparator" w:id="0">
    <w:p w14:paraId="2BCABD9A" w14:textId="77777777" w:rsidR="003C2632" w:rsidRDefault="003C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Microsoft Yi Baiti">
    <w:panose1 w:val="03000500000000000000"/>
    <w:charset w:val="00"/>
    <w:family w:val="auto"/>
    <w:pitch w:val="variable"/>
    <w:sig w:usb0="80000003" w:usb1="00010402" w:usb2="00080002"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D42D" w14:textId="77777777" w:rsidR="003C2632" w:rsidRDefault="003C2632">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F46BF">
      <w:rPr>
        <w:noProof/>
      </w:rPr>
      <w:t>2</w:t>
    </w:r>
    <w:r>
      <w:fldChar w:fldCharType="end"/>
    </w:r>
    <w:r>
      <w:tab/>
    </w:r>
    <w:fldSimple w:instr=" COMMENTS  \* MERGEFORMAT ">
      <w:r>
        <w:t>Shigenobu Sasaki, Niigta University</w:t>
      </w:r>
    </w:fldSimple>
  </w:p>
  <w:p w14:paraId="3C67BEA7" w14:textId="77777777" w:rsidR="003C2632" w:rsidRDefault="003C26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3916" w14:textId="77777777" w:rsidR="003C2632" w:rsidRDefault="003C2632">
      <w:r>
        <w:separator/>
      </w:r>
    </w:p>
  </w:footnote>
  <w:footnote w:type="continuationSeparator" w:id="0">
    <w:p w14:paraId="0C215AE1" w14:textId="77777777" w:rsidR="003C2632" w:rsidRDefault="003C26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8671" w14:textId="31739476" w:rsidR="003C2632" w:rsidRDefault="003C2632">
    <w:pPr>
      <w:pStyle w:val="a4"/>
      <w:tabs>
        <w:tab w:val="clear" w:pos="6480"/>
        <w:tab w:val="center" w:pos="4680"/>
        <w:tab w:val="right" w:pos="9360"/>
      </w:tabs>
    </w:pPr>
    <w:fldSimple w:instr=" KEYWORDS  \* MERGEFORMAT ">
      <w:r>
        <w:t>March 2014</w:t>
      </w:r>
    </w:fldSimple>
    <w:r>
      <w:tab/>
    </w:r>
    <w:r>
      <w:tab/>
    </w:r>
    <w:fldSimple w:instr=" TITLE  \* MERGEFORMAT ">
      <w:r w:rsidR="007F46BF">
        <w:t>doc.: IEEE 802.22-14/0055r0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D41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844BB"/>
    <w:multiLevelType w:val="hybridMultilevel"/>
    <w:tmpl w:val="1C4C146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CF1028A"/>
    <w:multiLevelType w:val="hybridMultilevel"/>
    <w:tmpl w:val="FAE4C990"/>
    <w:lvl w:ilvl="0" w:tplc="4B160750">
      <w:start w:val="1"/>
      <w:numFmt w:val="decimal"/>
      <w:lvlText w:val="[%1]"/>
      <w:lvlJc w:val="left"/>
      <w:pPr>
        <w:ind w:left="480" w:hanging="480"/>
      </w:pPr>
      <w:rPr>
        <w:rFonts w:hint="eastAsia"/>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790579F"/>
    <w:multiLevelType w:val="hybridMultilevel"/>
    <w:tmpl w:val="6EC60C40"/>
    <w:lvl w:ilvl="0" w:tplc="E0ACC018">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5850804"/>
    <w:multiLevelType w:val="hybridMultilevel"/>
    <w:tmpl w:val="7E30972E"/>
    <w:lvl w:ilvl="0" w:tplc="4B160750">
      <w:start w:val="1"/>
      <w:numFmt w:val="decimal"/>
      <w:lvlText w:val="[%1]"/>
      <w:lvlJc w:val="left"/>
      <w:pPr>
        <w:ind w:left="480" w:hanging="480"/>
      </w:pPr>
      <w:rPr>
        <w:rFonts w:hint="eastAsia"/>
        <w:b w:val="0"/>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1374F94"/>
    <w:multiLevelType w:val="hybridMultilevel"/>
    <w:tmpl w:val="3974A502"/>
    <w:lvl w:ilvl="0" w:tplc="F0B60062">
      <w:start w:val="1"/>
      <w:numFmt w:val="decimal"/>
      <w:lvlText w:val="%1."/>
      <w:lvlJc w:val="left"/>
      <w:pPr>
        <w:tabs>
          <w:tab w:val="num" w:pos="720"/>
        </w:tabs>
        <w:ind w:left="720" w:hanging="360"/>
      </w:pPr>
    </w:lvl>
    <w:lvl w:ilvl="1" w:tplc="2D627688">
      <w:start w:val="1"/>
      <w:numFmt w:val="decimal"/>
      <w:lvlText w:val="%2."/>
      <w:lvlJc w:val="left"/>
      <w:pPr>
        <w:tabs>
          <w:tab w:val="num" w:pos="1440"/>
        </w:tabs>
        <w:ind w:left="1440" w:hanging="360"/>
      </w:pPr>
    </w:lvl>
    <w:lvl w:ilvl="2" w:tplc="DD1031C6" w:tentative="1">
      <w:start w:val="1"/>
      <w:numFmt w:val="decimal"/>
      <w:lvlText w:val="%3."/>
      <w:lvlJc w:val="left"/>
      <w:pPr>
        <w:tabs>
          <w:tab w:val="num" w:pos="2160"/>
        </w:tabs>
        <w:ind w:left="2160" w:hanging="360"/>
      </w:pPr>
    </w:lvl>
    <w:lvl w:ilvl="3" w:tplc="F0069D88" w:tentative="1">
      <w:start w:val="1"/>
      <w:numFmt w:val="decimal"/>
      <w:lvlText w:val="%4."/>
      <w:lvlJc w:val="left"/>
      <w:pPr>
        <w:tabs>
          <w:tab w:val="num" w:pos="2880"/>
        </w:tabs>
        <w:ind w:left="2880" w:hanging="360"/>
      </w:pPr>
    </w:lvl>
    <w:lvl w:ilvl="4" w:tplc="EBB03D8E" w:tentative="1">
      <w:start w:val="1"/>
      <w:numFmt w:val="decimal"/>
      <w:lvlText w:val="%5."/>
      <w:lvlJc w:val="left"/>
      <w:pPr>
        <w:tabs>
          <w:tab w:val="num" w:pos="3600"/>
        </w:tabs>
        <w:ind w:left="3600" w:hanging="360"/>
      </w:pPr>
    </w:lvl>
    <w:lvl w:ilvl="5" w:tplc="04F0E89A" w:tentative="1">
      <w:start w:val="1"/>
      <w:numFmt w:val="decimal"/>
      <w:lvlText w:val="%6."/>
      <w:lvlJc w:val="left"/>
      <w:pPr>
        <w:tabs>
          <w:tab w:val="num" w:pos="4320"/>
        </w:tabs>
        <w:ind w:left="4320" w:hanging="360"/>
      </w:pPr>
    </w:lvl>
    <w:lvl w:ilvl="6" w:tplc="0CE050B4" w:tentative="1">
      <w:start w:val="1"/>
      <w:numFmt w:val="decimal"/>
      <w:lvlText w:val="%7."/>
      <w:lvlJc w:val="left"/>
      <w:pPr>
        <w:tabs>
          <w:tab w:val="num" w:pos="5040"/>
        </w:tabs>
        <w:ind w:left="5040" w:hanging="360"/>
      </w:pPr>
    </w:lvl>
    <w:lvl w:ilvl="7" w:tplc="5956CDD0" w:tentative="1">
      <w:start w:val="1"/>
      <w:numFmt w:val="decimal"/>
      <w:lvlText w:val="%8."/>
      <w:lvlJc w:val="left"/>
      <w:pPr>
        <w:tabs>
          <w:tab w:val="num" w:pos="5760"/>
        </w:tabs>
        <w:ind w:left="5760" w:hanging="360"/>
      </w:pPr>
    </w:lvl>
    <w:lvl w:ilvl="8" w:tplc="4D8ECC42" w:tentative="1">
      <w:start w:val="1"/>
      <w:numFmt w:val="decimal"/>
      <w:lvlText w:val="%9."/>
      <w:lvlJc w:val="left"/>
      <w:pPr>
        <w:tabs>
          <w:tab w:val="num" w:pos="6480"/>
        </w:tabs>
        <w:ind w:left="6480" w:hanging="360"/>
      </w:pPr>
    </w:lvl>
  </w:abstractNum>
  <w:abstractNum w:abstractNumId="6">
    <w:nsid w:val="75B02407"/>
    <w:multiLevelType w:val="hybridMultilevel"/>
    <w:tmpl w:val="7E46D186"/>
    <w:lvl w:ilvl="0" w:tplc="5F0472A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C8"/>
    <w:rsid w:val="00014466"/>
    <w:rsid w:val="00044C00"/>
    <w:rsid w:val="00096359"/>
    <w:rsid w:val="000D57DF"/>
    <w:rsid w:val="00140F72"/>
    <w:rsid w:val="001D4A41"/>
    <w:rsid w:val="002A46EE"/>
    <w:rsid w:val="002F3DA8"/>
    <w:rsid w:val="00355FEE"/>
    <w:rsid w:val="00394718"/>
    <w:rsid w:val="003A1975"/>
    <w:rsid w:val="003C2632"/>
    <w:rsid w:val="003E7F24"/>
    <w:rsid w:val="00422EEC"/>
    <w:rsid w:val="0043738E"/>
    <w:rsid w:val="004B6FF6"/>
    <w:rsid w:val="004D0533"/>
    <w:rsid w:val="00590CED"/>
    <w:rsid w:val="006C7574"/>
    <w:rsid w:val="006E3A19"/>
    <w:rsid w:val="00795935"/>
    <w:rsid w:val="007A462E"/>
    <w:rsid w:val="007F46BF"/>
    <w:rsid w:val="00826856"/>
    <w:rsid w:val="0084097A"/>
    <w:rsid w:val="00885B7F"/>
    <w:rsid w:val="008B12BE"/>
    <w:rsid w:val="00923C4A"/>
    <w:rsid w:val="00961D93"/>
    <w:rsid w:val="00A219B3"/>
    <w:rsid w:val="00AD223D"/>
    <w:rsid w:val="00AF51BF"/>
    <w:rsid w:val="00B20979"/>
    <w:rsid w:val="00B27E12"/>
    <w:rsid w:val="00B82B65"/>
    <w:rsid w:val="00B907F0"/>
    <w:rsid w:val="00B93BD7"/>
    <w:rsid w:val="00BE2526"/>
    <w:rsid w:val="00BF7A38"/>
    <w:rsid w:val="00C41AC2"/>
    <w:rsid w:val="00C4410F"/>
    <w:rsid w:val="00C54E1C"/>
    <w:rsid w:val="00C94D01"/>
    <w:rsid w:val="00CA4B3B"/>
    <w:rsid w:val="00CC2613"/>
    <w:rsid w:val="00CD4DAC"/>
    <w:rsid w:val="00CD664D"/>
    <w:rsid w:val="00CF57F2"/>
    <w:rsid w:val="00D73D70"/>
    <w:rsid w:val="00D9448F"/>
    <w:rsid w:val="00DA2837"/>
    <w:rsid w:val="00DE5DD9"/>
    <w:rsid w:val="00E21901"/>
    <w:rsid w:val="00E95AC1"/>
    <w:rsid w:val="00EB345F"/>
    <w:rsid w:val="00ED33A5"/>
    <w:rsid w:val="00EE2B85"/>
    <w:rsid w:val="00F34D88"/>
    <w:rsid w:val="00F54117"/>
    <w:rsid w:val="00F949A6"/>
    <w:rsid w:val="00F964D6"/>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640E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 w:type="table" w:styleId="aa">
    <w:name w:val="Table Grid"/>
    <w:basedOn w:val="a1"/>
    <w:uiPriority w:val="59"/>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71"/>
    <w:rsid w:val="00014466"/>
    <w:rPr>
      <w:sz w:val="22"/>
      <w:lang w:val="en-GB" w:eastAsia="en-US"/>
    </w:rPr>
  </w:style>
  <w:style w:type="character" w:styleId="ac">
    <w:name w:val="annotation reference"/>
    <w:basedOn w:val="a0"/>
    <w:uiPriority w:val="99"/>
    <w:semiHidden/>
    <w:unhideWhenUsed/>
    <w:rsid w:val="00BE2526"/>
    <w:rPr>
      <w:sz w:val="18"/>
      <w:szCs w:val="18"/>
    </w:rPr>
  </w:style>
  <w:style w:type="paragraph" w:styleId="ad">
    <w:name w:val="annotation text"/>
    <w:basedOn w:val="a"/>
    <w:link w:val="ae"/>
    <w:uiPriority w:val="99"/>
    <w:semiHidden/>
    <w:unhideWhenUsed/>
    <w:rsid w:val="00BE2526"/>
  </w:style>
  <w:style w:type="character" w:customStyle="1" w:styleId="ae">
    <w:name w:val="コメント文字列 (文字)"/>
    <w:basedOn w:val="a0"/>
    <w:link w:val="ad"/>
    <w:uiPriority w:val="99"/>
    <w:semiHidden/>
    <w:rsid w:val="00BE2526"/>
    <w:rPr>
      <w:sz w:val="22"/>
      <w:lang w:val="en-GB" w:eastAsia="en-US"/>
    </w:rPr>
  </w:style>
  <w:style w:type="paragraph" w:styleId="af">
    <w:name w:val="annotation subject"/>
    <w:basedOn w:val="ad"/>
    <w:next w:val="ad"/>
    <w:link w:val="af0"/>
    <w:uiPriority w:val="99"/>
    <w:semiHidden/>
    <w:unhideWhenUsed/>
    <w:rsid w:val="00BE2526"/>
    <w:rPr>
      <w:b/>
      <w:bCs/>
    </w:rPr>
  </w:style>
  <w:style w:type="character" w:customStyle="1" w:styleId="af0">
    <w:name w:val="コメント内容 (文字)"/>
    <w:basedOn w:val="ae"/>
    <w:link w:val="af"/>
    <w:uiPriority w:val="99"/>
    <w:semiHidden/>
    <w:rsid w:val="00BE2526"/>
    <w:rPr>
      <w:b/>
      <w:bCs/>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 w:type="table" w:styleId="aa">
    <w:name w:val="Table Grid"/>
    <w:basedOn w:val="a1"/>
    <w:uiPriority w:val="59"/>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71"/>
    <w:rsid w:val="00014466"/>
    <w:rPr>
      <w:sz w:val="22"/>
      <w:lang w:val="en-GB" w:eastAsia="en-US"/>
    </w:rPr>
  </w:style>
  <w:style w:type="character" w:styleId="ac">
    <w:name w:val="annotation reference"/>
    <w:basedOn w:val="a0"/>
    <w:uiPriority w:val="99"/>
    <w:semiHidden/>
    <w:unhideWhenUsed/>
    <w:rsid w:val="00BE2526"/>
    <w:rPr>
      <w:sz w:val="18"/>
      <w:szCs w:val="18"/>
    </w:rPr>
  </w:style>
  <w:style w:type="paragraph" w:styleId="ad">
    <w:name w:val="annotation text"/>
    <w:basedOn w:val="a"/>
    <w:link w:val="ae"/>
    <w:uiPriority w:val="99"/>
    <w:semiHidden/>
    <w:unhideWhenUsed/>
    <w:rsid w:val="00BE2526"/>
  </w:style>
  <w:style w:type="character" w:customStyle="1" w:styleId="ae">
    <w:name w:val="コメント文字列 (文字)"/>
    <w:basedOn w:val="a0"/>
    <w:link w:val="ad"/>
    <w:uiPriority w:val="99"/>
    <w:semiHidden/>
    <w:rsid w:val="00BE2526"/>
    <w:rPr>
      <w:sz w:val="22"/>
      <w:lang w:val="en-GB" w:eastAsia="en-US"/>
    </w:rPr>
  </w:style>
  <w:style w:type="paragraph" w:styleId="af">
    <w:name w:val="annotation subject"/>
    <w:basedOn w:val="ad"/>
    <w:next w:val="ad"/>
    <w:link w:val="af0"/>
    <w:uiPriority w:val="99"/>
    <w:semiHidden/>
    <w:unhideWhenUsed/>
    <w:rsid w:val="00BE2526"/>
    <w:rPr>
      <w:b/>
      <w:bCs/>
    </w:rPr>
  </w:style>
  <w:style w:type="character" w:customStyle="1" w:styleId="af0">
    <w:name w:val="コメント内容 (文字)"/>
    <w:basedOn w:val="ae"/>
    <w:link w:val="af"/>
    <w:uiPriority w:val="99"/>
    <w:semiHidden/>
    <w:rsid w:val="00BE2526"/>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13861">
      <w:bodyDiv w:val="1"/>
      <w:marLeft w:val="0"/>
      <w:marRight w:val="0"/>
      <w:marTop w:val="0"/>
      <w:marBottom w:val="0"/>
      <w:divBdr>
        <w:top w:val="none" w:sz="0" w:space="0" w:color="auto"/>
        <w:left w:val="none" w:sz="0" w:space="0" w:color="auto"/>
        <w:bottom w:val="none" w:sz="0" w:space="0" w:color="auto"/>
        <w:right w:val="none" w:sz="0" w:space="0" w:color="auto"/>
      </w:divBdr>
      <w:divsChild>
        <w:div w:id="1218978136">
          <w:marLeft w:val="720"/>
          <w:marRight w:val="0"/>
          <w:marTop w:val="96"/>
          <w:marBottom w:val="0"/>
          <w:divBdr>
            <w:top w:val="none" w:sz="0" w:space="0" w:color="auto"/>
            <w:left w:val="none" w:sz="0" w:space="0" w:color="auto"/>
            <w:bottom w:val="none" w:sz="0" w:space="0" w:color="auto"/>
            <w:right w:val="none" w:sz="0" w:space="0" w:color="auto"/>
          </w:divBdr>
        </w:div>
      </w:divsChild>
    </w:div>
    <w:div w:id="1835797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image" Target="media/image1.emf"/><Relationship Id="rId16" Type="http://schemas.openxmlformats.org/officeDocument/2006/relationships/chart" Target="charts/chart1.xml"/><Relationship Id="rId17" Type="http://schemas.openxmlformats.org/officeDocument/2006/relationships/chart" Target="charts/chart2.xml"/><Relationship Id="rId18" Type="http://schemas.openxmlformats.org/officeDocument/2006/relationships/chart" Target="charts/chart3.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kojiro\Dropbox\2013-03AP-RASC\2013MD-TCM\2014-03&#12471;&#12511;&#12517;&#12524;&#12540;&#12471;&#12519;&#12531;&#32080;&#26524;.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Users\kojiro\Dropbox\2013-03AP-RASC\2013MD-TCM\2014-03&#12471;&#12511;&#12517;&#12524;&#12540;&#12471;&#12519;&#12531;&#32080;&#26524;.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Users\kojiro\Dropbox\2013-03AP-RASC\2013MD-TCM\2014-03&#12471;&#12511;&#12517;&#12524;&#12540;&#12471;&#12519;&#12531;&#32080;&#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885669951633"/>
          <c:y val="0.0273889763779528"/>
          <c:w val="0.762476765875963"/>
          <c:h val="0.845284864391951"/>
        </c:manualLayout>
      </c:layout>
      <c:scatterChart>
        <c:scatterStyle val="lineMarker"/>
        <c:varyColors val="0"/>
        <c:ser>
          <c:idx val="0"/>
          <c:order val="0"/>
          <c:tx>
            <c:strRef>
              <c:f>Sheet1!$B$87</c:f>
              <c:strCache>
                <c:ptCount val="1"/>
                <c:pt idx="0">
                  <c:v>48QAM</c:v>
                </c:pt>
              </c:strCache>
            </c:strRef>
          </c:tx>
          <c:spPr>
            <a:ln>
              <a:solidFill>
                <a:sysClr val="windowText" lastClr="000000"/>
              </a:solidFill>
            </a:ln>
          </c:spPr>
          <c:marker>
            <c:symbol val="circle"/>
            <c:size val="9"/>
            <c:spPr>
              <a:solidFill>
                <a:sysClr val="window" lastClr="FFFFFF"/>
              </a:solidFill>
              <a:ln>
                <a:solidFill>
                  <a:sysClr val="windowText" lastClr="000000"/>
                </a:solidFill>
              </a:ln>
            </c:spPr>
          </c:marker>
          <c:xVal>
            <c:numRef>
              <c:f>Sheet1!$A$88:$A$158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Sheet1!$B$88:$B$158</c:f>
              <c:numCache>
                <c:formatCode>0.00E+00</c:formatCode>
                <c:ptCount val="71"/>
                <c:pt idx="0">
                  <c:v>0.33153</c:v>
                </c:pt>
                <c:pt idx="1">
                  <c:v>0.31083</c:v>
                </c:pt>
                <c:pt idx="2">
                  <c:v>0.28417</c:v>
                </c:pt>
                <c:pt idx="3">
                  <c:v>0.28236</c:v>
                </c:pt>
                <c:pt idx="4">
                  <c:v>0.24139</c:v>
                </c:pt>
                <c:pt idx="5">
                  <c:v>0.22361</c:v>
                </c:pt>
                <c:pt idx="6">
                  <c:v>0.20264</c:v>
                </c:pt>
                <c:pt idx="7">
                  <c:v>0.14958</c:v>
                </c:pt>
                <c:pt idx="8">
                  <c:v>0.074792</c:v>
                </c:pt>
                <c:pt idx="9">
                  <c:v>0.018594</c:v>
                </c:pt>
                <c:pt idx="10">
                  <c:v>0.00044699</c:v>
                </c:pt>
                <c:pt idx="11">
                  <c:v>6.5947E-6</c:v>
                </c:pt>
                <c:pt idx="12" formatCode="General">
                  <c:v>0.0</c:v>
                </c:pt>
              </c:numCache>
            </c:numRef>
          </c:yVal>
          <c:smooth val="0"/>
        </c:ser>
        <c:ser>
          <c:idx val="1"/>
          <c:order val="1"/>
          <c:tx>
            <c:strRef>
              <c:f>Sheet1!$C$87</c:f>
              <c:strCache>
                <c:ptCount val="1"/>
                <c:pt idx="0">
                  <c:v>64QAM</c:v>
                </c:pt>
              </c:strCache>
            </c:strRef>
          </c:tx>
          <c:spPr>
            <a:ln>
              <a:solidFill>
                <a:sysClr val="windowText" lastClr="000000"/>
              </a:solidFill>
              <a:prstDash val="dash"/>
            </a:ln>
          </c:spPr>
          <c:marker>
            <c:symbol val="circle"/>
            <c:size val="7"/>
            <c:spPr>
              <a:solidFill>
                <a:sysClr val="window" lastClr="FFFFFF"/>
              </a:solidFill>
              <a:ln>
                <a:solidFill>
                  <a:sysClr val="windowText" lastClr="000000"/>
                </a:solidFill>
              </a:ln>
            </c:spPr>
          </c:marker>
          <c:xVal>
            <c:numRef>
              <c:f>Sheet1!$A$88:$A$158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Sheet1!$C$88:$C$158</c:f>
              <c:numCache>
                <c:formatCode>0.00E+00</c:formatCode>
                <c:ptCount val="71"/>
                <c:pt idx="0">
                  <c:v>0.49096</c:v>
                </c:pt>
                <c:pt idx="1">
                  <c:v>0.49277</c:v>
                </c:pt>
                <c:pt idx="2">
                  <c:v>0.49527</c:v>
                </c:pt>
                <c:pt idx="3">
                  <c:v>0.48679</c:v>
                </c:pt>
                <c:pt idx="4">
                  <c:v>0.48652</c:v>
                </c:pt>
                <c:pt idx="5">
                  <c:v>0.44384</c:v>
                </c:pt>
                <c:pt idx="6">
                  <c:v>0.42827</c:v>
                </c:pt>
                <c:pt idx="7">
                  <c:v>0.40464</c:v>
                </c:pt>
                <c:pt idx="8">
                  <c:v>0.36739</c:v>
                </c:pt>
                <c:pt idx="9">
                  <c:v>0.31165</c:v>
                </c:pt>
                <c:pt idx="10">
                  <c:v>0.23478</c:v>
                </c:pt>
                <c:pt idx="11">
                  <c:v>0.15791</c:v>
                </c:pt>
                <c:pt idx="12">
                  <c:v>0.085627</c:v>
                </c:pt>
                <c:pt idx="13">
                  <c:v>0.037149</c:v>
                </c:pt>
                <c:pt idx="14">
                  <c:v>0.0064258</c:v>
                </c:pt>
                <c:pt idx="15">
                  <c:v>0.0011358</c:v>
                </c:pt>
                <c:pt idx="16">
                  <c:v>8.8076E-5</c:v>
                </c:pt>
                <c:pt idx="17">
                  <c:v>2.9958E-6</c:v>
                </c:pt>
                <c:pt idx="18" formatCode="General">
                  <c:v>0.0</c:v>
                </c:pt>
                <c:pt idx="19" formatCode="General">
                  <c:v>0.0</c:v>
                </c:pt>
                <c:pt idx="20" formatCode="General">
                  <c:v>0.0</c:v>
                </c:pt>
                <c:pt idx="21" formatCode="General">
                  <c:v>0.0</c:v>
                </c:pt>
                <c:pt idx="22" formatCode="General">
                  <c:v>0.0</c:v>
                </c:pt>
                <c:pt idx="23" formatCode="General">
                  <c:v>0.0</c:v>
                </c:pt>
                <c:pt idx="24" formatCode="General">
                  <c:v>0.0</c:v>
                </c:pt>
                <c:pt idx="25" formatCode="General">
                  <c:v>0.0</c:v>
                </c:pt>
                <c:pt idx="26" formatCode="General">
                  <c:v>0.0</c:v>
                </c:pt>
                <c:pt idx="27" formatCode="General">
                  <c:v>0.0</c:v>
                </c:pt>
                <c:pt idx="28" formatCode="General">
                  <c:v>0.0</c:v>
                </c:pt>
                <c:pt idx="29" formatCode="General">
                  <c:v>0.0</c:v>
                </c:pt>
                <c:pt idx="30" formatCode="General">
                  <c:v>0.0</c:v>
                </c:pt>
                <c:pt idx="31" formatCode="General">
                  <c:v>0.0</c:v>
                </c:pt>
                <c:pt idx="32" formatCode="General">
                  <c:v>0.0</c:v>
                </c:pt>
                <c:pt idx="33" formatCode="General">
                  <c:v>0.0</c:v>
                </c:pt>
                <c:pt idx="34" formatCode="General">
                  <c:v>0.0</c:v>
                </c:pt>
                <c:pt idx="35" formatCode="General">
                  <c:v>0.0</c:v>
                </c:pt>
                <c:pt idx="36" formatCode="General">
                  <c:v>0.0</c:v>
                </c:pt>
                <c:pt idx="37" formatCode="General">
                  <c:v>0.0</c:v>
                </c:pt>
                <c:pt idx="38" formatCode="General">
                  <c:v>0.0</c:v>
                </c:pt>
                <c:pt idx="39" formatCode="General">
                  <c:v>0.0</c:v>
                </c:pt>
                <c:pt idx="40" formatCode="General">
                  <c:v>0.0</c:v>
                </c:pt>
                <c:pt idx="41" formatCode="General">
                  <c:v>0.0</c:v>
                </c:pt>
                <c:pt idx="42" formatCode="General">
                  <c:v>0.0</c:v>
                </c:pt>
                <c:pt idx="43" formatCode="General">
                  <c:v>0.0</c:v>
                </c:pt>
                <c:pt idx="44" formatCode="General">
                  <c:v>0.0</c:v>
                </c:pt>
                <c:pt idx="45" formatCode="General">
                  <c:v>0.0</c:v>
                </c:pt>
                <c:pt idx="46" formatCode="General">
                  <c:v>0.0</c:v>
                </c:pt>
                <c:pt idx="47" formatCode="General">
                  <c:v>0.0</c:v>
                </c:pt>
                <c:pt idx="48" formatCode="General">
                  <c:v>0.0</c:v>
                </c:pt>
                <c:pt idx="49" formatCode="General">
                  <c:v>0.0</c:v>
                </c:pt>
                <c:pt idx="50" formatCode="General">
                  <c:v>0.0</c:v>
                </c:pt>
                <c:pt idx="51" formatCode="General">
                  <c:v>0.0</c:v>
                </c:pt>
                <c:pt idx="52" formatCode="General">
                  <c:v>0.0</c:v>
                </c:pt>
                <c:pt idx="53" formatCode="General">
                  <c:v>0.0</c:v>
                </c:pt>
                <c:pt idx="54" formatCode="General">
                  <c:v>0.0</c:v>
                </c:pt>
                <c:pt idx="55" formatCode="General">
                  <c:v>0.0</c:v>
                </c:pt>
                <c:pt idx="56" formatCode="General">
                  <c:v>0.0</c:v>
                </c:pt>
                <c:pt idx="57" formatCode="General">
                  <c:v>0.0</c:v>
                </c:pt>
                <c:pt idx="58" formatCode="General">
                  <c:v>0.0</c:v>
                </c:pt>
                <c:pt idx="59" formatCode="General">
                  <c:v>0.0</c:v>
                </c:pt>
                <c:pt idx="60" formatCode="General">
                  <c:v>0.0</c:v>
                </c:pt>
                <c:pt idx="61" formatCode="General">
                  <c:v>0.0</c:v>
                </c:pt>
                <c:pt idx="62" formatCode="General">
                  <c:v>0.0</c:v>
                </c:pt>
                <c:pt idx="63" formatCode="General">
                  <c:v>0.0</c:v>
                </c:pt>
                <c:pt idx="64" formatCode="General">
                  <c:v>0.0</c:v>
                </c:pt>
                <c:pt idx="65" formatCode="General">
                  <c:v>0.0</c:v>
                </c:pt>
                <c:pt idx="66" formatCode="General">
                  <c:v>0.0</c:v>
                </c:pt>
                <c:pt idx="67" formatCode="General">
                  <c:v>0.0</c:v>
                </c:pt>
                <c:pt idx="68" formatCode="General">
                  <c:v>0.0</c:v>
                </c:pt>
                <c:pt idx="69" formatCode="General">
                  <c:v>0.0</c:v>
                </c:pt>
                <c:pt idx="70" formatCode="General">
                  <c:v>0.0</c:v>
                </c:pt>
              </c:numCache>
            </c:numRef>
          </c:yVal>
          <c:smooth val="0"/>
        </c:ser>
        <c:ser>
          <c:idx val="2"/>
          <c:order val="2"/>
          <c:tx>
            <c:strRef>
              <c:f>Sheet1!$D$87</c:f>
              <c:strCache>
                <c:ptCount val="1"/>
                <c:pt idx="0">
                  <c:v>192QAM</c:v>
                </c:pt>
              </c:strCache>
            </c:strRef>
          </c:tx>
          <c:spPr>
            <a:ln>
              <a:solidFill>
                <a:sysClr val="windowText" lastClr="000000"/>
              </a:solidFill>
            </a:ln>
          </c:spPr>
          <c:marker>
            <c:symbol val="none"/>
          </c:marker>
          <c:xVal>
            <c:numRef>
              <c:f>Sheet1!$A$88:$A$158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Sheet1!$D$88:$D$158</c:f>
              <c:numCache>
                <c:formatCode>0.00E+00</c:formatCode>
                <c:ptCount val="71"/>
                <c:pt idx="0">
                  <c:v>0.31925</c:v>
                </c:pt>
                <c:pt idx="1">
                  <c:v>0.30982</c:v>
                </c:pt>
                <c:pt idx="2">
                  <c:v>0.29812</c:v>
                </c:pt>
                <c:pt idx="3">
                  <c:v>0.29504</c:v>
                </c:pt>
                <c:pt idx="4">
                  <c:v>0.26627</c:v>
                </c:pt>
                <c:pt idx="5">
                  <c:v>0.25526</c:v>
                </c:pt>
                <c:pt idx="6">
                  <c:v>0.23899</c:v>
                </c:pt>
                <c:pt idx="7">
                  <c:v>0.22827</c:v>
                </c:pt>
                <c:pt idx="8">
                  <c:v>0.21349</c:v>
                </c:pt>
                <c:pt idx="9">
                  <c:v>0.19494</c:v>
                </c:pt>
                <c:pt idx="10">
                  <c:v>0.18403</c:v>
                </c:pt>
                <c:pt idx="11">
                  <c:v>0.16766</c:v>
                </c:pt>
                <c:pt idx="12">
                  <c:v>0.14623</c:v>
                </c:pt>
                <c:pt idx="13">
                  <c:v>0.11577</c:v>
                </c:pt>
                <c:pt idx="14">
                  <c:v>0.061508</c:v>
                </c:pt>
                <c:pt idx="15">
                  <c:v>0.01126</c:v>
                </c:pt>
                <c:pt idx="16">
                  <c:v>0.00056308</c:v>
                </c:pt>
                <c:pt idx="17">
                  <c:v>1.1777E-5</c:v>
                </c:pt>
                <c:pt idx="18">
                  <c:v>3.3934E-6</c:v>
                </c:pt>
                <c:pt idx="19" formatCode="General">
                  <c:v>0.0</c:v>
                </c:pt>
              </c:numCache>
            </c:numRef>
          </c:yVal>
          <c:smooth val="0"/>
        </c:ser>
        <c:ser>
          <c:idx val="3"/>
          <c:order val="3"/>
          <c:tx>
            <c:strRef>
              <c:f>Sheet1!$E$87</c:f>
              <c:strCache>
                <c:ptCount val="1"/>
                <c:pt idx="0">
                  <c:v>256QAM</c:v>
                </c:pt>
              </c:strCache>
            </c:strRef>
          </c:tx>
          <c:spPr>
            <a:ln>
              <a:solidFill>
                <a:sysClr val="windowText" lastClr="000000"/>
              </a:solidFill>
              <a:prstDash val="dash"/>
            </a:ln>
          </c:spPr>
          <c:marker>
            <c:symbol val="none"/>
          </c:marker>
          <c:xVal>
            <c:numRef>
              <c:f>Sheet1!$A$88:$A$158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Sheet1!$E$88:$E$158</c:f>
              <c:numCache>
                <c:formatCode>0.00E+00</c:formatCode>
                <c:ptCount val="71"/>
                <c:pt idx="0">
                  <c:v>0.49126</c:v>
                </c:pt>
                <c:pt idx="1">
                  <c:v>0.49394</c:v>
                </c:pt>
                <c:pt idx="2">
                  <c:v>0.48561</c:v>
                </c:pt>
                <c:pt idx="3">
                  <c:v>0.4866</c:v>
                </c:pt>
                <c:pt idx="4">
                  <c:v>0.47796</c:v>
                </c:pt>
                <c:pt idx="5">
                  <c:v>0.47915</c:v>
                </c:pt>
                <c:pt idx="6">
                  <c:v>0.45384</c:v>
                </c:pt>
                <c:pt idx="7">
                  <c:v>0.45444</c:v>
                </c:pt>
                <c:pt idx="8">
                  <c:v>0.45861</c:v>
                </c:pt>
                <c:pt idx="9">
                  <c:v>0.42456</c:v>
                </c:pt>
                <c:pt idx="10">
                  <c:v>0.4326</c:v>
                </c:pt>
                <c:pt idx="11">
                  <c:v>0.38426</c:v>
                </c:pt>
                <c:pt idx="12">
                  <c:v>0.33522</c:v>
                </c:pt>
                <c:pt idx="13">
                  <c:v>0.34892</c:v>
                </c:pt>
                <c:pt idx="14">
                  <c:v>0.29889</c:v>
                </c:pt>
                <c:pt idx="15">
                  <c:v>0.24538</c:v>
                </c:pt>
                <c:pt idx="16">
                  <c:v>0.16627</c:v>
                </c:pt>
                <c:pt idx="17">
                  <c:v>0.11098</c:v>
                </c:pt>
                <c:pt idx="18">
                  <c:v>0.048276</c:v>
                </c:pt>
                <c:pt idx="19">
                  <c:v>0.018728</c:v>
                </c:pt>
                <c:pt idx="20">
                  <c:v>0.0033068</c:v>
                </c:pt>
                <c:pt idx="21">
                  <c:v>0.00064845</c:v>
                </c:pt>
                <c:pt idx="22">
                  <c:v>8.3687E-5</c:v>
                </c:pt>
                <c:pt idx="23">
                  <c:v>7.7894E-6</c:v>
                </c:pt>
                <c:pt idx="24" formatCode="General">
                  <c:v>0.0</c:v>
                </c:pt>
                <c:pt idx="25" formatCode="General">
                  <c:v>0.0</c:v>
                </c:pt>
                <c:pt idx="26" formatCode="General">
                  <c:v>0.0</c:v>
                </c:pt>
                <c:pt idx="27" formatCode="General">
                  <c:v>0.0</c:v>
                </c:pt>
                <c:pt idx="28" formatCode="General">
                  <c:v>0.0</c:v>
                </c:pt>
                <c:pt idx="29" formatCode="General">
                  <c:v>0.0</c:v>
                </c:pt>
                <c:pt idx="30" formatCode="General">
                  <c:v>0.0</c:v>
                </c:pt>
                <c:pt idx="31" formatCode="General">
                  <c:v>0.0</c:v>
                </c:pt>
                <c:pt idx="32" formatCode="General">
                  <c:v>0.0</c:v>
                </c:pt>
                <c:pt idx="33" formatCode="General">
                  <c:v>0.0</c:v>
                </c:pt>
                <c:pt idx="34" formatCode="General">
                  <c:v>0.0</c:v>
                </c:pt>
                <c:pt idx="35" formatCode="General">
                  <c:v>0.0</c:v>
                </c:pt>
                <c:pt idx="36" formatCode="General">
                  <c:v>0.0</c:v>
                </c:pt>
                <c:pt idx="37" formatCode="General">
                  <c:v>0.0</c:v>
                </c:pt>
                <c:pt idx="38" formatCode="General">
                  <c:v>0.0</c:v>
                </c:pt>
                <c:pt idx="39" formatCode="General">
                  <c:v>0.0</c:v>
                </c:pt>
                <c:pt idx="40" formatCode="General">
                  <c:v>0.0</c:v>
                </c:pt>
                <c:pt idx="41" formatCode="General">
                  <c:v>0.0</c:v>
                </c:pt>
                <c:pt idx="42" formatCode="General">
                  <c:v>0.0</c:v>
                </c:pt>
                <c:pt idx="43" formatCode="General">
                  <c:v>0.0</c:v>
                </c:pt>
                <c:pt idx="44" formatCode="General">
                  <c:v>0.0</c:v>
                </c:pt>
                <c:pt idx="45" formatCode="General">
                  <c:v>0.0</c:v>
                </c:pt>
                <c:pt idx="46" formatCode="General">
                  <c:v>0.0</c:v>
                </c:pt>
                <c:pt idx="47" formatCode="General">
                  <c:v>0.0</c:v>
                </c:pt>
                <c:pt idx="48" formatCode="General">
                  <c:v>0.0</c:v>
                </c:pt>
                <c:pt idx="49" formatCode="General">
                  <c:v>0.0</c:v>
                </c:pt>
                <c:pt idx="50" formatCode="General">
                  <c:v>0.0</c:v>
                </c:pt>
                <c:pt idx="51" formatCode="General">
                  <c:v>0.0</c:v>
                </c:pt>
                <c:pt idx="52" formatCode="General">
                  <c:v>0.0</c:v>
                </c:pt>
                <c:pt idx="53" formatCode="General">
                  <c:v>0.0</c:v>
                </c:pt>
                <c:pt idx="54" formatCode="General">
                  <c:v>0.0</c:v>
                </c:pt>
                <c:pt idx="55" formatCode="General">
                  <c:v>0.0</c:v>
                </c:pt>
                <c:pt idx="56" formatCode="General">
                  <c:v>0.0</c:v>
                </c:pt>
                <c:pt idx="57" formatCode="General">
                  <c:v>0.0</c:v>
                </c:pt>
                <c:pt idx="58" formatCode="General">
                  <c:v>0.0</c:v>
                </c:pt>
                <c:pt idx="59" formatCode="General">
                  <c:v>0.0</c:v>
                </c:pt>
                <c:pt idx="60" formatCode="General">
                  <c:v>0.0</c:v>
                </c:pt>
                <c:pt idx="61" formatCode="General">
                  <c:v>0.0</c:v>
                </c:pt>
                <c:pt idx="62" formatCode="General">
                  <c:v>0.0</c:v>
                </c:pt>
                <c:pt idx="63" formatCode="General">
                  <c:v>0.0</c:v>
                </c:pt>
                <c:pt idx="64" formatCode="General">
                  <c:v>0.0</c:v>
                </c:pt>
                <c:pt idx="65" formatCode="General">
                  <c:v>0.0</c:v>
                </c:pt>
                <c:pt idx="66" formatCode="General">
                  <c:v>0.0</c:v>
                </c:pt>
                <c:pt idx="67" formatCode="General">
                  <c:v>0.0</c:v>
                </c:pt>
                <c:pt idx="68" formatCode="General">
                  <c:v>0.0</c:v>
                </c:pt>
                <c:pt idx="69" formatCode="General">
                  <c:v>0.0</c:v>
                </c:pt>
                <c:pt idx="70" formatCode="General">
                  <c:v>0.0</c:v>
                </c:pt>
              </c:numCache>
            </c:numRef>
          </c:yVal>
          <c:smooth val="0"/>
        </c:ser>
        <c:dLbls>
          <c:showLegendKey val="0"/>
          <c:showVal val="0"/>
          <c:showCatName val="0"/>
          <c:showSerName val="0"/>
          <c:showPercent val="0"/>
          <c:showBubbleSize val="0"/>
        </c:dLbls>
        <c:axId val="2130922344"/>
        <c:axId val="2059170296"/>
      </c:scatterChart>
      <c:valAx>
        <c:axId val="2130922344"/>
        <c:scaling>
          <c:orientation val="minMax"/>
          <c:max val="30.0"/>
        </c:scaling>
        <c:delete val="0"/>
        <c:axPos val="b"/>
        <c:majorGridlines/>
        <c:title>
          <c:tx>
            <c:rich>
              <a:bodyPr/>
              <a:lstStyle/>
              <a:p>
                <a:pPr>
                  <a:defRPr sz="1400"/>
                </a:pPr>
                <a:r>
                  <a:rPr lang="en-US" altLang="en-US" sz="1400"/>
                  <a:t>E</a:t>
                </a:r>
                <a:r>
                  <a:rPr lang="en-US" altLang="en-US" sz="1400" baseline="-25000"/>
                  <a:t>b</a:t>
                </a:r>
                <a:r>
                  <a:rPr lang="en-US" altLang="en-US" sz="1400"/>
                  <a:t> / N</a:t>
                </a:r>
                <a:r>
                  <a:rPr lang="en-US" altLang="en-US" sz="1400" baseline="-25000"/>
                  <a:t>0</a:t>
                </a:r>
                <a:r>
                  <a:rPr lang="en-US" altLang="en-US" sz="1400"/>
                  <a:t>   (dB)</a:t>
                </a:r>
              </a:p>
            </c:rich>
          </c:tx>
          <c:layout/>
          <c:overlay val="0"/>
        </c:title>
        <c:numFmt formatCode="General" sourceLinked="1"/>
        <c:majorTickMark val="out"/>
        <c:minorTickMark val="none"/>
        <c:tickLblPos val="low"/>
        <c:txPr>
          <a:bodyPr/>
          <a:lstStyle/>
          <a:p>
            <a:pPr>
              <a:defRPr sz="1200"/>
            </a:pPr>
            <a:endParaRPr lang="ja-JP"/>
          </a:p>
        </c:txPr>
        <c:crossAx val="2059170296"/>
        <c:crosses val="autoZero"/>
        <c:crossBetween val="midCat"/>
      </c:valAx>
      <c:valAx>
        <c:axId val="2059170296"/>
        <c:scaling>
          <c:logBase val="10.0"/>
          <c:orientation val="minMax"/>
          <c:min val="1.0E-5"/>
        </c:scaling>
        <c:delete val="0"/>
        <c:axPos val="l"/>
        <c:majorGridlines/>
        <c:minorGridlines/>
        <c:title>
          <c:tx>
            <c:rich>
              <a:bodyPr rot="-5400000" vert="horz"/>
              <a:lstStyle/>
              <a:p>
                <a:pPr>
                  <a:defRPr sz="1600"/>
                </a:pPr>
                <a:r>
                  <a:rPr lang="en-US" altLang="en-US"/>
                  <a:t>BER</a:t>
                </a:r>
              </a:p>
            </c:rich>
          </c:tx>
          <c:layout/>
          <c:overlay val="0"/>
        </c:title>
        <c:numFmt formatCode="0.E+00" sourceLinked="0"/>
        <c:majorTickMark val="out"/>
        <c:minorTickMark val="none"/>
        <c:tickLblPos val="nextTo"/>
        <c:txPr>
          <a:bodyPr/>
          <a:lstStyle/>
          <a:p>
            <a:pPr>
              <a:defRPr sz="1200"/>
            </a:pPr>
            <a:endParaRPr lang="ja-JP"/>
          </a:p>
        </c:txPr>
        <c:crossAx val="2130922344"/>
        <c:crosses val="autoZero"/>
        <c:crossBetween val="midCat"/>
      </c:valAx>
    </c:plotArea>
    <c:legend>
      <c:legendPos val="r"/>
      <c:layout>
        <c:manualLayout>
          <c:xMode val="edge"/>
          <c:yMode val="edge"/>
          <c:x val="0.690988956569108"/>
          <c:y val="0.0573982502187227"/>
          <c:w val="0.223751317461592"/>
          <c:h val="0.240223961033084"/>
        </c:manualLayout>
      </c:layout>
      <c:overlay val="0"/>
      <c:spPr>
        <a:solidFill>
          <a:sysClr val="window" lastClr="FFFFFF"/>
        </a:solidFill>
      </c:spPr>
      <c:txPr>
        <a:bodyPr/>
        <a:lstStyle/>
        <a:p>
          <a:pPr>
            <a:defRPr sz="1100"/>
          </a:pPr>
          <a:endParaRPr lang="ja-JP"/>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933946607579"/>
          <c:y val="0.0302084356585679"/>
          <c:w val="0.767921071878638"/>
          <c:h val="0.829358273382406"/>
        </c:manualLayout>
      </c:layout>
      <c:scatterChart>
        <c:scatterStyle val="lineMarker"/>
        <c:varyColors val="0"/>
        <c:ser>
          <c:idx val="0"/>
          <c:order val="0"/>
          <c:tx>
            <c:strRef>
              <c:f>Sheet1!$H$87</c:f>
              <c:strCache>
                <c:ptCount val="1"/>
                <c:pt idx="0">
                  <c:v>48QAM</c:v>
                </c:pt>
              </c:strCache>
            </c:strRef>
          </c:tx>
          <c:spPr>
            <a:ln>
              <a:solidFill>
                <a:sysClr val="windowText" lastClr="000000"/>
              </a:solidFill>
            </a:ln>
          </c:spPr>
          <c:marker>
            <c:symbol val="circle"/>
            <c:size val="7"/>
            <c:spPr>
              <a:solidFill>
                <a:sysClr val="window" lastClr="FFFFFF"/>
              </a:solidFill>
              <a:ln>
                <a:solidFill>
                  <a:sysClr val="windowText" lastClr="000000"/>
                </a:solidFill>
              </a:ln>
            </c:spPr>
          </c:marker>
          <c:xVal>
            <c:numRef>
              <c:f>Sheet1!$G$88:$G$158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Sheet1!$H$88:$H$158</c:f>
              <c:numCache>
                <c:formatCode>0.00E+00</c:formatCode>
                <c:ptCount val="71"/>
                <c:pt idx="0">
                  <c:v>0.44556</c:v>
                </c:pt>
                <c:pt idx="1">
                  <c:v>0.44389</c:v>
                </c:pt>
                <c:pt idx="2">
                  <c:v>0.43736</c:v>
                </c:pt>
                <c:pt idx="3">
                  <c:v>0.42361</c:v>
                </c:pt>
                <c:pt idx="4">
                  <c:v>0.42236</c:v>
                </c:pt>
                <c:pt idx="5">
                  <c:v>0.41</c:v>
                </c:pt>
                <c:pt idx="6">
                  <c:v>0.39333</c:v>
                </c:pt>
                <c:pt idx="7">
                  <c:v>0.4</c:v>
                </c:pt>
                <c:pt idx="8">
                  <c:v>0.37889</c:v>
                </c:pt>
                <c:pt idx="9">
                  <c:v>0.37083</c:v>
                </c:pt>
                <c:pt idx="10">
                  <c:v>0.36472</c:v>
                </c:pt>
                <c:pt idx="11">
                  <c:v>0.35875</c:v>
                </c:pt>
                <c:pt idx="12">
                  <c:v>0.34153</c:v>
                </c:pt>
                <c:pt idx="13">
                  <c:v>0.32889</c:v>
                </c:pt>
                <c:pt idx="14">
                  <c:v>0.30403</c:v>
                </c:pt>
                <c:pt idx="15">
                  <c:v>0.30153</c:v>
                </c:pt>
                <c:pt idx="16">
                  <c:v>0.28222</c:v>
                </c:pt>
                <c:pt idx="17">
                  <c:v>0.24903</c:v>
                </c:pt>
                <c:pt idx="18">
                  <c:v>0.24042</c:v>
                </c:pt>
                <c:pt idx="19">
                  <c:v>0.22708</c:v>
                </c:pt>
                <c:pt idx="20">
                  <c:v>0.21056</c:v>
                </c:pt>
                <c:pt idx="21">
                  <c:v>0.16583</c:v>
                </c:pt>
                <c:pt idx="22">
                  <c:v>0.094583</c:v>
                </c:pt>
                <c:pt idx="23">
                  <c:v>0.038611</c:v>
                </c:pt>
                <c:pt idx="24">
                  <c:v>0.0056111</c:v>
                </c:pt>
                <c:pt idx="25">
                  <c:v>0.0005816</c:v>
                </c:pt>
                <c:pt idx="26">
                  <c:v>3.8169E-5</c:v>
                </c:pt>
                <c:pt idx="27">
                  <c:v>3.3973E-6</c:v>
                </c:pt>
                <c:pt idx="28">
                  <c:v>1.9984E-7</c:v>
                </c:pt>
                <c:pt idx="29">
                  <c:v>1.9984E-7</c:v>
                </c:pt>
                <c:pt idx="30" formatCode="General">
                  <c:v>0.0</c:v>
                </c:pt>
              </c:numCache>
            </c:numRef>
          </c:yVal>
          <c:smooth val="0"/>
        </c:ser>
        <c:ser>
          <c:idx val="1"/>
          <c:order val="1"/>
          <c:tx>
            <c:strRef>
              <c:f>Sheet1!$I$87</c:f>
              <c:strCache>
                <c:ptCount val="1"/>
                <c:pt idx="0">
                  <c:v>64QAM</c:v>
                </c:pt>
              </c:strCache>
            </c:strRef>
          </c:tx>
          <c:spPr>
            <a:ln>
              <a:solidFill>
                <a:sysClr val="windowText" lastClr="000000"/>
              </a:solidFill>
              <a:prstDash val="dash"/>
            </a:ln>
          </c:spPr>
          <c:marker>
            <c:symbol val="circle"/>
            <c:size val="7"/>
            <c:spPr>
              <a:solidFill>
                <a:sysClr val="window" lastClr="FFFFFF"/>
              </a:solidFill>
              <a:ln>
                <a:solidFill>
                  <a:sysClr val="windowText" lastClr="000000"/>
                </a:solidFill>
              </a:ln>
            </c:spPr>
          </c:marker>
          <c:xVal>
            <c:numRef>
              <c:f>Sheet1!$G$88:$G$158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Sheet1!$I$88:$I$158</c:f>
              <c:numCache>
                <c:formatCode>0.00E+00</c:formatCode>
                <c:ptCount val="71"/>
                <c:pt idx="0">
                  <c:v>0.50083</c:v>
                </c:pt>
                <c:pt idx="1">
                  <c:v>0.50042</c:v>
                </c:pt>
                <c:pt idx="2">
                  <c:v>0.50487</c:v>
                </c:pt>
                <c:pt idx="3">
                  <c:v>0.50097</c:v>
                </c:pt>
                <c:pt idx="4">
                  <c:v>0.50431</c:v>
                </c:pt>
                <c:pt idx="5">
                  <c:v>0.49889</c:v>
                </c:pt>
                <c:pt idx="6">
                  <c:v>0.50167</c:v>
                </c:pt>
                <c:pt idx="7">
                  <c:v>0.49347</c:v>
                </c:pt>
                <c:pt idx="8">
                  <c:v>0.49235</c:v>
                </c:pt>
                <c:pt idx="9">
                  <c:v>0.50626</c:v>
                </c:pt>
                <c:pt idx="10">
                  <c:v>0.49736</c:v>
                </c:pt>
                <c:pt idx="11">
                  <c:v>0.50209</c:v>
                </c:pt>
                <c:pt idx="12">
                  <c:v>0.49222</c:v>
                </c:pt>
                <c:pt idx="13">
                  <c:v>0.49402</c:v>
                </c:pt>
                <c:pt idx="14">
                  <c:v>0.49027</c:v>
                </c:pt>
                <c:pt idx="15">
                  <c:v>0.47748</c:v>
                </c:pt>
                <c:pt idx="16">
                  <c:v>0.49555</c:v>
                </c:pt>
                <c:pt idx="17">
                  <c:v>0.47359</c:v>
                </c:pt>
                <c:pt idx="18">
                  <c:v>0.469</c:v>
                </c:pt>
                <c:pt idx="19">
                  <c:v>0.43814</c:v>
                </c:pt>
                <c:pt idx="20">
                  <c:v>0.4241</c:v>
                </c:pt>
                <c:pt idx="21">
                  <c:v>0.41868</c:v>
                </c:pt>
                <c:pt idx="22">
                  <c:v>0.38226</c:v>
                </c:pt>
                <c:pt idx="23">
                  <c:v>0.31651</c:v>
                </c:pt>
                <c:pt idx="24">
                  <c:v>0.27134</c:v>
                </c:pt>
                <c:pt idx="25">
                  <c:v>0.2313</c:v>
                </c:pt>
                <c:pt idx="26">
                  <c:v>0.14095</c:v>
                </c:pt>
                <c:pt idx="27">
                  <c:v>0.12983</c:v>
                </c:pt>
                <c:pt idx="28">
                  <c:v>0.078468</c:v>
                </c:pt>
                <c:pt idx="29">
                  <c:v>0.04125</c:v>
                </c:pt>
                <c:pt idx="30">
                  <c:v>0.011174</c:v>
                </c:pt>
                <c:pt idx="31">
                  <c:v>0.0038805</c:v>
                </c:pt>
                <c:pt idx="32">
                  <c:v>0.00062865</c:v>
                </c:pt>
                <c:pt idx="33">
                  <c:v>0.00011584</c:v>
                </c:pt>
                <c:pt idx="34">
                  <c:v>1.2782E-5</c:v>
                </c:pt>
                <c:pt idx="35">
                  <c:v>1.1983E-6</c:v>
                </c:pt>
                <c:pt idx="36" formatCode="General">
                  <c:v>0.0</c:v>
                </c:pt>
                <c:pt idx="37" formatCode="General">
                  <c:v>0.0</c:v>
                </c:pt>
                <c:pt idx="38" formatCode="General">
                  <c:v>0.0</c:v>
                </c:pt>
                <c:pt idx="39" formatCode="General">
                  <c:v>0.0</c:v>
                </c:pt>
                <c:pt idx="40" formatCode="General">
                  <c:v>0.0</c:v>
                </c:pt>
                <c:pt idx="41" formatCode="General">
                  <c:v>0.0</c:v>
                </c:pt>
                <c:pt idx="42" formatCode="General">
                  <c:v>0.0</c:v>
                </c:pt>
                <c:pt idx="43" formatCode="General">
                  <c:v>0.0</c:v>
                </c:pt>
                <c:pt idx="44" formatCode="General">
                  <c:v>0.0</c:v>
                </c:pt>
                <c:pt idx="45" formatCode="General">
                  <c:v>0.0</c:v>
                </c:pt>
                <c:pt idx="46" formatCode="General">
                  <c:v>0.0</c:v>
                </c:pt>
                <c:pt idx="47" formatCode="General">
                  <c:v>0.0</c:v>
                </c:pt>
                <c:pt idx="48" formatCode="General">
                  <c:v>0.0</c:v>
                </c:pt>
                <c:pt idx="49" formatCode="General">
                  <c:v>0.0</c:v>
                </c:pt>
                <c:pt idx="50" formatCode="General">
                  <c:v>0.0</c:v>
                </c:pt>
                <c:pt idx="51" formatCode="General">
                  <c:v>0.0</c:v>
                </c:pt>
                <c:pt idx="52" formatCode="General">
                  <c:v>0.0</c:v>
                </c:pt>
                <c:pt idx="53" formatCode="General">
                  <c:v>0.0</c:v>
                </c:pt>
                <c:pt idx="54" formatCode="General">
                  <c:v>0.0</c:v>
                </c:pt>
                <c:pt idx="55" formatCode="General">
                  <c:v>0.0</c:v>
                </c:pt>
                <c:pt idx="56" formatCode="General">
                  <c:v>0.0</c:v>
                </c:pt>
                <c:pt idx="57" formatCode="General">
                  <c:v>0.0</c:v>
                </c:pt>
                <c:pt idx="58" formatCode="General">
                  <c:v>0.0</c:v>
                </c:pt>
                <c:pt idx="59" formatCode="General">
                  <c:v>0.0</c:v>
                </c:pt>
                <c:pt idx="60" formatCode="General">
                  <c:v>0.0</c:v>
                </c:pt>
                <c:pt idx="61" formatCode="General">
                  <c:v>0.0</c:v>
                </c:pt>
                <c:pt idx="62" formatCode="General">
                  <c:v>0.0</c:v>
                </c:pt>
                <c:pt idx="63" formatCode="General">
                  <c:v>0.0</c:v>
                </c:pt>
                <c:pt idx="64" formatCode="General">
                  <c:v>0.0</c:v>
                </c:pt>
                <c:pt idx="65" formatCode="General">
                  <c:v>0.0</c:v>
                </c:pt>
                <c:pt idx="66" formatCode="General">
                  <c:v>0.0</c:v>
                </c:pt>
                <c:pt idx="67" formatCode="General">
                  <c:v>0.0</c:v>
                </c:pt>
                <c:pt idx="68" formatCode="General">
                  <c:v>0.0</c:v>
                </c:pt>
                <c:pt idx="69" formatCode="General">
                  <c:v>0.0</c:v>
                </c:pt>
                <c:pt idx="70" formatCode="General">
                  <c:v>0.0</c:v>
                </c:pt>
              </c:numCache>
            </c:numRef>
          </c:yVal>
          <c:smooth val="0"/>
        </c:ser>
        <c:ser>
          <c:idx val="2"/>
          <c:order val="2"/>
          <c:tx>
            <c:strRef>
              <c:f>Sheet1!$J$87</c:f>
              <c:strCache>
                <c:ptCount val="1"/>
                <c:pt idx="0">
                  <c:v>192QAM</c:v>
                </c:pt>
              </c:strCache>
            </c:strRef>
          </c:tx>
          <c:spPr>
            <a:ln>
              <a:solidFill>
                <a:sysClr val="windowText" lastClr="000000"/>
              </a:solidFill>
            </a:ln>
          </c:spPr>
          <c:marker>
            <c:symbol val="none"/>
          </c:marker>
          <c:xVal>
            <c:numRef>
              <c:f>Sheet1!$G$88:$G$158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Sheet1!$J$88:$J$158</c:f>
              <c:numCache>
                <c:formatCode>0.00E+00</c:formatCode>
                <c:ptCount val="71"/>
                <c:pt idx="0">
                  <c:v>0.48165</c:v>
                </c:pt>
                <c:pt idx="1">
                  <c:v>0.47827</c:v>
                </c:pt>
                <c:pt idx="2">
                  <c:v>0.47768</c:v>
                </c:pt>
                <c:pt idx="3">
                  <c:v>0.47034</c:v>
                </c:pt>
                <c:pt idx="4">
                  <c:v>0.46627</c:v>
                </c:pt>
                <c:pt idx="5">
                  <c:v>0.47103</c:v>
                </c:pt>
                <c:pt idx="6">
                  <c:v>0.45377</c:v>
                </c:pt>
                <c:pt idx="7">
                  <c:v>0.44782</c:v>
                </c:pt>
                <c:pt idx="8">
                  <c:v>0.44692</c:v>
                </c:pt>
                <c:pt idx="9">
                  <c:v>0.4381</c:v>
                </c:pt>
                <c:pt idx="10">
                  <c:v>0.42649</c:v>
                </c:pt>
                <c:pt idx="11">
                  <c:v>0.4252</c:v>
                </c:pt>
                <c:pt idx="12">
                  <c:v>0.40833</c:v>
                </c:pt>
                <c:pt idx="13">
                  <c:v>0.39395</c:v>
                </c:pt>
                <c:pt idx="14">
                  <c:v>0.37758</c:v>
                </c:pt>
                <c:pt idx="15">
                  <c:v>0.37698</c:v>
                </c:pt>
                <c:pt idx="16">
                  <c:v>0.3504</c:v>
                </c:pt>
                <c:pt idx="17">
                  <c:v>0.34028</c:v>
                </c:pt>
                <c:pt idx="18">
                  <c:v>0.33681</c:v>
                </c:pt>
                <c:pt idx="19">
                  <c:v>0.33065</c:v>
                </c:pt>
                <c:pt idx="20">
                  <c:v>0.29871</c:v>
                </c:pt>
                <c:pt idx="21">
                  <c:v>0.29365</c:v>
                </c:pt>
                <c:pt idx="22">
                  <c:v>0.28958</c:v>
                </c:pt>
                <c:pt idx="23">
                  <c:v>0.26528</c:v>
                </c:pt>
                <c:pt idx="24">
                  <c:v>0.25198</c:v>
                </c:pt>
                <c:pt idx="25">
                  <c:v>0.24484</c:v>
                </c:pt>
                <c:pt idx="26">
                  <c:v>0.2244</c:v>
                </c:pt>
                <c:pt idx="27">
                  <c:v>0.20635</c:v>
                </c:pt>
                <c:pt idx="28">
                  <c:v>0.19425</c:v>
                </c:pt>
                <c:pt idx="29">
                  <c:v>0.17937</c:v>
                </c:pt>
                <c:pt idx="30">
                  <c:v>0.1748</c:v>
                </c:pt>
                <c:pt idx="31">
                  <c:v>0.15575</c:v>
                </c:pt>
                <c:pt idx="32">
                  <c:v>0.14653</c:v>
                </c:pt>
                <c:pt idx="33">
                  <c:v>0.12222</c:v>
                </c:pt>
                <c:pt idx="34">
                  <c:v>0.065427</c:v>
                </c:pt>
                <c:pt idx="35">
                  <c:v>0.045668</c:v>
                </c:pt>
                <c:pt idx="36">
                  <c:v>0.008051</c:v>
                </c:pt>
                <c:pt idx="37">
                  <c:v>0.00060735</c:v>
                </c:pt>
                <c:pt idx="38">
                  <c:v>5.7288E-5</c:v>
                </c:pt>
                <c:pt idx="39">
                  <c:v>5.5891E-6</c:v>
                </c:pt>
                <c:pt idx="40">
                  <c:v>7.9844E-7</c:v>
                </c:pt>
                <c:pt idx="41" formatCode="General">
                  <c:v>0.0</c:v>
                </c:pt>
              </c:numCache>
            </c:numRef>
          </c:yVal>
          <c:smooth val="0"/>
        </c:ser>
        <c:ser>
          <c:idx val="3"/>
          <c:order val="3"/>
          <c:tx>
            <c:strRef>
              <c:f>Sheet1!$K$87</c:f>
              <c:strCache>
                <c:ptCount val="1"/>
                <c:pt idx="0">
                  <c:v>256QAM</c:v>
                </c:pt>
              </c:strCache>
            </c:strRef>
          </c:tx>
          <c:spPr>
            <a:ln>
              <a:solidFill>
                <a:sysClr val="windowText" lastClr="000000"/>
              </a:solidFill>
              <a:prstDash val="dash"/>
            </a:ln>
          </c:spPr>
          <c:marker>
            <c:symbol val="none"/>
          </c:marker>
          <c:xVal>
            <c:numRef>
              <c:f>Sheet1!$G$88:$G$158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Sheet1!$K$88:$K$158</c:f>
              <c:numCache>
                <c:formatCode>0.00E+00</c:formatCode>
                <c:ptCount val="71"/>
                <c:pt idx="0">
                  <c:v>0.50238</c:v>
                </c:pt>
                <c:pt idx="1">
                  <c:v>0.49543</c:v>
                </c:pt>
                <c:pt idx="2">
                  <c:v>0.50189</c:v>
                </c:pt>
                <c:pt idx="3">
                  <c:v>0.49841</c:v>
                </c:pt>
                <c:pt idx="4">
                  <c:v>0.50596</c:v>
                </c:pt>
                <c:pt idx="5">
                  <c:v>0.50308</c:v>
                </c:pt>
                <c:pt idx="6">
                  <c:v>0.49474</c:v>
                </c:pt>
                <c:pt idx="7">
                  <c:v>0.49563</c:v>
                </c:pt>
                <c:pt idx="8">
                  <c:v>0.50566</c:v>
                </c:pt>
                <c:pt idx="9">
                  <c:v>0.49424</c:v>
                </c:pt>
                <c:pt idx="10">
                  <c:v>0.49573</c:v>
                </c:pt>
                <c:pt idx="11">
                  <c:v>0.49504</c:v>
                </c:pt>
                <c:pt idx="12">
                  <c:v>0.49712</c:v>
                </c:pt>
                <c:pt idx="13">
                  <c:v>0.50179</c:v>
                </c:pt>
                <c:pt idx="14">
                  <c:v>0.50606</c:v>
                </c:pt>
                <c:pt idx="15">
                  <c:v>0.50119</c:v>
                </c:pt>
                <c:pt idx="16">
                  <c:v>0.50129</c:v>
                </c:pt>
                <c:pt idx="17">
                  <c:v>0.49543</c:v>
                </c:pt>
                <c:pt idx="18">
                  <c:v>0.49533</c:v>
                </c:pt>
                <c:pt idx="19">
                  <c:v>0.5005</c:v>
                </c:pt>
                <c:pt idx="20">
                  <c:v>0.49385</c:v>
                </c:pt>
                <c:pt idx="21">
                  <c:v>0.49533</c:v>
                </c:pt>
                <c:pt idx="22">
                  <c:v>0.49742</c:v>
                </c:pt>
                <c:pt idx="23">
                  <c:v>0.48581</c:v>
                </c:pt>
                <c:pt idx="24">
                  <c:v>0.47072</c:v>
                </c:pt>
                <c:pt idx="25">
                  <c:v>0.48273</c:v>
                </c:pt>
                <c:pt idx="26">
                  <c:v>0.46387</c:v>
                </c:pt>
                <c:pt idx="27">
                  <c:v>0.46238</c:v>
                </c:pt>
                <c:pt idx="28">
                  <c:v>0.44223</c:v>
                </c:pt>
                <c:pt idx="29">
                  <c:v>0.41801</c:v>
                </c:pt>
                <c:pt idx="30">
                  <c:v>0.41453</c:v>
                </c:pt>
                <c:pt idx="31">
                  <c:v>0.36768</c:v>
                </c:pt>
                <c:pt idx="32">
                  <c:v>0.35775</c:v>
                </c:pt>
                <c:pt idx="33">
                  <c:v>0.32331</c:v>
                </c:pt>
                <c:pt idx="34">
                  <c:v>0.31646</c:v>
                </c:pt>
                <c:pt idx="35">
                  <c:v>0.28489</c:v>
                </c:pt>
                <c:pt idx="36">
                  <c:v>0.21233</c:v>
                </c:pt>
                <c:pt idx="37">
                  <c:v>0.17024</c:v>
                </c:pt>
                <c:pt idx="38">
                  <c:v>0.14582</c:v>
                </c:pt>
                <c:pt idx="39">
                  <c:v>0.097876</c:v>
                </c:pt>
                <c:pt idx="40">
                  <c:v>0.055886</c:v>
                </c:pt>
                <c:pt idx="41">
                  <c:v>0.027536</c:v>
                </c:pt>
                <c:pt idx="42">
                  <c:v>0.011382</c:v>
                </c:pt>
                <c:pt idx="43">
                  <c:v>0.0032117</c:v>
                </c:pt>
                <c:pt idx="44">
                  <c:v>0.00091616</c:v>
                </c:pt>
                <c:pt idx="45">
                  <c:v>0.00021002</c:v>
                </c:pt>
                <c:pt idx="46">
                  <c:v>4.2942E-5</c:v>
                </c:pt>
                <c:pt idx="47">
                  <c:v>6.3913E-6</c:v>
                </c:pt>
                <c:pt idx="48">
                  <c:v>5.193E-6</c:v>
                </c:pt>
                <c:pt idx="49" formatCode="General">
                  <c:v>0.0</c:v>
                </c:pt>
                <c:pt idx="50" formatCode="General">
                  <c:v>0.0</c:v>
                </c:pt>
                <c:pt idx="51" formatCode="General">
                  <c:v>0.0</c:v>
                </c:pt>
                <c:pt idx="52" formatCode="General">
                  <c:v>0.0</c:v>
                </c:pt>
                <c:pt idx="53" formatCode="General">
                  <c:v>0.0</c:v>
                </c:pt>
                <c:pt idx="54" formatCode="General">
                  <c:v>0.0</c:v>
                </c:pt>
                <c:pt idx="55" formatCode="General">
                  <c:v>0.0</c:v>
                </c:pt>
                <c:pt idx="56" formatCode="General">
                  <c:v>0.0</c:v>
                </c:pt>
                <c:pt idx="57" formatCode="General">
                  <c:v>0.0</c:v>
                </c:pt>
                <c:pt idx="58" formatCode="General">
                  <c:v>0.0</c:v>
                </c:pt>
                <c:pt idx="59" formatCode="General">
                  <c:v>0.0</c:v>
                </c:pt>
                <c:pt idx="60" formatCode="General">
                  <c:v>0.0</c:v>
                </c:pt>
                <c:pt idx="61" formatCode="General">
                  <c:v>0.0</c:v>
                </c:pt>
                <c:pt idx="62" formatCode="General">
                  <c:v>0.0</c:v>
                </c:pt>
                <c:pt idx="63" formatCode="General">
                  <c:v>0.0</c:v>
                </c:pt>
                <c:pt idx="64" formatCode="General">
                  <c:v>0.0</c:v>
                </c:pt>
                <c:pt idx="65" formatCode="General">
                  <c:v>0.0</c:v>
                </c:pt>
                <c:pt idx="66" formatCode="General">
                  <c:v>0.0</c:v>
                </c:pt>
                <c:pt idx="67" formatCode="General">
                  <c:v>0.0</c:v>
                </c:pt>
                <c:pt idx="68" formatCode="General">
                  <c:v>0.0</c:v>
                </c:pt>
                <c:pt idx="69" formatCode="General">
                  <c:v>0.0</c:v>
                </c:pt>
                <c:pt idx="70" formatCode="General">
                  <c:v>0.0</c:v>
                </c:pt>
              </c:numCache>
            </c:numRef>
          </c:yVal>
          <c:smooth val="0"/>
        </c:ser>
        <c:dLbls>
          <c:showLegendKey val="0"/>
          <c:showVal val="0"/>
          <c:showCatName val="0"/>
          <c:showSerName val="0"/>
          <c:showPercent val="0"/>
          <c:showBubbleSize val="0"/>
        </c:dLbls>
        <c:axId val="2076854104"/>
        <c:axId val="-2126626888"/>
      </c:scatterChart>
      <c:valAx>
        <c:axId val="2076854104"/>
        <c:scaling>
          <c:orientation val="minMax"/>
          <c:max val="50.0"/>
        </c:scaling>
        <c:delete val="0"/>
        <c:axPos val="b"/>
        <c:majorGridlines/>
        <c:title>
          <c:tx>
            <c:rich>
              <a:bodyPr/>
              <a:lstStyle/>
              <a:p>
                <a:pPr>
                  <a:defRPr sz="1600"/>
                </a:pPr>
                <a:r>
                  <a:rPr lang="en-US" altLang="ja-JP"/>
                  <a:t>E</a:t>
                </a:r>
                <a:r>
                  <a:rPr lang="en-US" altLang="ja-JP" baseline="-25000"/>
                  <a:t>b</a:t>
                </a:r>
                <a:r>
                  <a:rPr lang="en-US" altLang="ja-JP" baseline="0"/>
                  <a:t> / N</a:t>
                </a:r>
                <a:r>
                  <a:rPr lang="en-US" altLang="ja-JP" baseline="-25000"/>
                  <a:t>0</a:t>
                </a:r>
                <a:r>
                  <a:rPr lang="en-US" altLang="ja-JP" baseline="0"/>
                  <a:t>  (dB)</a:t>
                </a:r>
                <a:endParaRPr lang="ja-JP" altLang="en-US"/>
              </a:p>
            </c:rich>
          </c:tx>
          <c:layout/>
          <c:overlay val="0"/>
        </c:title>
        <c:numFmt formatCode="General" sourceLinked="1"/>
        <c:majorTickMark val="out"/>
        <c:minorTickMark val="none"/>
        <c:tickLblPos val="low"/>
        <c:txPr>
          <a:bodyPr/>
          <a:lstStyle/>
          <a:p>
            <a:pPr>
              <a:defRPr sz="1200"/>
            </a:pPr>
            <a:endParaRPr lang="ja-JP"/>
          </a:p>
        </c:txPr>
        <c:crossAx val="-2126626888"/>
        <c:crosses val="autoZero"/>
        <c:crossBetween val="midCat"/>
      </c:valAx>
      <c:valAx>
        <c:axId val="-2126626888"/>
        <c:scaling>
          <c:logBase val="10.0"/>
          <c:orientation val="minMax"/>
          <c:min val="1.0E-5"/>
        </c:scaling>
        <c:delete val="0"/>
        <c:axPos val="l"/>
        <c:majorGridlines/>
        <c:minorGridlines/>
        <c:title>
          <c:tx>
            <c:rich>
              <a:bodyPr rot="-5400000" vert="horz"/>
              <a:lstStyle/>
              <a:p>
                <a:pPr>
                  <a:defRPr sz="1600"/>
                </a:pPr>
                <a:r>
                  <a:rPr lang="en-US" altLang="en-US"/>
                  <a:t>BER</a:t>
                </a:r>
              </a:p>
            </c:rich>
          </c:tx>
          <c:layout/>
          <c:overlay val="0"/>
        </c:title>
        <c:numFmt formatCode="0.E+00" sourceLinked="0"/>
        <c:majorTickMark val="out"/>
        <c:minorTickMark val="none"/>
        <c:tickLblPos val="nextTo"/>
        <c:txPr>
          <a:bodyPr/>
          <a:lstStyle/>
          <a:p>
            <a:pPr>
              <a:defRPr sz="1200"/>
            </a:pPr>
            <a:endParaRPr lang="ja-JP"/>
          </a:p>
        </c:txPr>
        <c:crossAx val="2076854104"/>
        <c:crosses val="autoZero"/>
        <c:crossBetween val="midCat"/>
      </c:valAx>
    </c:plotArea>
    <c:legend>
      <c:legendPos val="r"/>
      <c:layout>
        <c:manualLayout>
          <c:xMode val="edge"/>
          <c:yMode val="edge"/>
          <c:x val="0.20150727955347"/>
          <c:y val="0.519998577223188"/>
          <c:w val="0.256265365987203"/>
          <c:h val="0.311040879803024"/>
        </c:manualLayout>
      </c:layout>
      <c:overlay val="0"/>
      <c:spPr>
        <a:solidFill>
          <a:sysClr val="window" lastClr="FFFFFF"/>
        </a:solidFill>
      </c:spPr>
      <c:txPr>
        <a:bodyPr/>
        <a:lstStyle/>
        <a:p>
          <a:pPr>
            <a:defRPr sz="1100"/>
          </a:pPr>
          <a:endParaRPr lang="ja-JP"/>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122328087519"/>
          <c:y val="0.0549781092607778"/>
          <c:w val="0.764474261989919"/>
          <c:h val="0.822674853976337"/>
        </c:manualLayout>
      </c:layout>
      <c:scatterChart>
        <c:scatterStyle val="lineMarker"/>
        <c:varyColors val="0"/>
        <c:ser>
          <c:idx val="0"/>
          <c:order val="0"/>
          <c:tx>
            <c:strRef>
              <c:f>Sheet1!$N$87</c:f>
              <c:strCache>
                <c:ptCount val="1"/>
                <c:pt idx="0">
                  <c:v>48QAM</c:v>
                </c:pt>
              </c:strCache>
            </c:strRef>
          </c:tx>
          <c:spPr>
            <a:ln>
              <a:solidFill>
                <a:sysClr val="windowText" lastClr="000000"/>
              </a:solidFill>
            </a:ln>
          </c:spPr>
          <c:marker>
            <c:symbol val="circle"/>
            <c:size val="7"/>
            <c:spPr>
              <a:solidFill>
                <a:sysClr val="window" lastClr="FFFFFF"/>
              </a:solidFill>
              <a:ln>
                <a:solidFill>
                  <a:sysClr val="windowText" lastClr="000000"/>
                </a:solidFill>
              </a:ln>
            </c:spPr>
          </c:marker>
          <c:xVal>
            <c:numRef>
              <c:f>Sheet1!$M$88:$M$158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Sheet1!$N$88:$N$158</c:f>
              <c:numCache>
                <c:formatCode>0.00E+00</c:formatCode>
                <c:ptCount val="71"/>
                <c:pt idx="0">
                  <c:v>0.45681</c:v>
                </c:pt>
                <c:pt idx="1">
                  <c:v>0.43694</c:v>
                </c:pt>
                <c:pt idx="2">
                  <c:v>0.44653</c:v>
                </c:pt>
                <c:pt idx="3">
                  <c:v>0.42056</c:v>
                </c:pt>
                <c:pt idx="4">
                  <c:v>0.43417</c:v>
                </c:pt>
                <c:pt idx="5">
                  <c:v>0.41847</c:v>
                </c:pt>
                <c:pt idx="6">
                  <c:v>0.40708</c:v>
                </c:pt>
                <c:pt idx="7">
                  <c:v>0.41181</c:v>
                </c:pt>
                <c:pt idx="8">
                  <c:v>0.39653</c:v>
                </c:pt>
                <c:pt idx="9">
                  <c:v>0.36528</c:v>
                </c:pt>
                <c:pt idx="10">
                  <c:v>0.36694</c:v>
                </c:pt>
                <c:pt idx="11">
                  <c:v>0.35347</c:v>
                </c:pt>
                <c:pt idx="12">
                  <c:v>0.34181</c:v>
                </c:pt>
                <c:pt idx="13">
                  <c:v>0.31806</c:v>
                </c:pt>
                <c:pt idx="14">
                  <c:v>0.32389</c:v>
                </c:pt>
                <c:pt idx="15">
                  <c:v>0.3125</c:v>
                </c:pt>
                <c:pt idx="16">
                  <c:v>0.28153</c:v>
                </c:pt>
                <c:pt idx="17">
                  <c:v>0.26528</c:v>
                </c:pt>
                <c:pt idx="18">
                  <c:v>0.25653</c:v>
                </c:pt>
                <c:pt idx="19">
                  <c:v>0.23458</c:v>
                </c:pt>
                <c:pt idx="20">
                  <c:v>0.20625</c:v>
                </c:pt>
                <c:pt idx="21">
                  <c:v>0.16736</c:v>
                </c:pt>
                <c:pt idx="22">
                  <c:v>0.14125</c:v>
                </c:pt>
                <c:pt idx="23">
                  <c:v>0.069491</c:v>
                </c:pt>
                <c:pt idx="24">
                  <c:v>0.031111</c:v>
                </c:pt>
                <c:pt idx="25">
                  <c:v>0.0027669</c:v>
                </c:pt>
                <c:pt idx="26">
                  <c:v>0.00016607</c:v>
                </c:pt>
                <c:pt idx="27">
                  <c:v>2.1583E-5</c:v>
                </c:pt>
                <c:pt idx="28">
                  <c:v>3.797E-6</c:v>
                </c:pt>
                <c:pt idx="29" formatCode="General">
                  <c:v>0.0</c:v>
                </c:pt>
              </c:numCache>
            </c:numRef>
          </c:yVal>
          <c:smooth val="0"/>
        </c:ser>
        <c:ser>
          <c:idx val="1"/>
          <c:order val="1"/>
          <c:tx>
            <c:strRef>
              <c:f>Sheet1!$O$87</c:f>
              <c:strCache>
                <c:ptCount val="1"/>
                <c:pt idx="0">
                  <c:v>64QAM</c:v>
                </c:pt>
              </c:strCache>
            </c:strRef>
          </c:tx>
          <c:spPr>
            <a:ln>
              <a:solidFill>
                <a:sysClr val="windowText" lastClr="000000"/>
              </a:solidFill>
              <a:prstDash val="dash"/>
            </a:ln>
          </c:spPr>
          <c:marker>
            <c:symbol val="circle"/>
            <c:size val="7"/>
            <c:spPr>
              <a:solidFill>
                <a:sysClr val="window" lastClr="FFFFFF"/>
              </a:solidFill>
              <a:ln>
                <a:solidFill>
                  <a:sysClr val="windowText" lastClr="000000"/>
                </a:solidFill>
              </a:ln>
            </c:spPr>
          </c:marker>
          <c:xVal>
            <c:numRef>
              <c:f>Sheet1!$M$88:$M$158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Sheet1!$O$88:$O$158</c:f>
              <c:numCache>
                <c:formatCode>0.00E+00</c:formatCode>
                <c:ptCount val="71"/>
                <c:pt idx="0">
                  <c:v>0.50181</c:v>
                </c:pt>
                <c:pt idx="1">
                  <c:v>0.49819</c:v>
                </c:pt>
                <c:pt idx="2">
                  <c:v>0.49972</c:v>
                </c:pt>
                <c:pt idx="3">
                  <c:v>0.50278</c:v>
                </c:pt>
                <c:pt idx="4">
                  <c:v>0.49861</c:v>
                </c:pt>
                <c:pt idx="5">
                  <c:v>0.50014</c:v>
                </c:pt>
                <c:pt idx="6">
                  <c:v>0.50209</c:v>
                </c:pt>
                <c:pt idx="7">
                  <c:v>0.50334</c:v>
                </c:pt>
                <c:pt idx="8">
                  <c:v>0.50334</c:v>
                </c:pt>
                <c:pt idx="9">
                  <c:v>0.49736</c:v>
                </c:pt>
                <c:pt idx="10">
                  <c:v>0.50514</c:v>
                </c:pt>
                <c:pt idx="11">
                  <c:v>0.51043</c:v>
                </c:pt>
                <c:pt idx="12">
                  <c:v>0.48902</c:v>
                </c:pt>
                <c:pt idx="13">
                  <c:v>0.49791</c:v>
                </c:pt>
                <c:pt idx="14">
                  <c:v>0.48721</c:v>
                </c:pt>
                <c:pt idx="15">
                  <c:v>0.49208</c:v>
                </c:pt>
                <c:pt idx="16">
                  <c:v>0.48554</c:v>
                </c:pt>
                <c:pt idx="17">
                  <c:v>0.4854</c:v>
                </c:pt>
                <c:pt idx="18">
                  <c:v>0.47262</c:v>
                </c:pt>
                <c:pt idx="19">
                  <c:v>0.45274</c:v>
                </c:pt>
                <c:pt idx="20">
                  <c:v>0.44982</c:v>
                </c:pt>
                <c:pt idx="21">
                  <c:v>0.40895</c:v>
                </c:pt>
                <c:pt idx="22">
                  <c:v>0.3464</c:v>
                </c:pt>
                <c:pt idx="23">
                  <c:v>0.35516</c:v>
                </c:pt>
                <c:pt idx="24">
                  <c:v>0.32166</c:v>
                </c:pt>
                <c:pt idx="25">
                  <c:v>0.22477</c:v>
                </c:pt>
                <c:pt idx="26">
                  <c:v>0.19516</c:v>
                </c:pt>
                <c:pt idx="27">
                  <c:v>0.14262</c:v>
                </c:pt>
                <c:pt idx="28">
                  <c:v>0.12351</c:v>
                </c:pt>
                <c:pt idx="29">
                  <c:v>0.046984</c:v>
                </c:pt>
                <c:pt idx="30">
                  <c:v>0.032054</c:v>
                </c:pt>
                <c:pt idx="31">
                  <c:v>0.0091048</c:v>
                </c:pt>
                <c:pt idx="32">
                  <c:v>0.0035892</c:v>
                </c:pt>
                <c:pt idx="33">
                  <c:v>0.00084069</c:v>
                </c:pt>
                <c:pt idx="34">
                  <c:v>0.00014699</c:v>
                </c:pt>
                <c:pt idx="35">
                  <c:v>4.4937E-5</c:v>
                </c:pt>
                <c:pt idx="36">
                  <c:v>1.1783E-5</c:v>
                </c:pt>
                <c:pt idx="37">
                  <c:v>2.5964E-6</c:v>
                </c:pt>
                <c:pt idx="38" formatCode="General">
                  <c:v>0.0</c:v>
                </c:pt>
                <c:pt idx="39" formatCode="General">
                  <c:v>0.0</c:v>
                </c:pt>
                <c:pt idx="40" formatCode="General">
                  <c:v>0.0</c:v>
                </c:pt>
                <c:pt idx="41" formatCode="General">
                  <c:v>0.0</c:v>
                </c:pt>
                <c:pt idx="42" formatCode="General">
                  <c:v>0.0</c:v>
                </c:pt>
                <c:pt idx="43" formatCode="General">
                  <c:v>0.0</c:v>
                </c:pt>
                <c:pt idx="44" formatCode="General">
                  <c:v>0.0</c:v>
                </c:pt>
                <c:pt idx="45" formatCode="General">
                  <c:v>0.0</c:v>
                </c:pt>
                <c:pt idx="46" formatCode="General">
                  <c:v>0.0</c:v>
                </c:pt>
                <c:pt idx="47" formatCode="General">
                  <c:v>0.0</c:v>
                </c:pt>
                <c:pt idx="48" formatCode="General">
                  <c:v>0.0</c:v>
                </c:pt>
                <c:pt idx="49" formatCode="General">
                  <c:v>0.0</c:v>
                </c:pt>
                <c:pt idx="50" formatCode="General">
                  <c:v>0.0</c:v>
                </c:pt>
                <c:pt idx="51" formatCode="General">
                  <c:v>0.0</c:v>
                </c:pt>
                <c:pt idx="52" formatCode="General">
                  <c:v>0.0</c:v>
                </c:pt>
                <c:pt idx="53" formatCode="General">
                  <c:v>0.0</c:v>
                </c:pt>
                <c:pt idx="54" formatCode="General">
                  <c:v>0.0</c:v>
                </c:pt>
                <c:pt idx="55" formatCode="General">
                  <c:v>0.0</c:v>
                </c:pt>
                <c:pt idx="56" formatCode="General">
                  <c:v>0.0</c:v>
                </c:pt>
                <c:pt idx="57" formatCode="General">
                  <c:v>0.0</c:v>
                </c:pt>
                <c:pt idx="58" formatCode="General">
                  <c:v>0.0</c:v>
                </c:pt>
                <c:pt idx="59" formatCode="General">
                  <c:v>0.0</c:v>
                </c:pt>
                <c:pt idx="60" formatCode="General">
                  <c:v>0.0</c:v>
                </c:pt>
                <c:pt idx="61" formatCode="General">
                  <c:v>0.0</c:v>
                </c:pt>
                <c:pt idx="62" formatCode="General">
                  <c:v>0.0</c:v>
                </c:pt>
                <c:pt idx="63" formatCode="General">
                  <c:v>0.0</c:v>
                </c:pt>
                <c:pt idx="64" formatCode="General">
                  <c:v>0.0</c:v>
                </c:pt>
                <c:pt idx="65" formatCode="General">
                  <c:v>0.0</c:v>
                </c:pt>
                <c:pt idx="66" formatCode="General">
                  <c:v>0.0</c:v>
                </c:pt>
                <c:pt idx="67" formatCode="General">
                  <c:v>0.0</c:v>
                </c:pt>
                <c:pt idx="68" formatCode="General">
                  <c:v>0.0</c:v>
                </c:pt>
                <c:pt idx="69" formatCode="General">
                  <c:v>0.0</c:v>
                </c:pt>
                <c:pt idx="70" formatCode="General">
                  <c:v>0.0</c:v>
                </c:pt>
              </c:numCache>
            </c:numRef>
          </c:yVal>
          <c:smooth val="0"/>
        </c:ser>
        <c:ser>
          <c:idx val="2"/>
          <c:order val="2"/>
          <c:tx>
            <c:strRef>
              <c:f>Sheet1!$P$87</c:f>
              <c:strCache>
                <c:ptCount val="1"/>
                <c:pt idx="0">
                  <c:v>192QAM</c:v>
                </c:pt>
              </c:strCache>
            </c:strRef>
          </c:tx>
          <c:spPr>
            <a:ln>
              <a:solidFill>
                <a:sysClr val="windowText" lastClr="000000"/>
              </a:solidFill>
            </a:ln>
          </c:spPr>
          <c:marker>
            <c:symbol val="none"/>
          </c:marker>
          <c:xVal>
            <c:numRef>
              <c:f>Sheet1!$M$88:$M$158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Sheet1!$P$88:$P$158</c:f>
              <c:numCache>
                <c:formatCode>0.00E+00</c:formatCode>
                <c:ptCount val="71"/>
                <c:pt idx="0">
                  <c:v>0.47927</c:v>
                </c:pt>
                <c:pt idx="1">
                  <c:v>0.4878</c:v>
                </c:pt>
                <c:pt idx="2">
                  <c:v>0.48264</c:v>
                </c:pt>
                <c:pt idx="3">
                  <c:v>0.47401</c:v>
                </c:pt>
                <c:pt idx="4">
                  <c:v>0.46915</c:v>
                </c:pt>
                <c:pt idx="5">
                  <c:v>0.46091</c:v>
                </c:pt>
                <c:pt idx="6">
                  <c:v>0.46528</c:v>
                </c:pt>
                <c:pt idx="7">
                  <c:v>0.45635</c:v>
                </c:pt>
                <c:pt idx="8">
                  <c:v>0.45685</c:v>
                </c:pt>
                <c:pt idx="9">
                  <c:v>0.44405</c:v>
                </c:pt>
                <c:pt idx="10">
                  <c:v>0.43046</c:v>
                </c:pt>
                <c:pt idx="11">
                  <c:v>0.42083</c:v>
                </c:pt>
                <c:pt idx="12">
                  <c:v>0.40159</c:v>
                </c:pt>
                <c:pt idx="13">
                  <c:v>0.40764</c:v>
                </c:pt>
                <c:pt idx="14">
                  <c:v>0.39454</c:v>
                </c:pt>
                <c:pt idx="15">
                  <c:v>0.37401</c:v>
                </c:pt>
                <c:pt idx="16">
                  <c:v>0.37044</c:v>
                </c:pt>
                <c:pt idx="17">
                  <c:v>0.35972</c:v>
                </c:pt>
                <c:pt idx="18">
                  <c:v>0.33581</c:v>
                </c:pt>
                <c:pt idx="19">
                  <c:v>0.33075</c:v>
                </c:pt>
                <c:pt idx="20">
                  <c:v>0.30615</c:v>
                </c:pt>
                <c:pt idx="21">
                  <c:v>0.30377</c:v>
                </c:pt>
                <c:pt idx="22">
                  <c:v>0.28948</c:v>
                </c:pt>
                <c:pt idx="23">
                  <c:v>0.27331</c:v>
                </c:pt>
                <c:pt idx="24">
                  <c:v>0.2623</c:v>
                </c:pt>
                <c:pt idx="25">
                  <c:v>0.24484</c:v>
                </c:pt>
                <c:pt idx="26">
                  <c:v>0.24296</c:v>
                </c:pt>
                <c:pt idx="27">
                  <c:v>0.2372</c:v>
                </c:pt>
                <c:pt idx="28">
                  <c:v>0.21895</c:v>
                </c:pt>
                <c:pt idx="29">
                  <c:v>0.21736</c:v>
                </c:pt>
                <c:pt idx="30">
                  <c:v>0.18423</c:v>
                </c:pt>
                <c:pt idx="31">
                  <c:v>0.17966</c:v>
                </c:pt>
                <c:pt idx="32">
                  <c:v>0.16558</c:v>
                </c:pt>
                <c:pt idx="33">
                  <c:v>0.13552</c:v>
                </c:pt>
                <c:pt idx="34">
                  <c:v>0.11399</c:v>
                </c:pt>
                <c:pt idx="35">
                  <c:v>0.11984</c:v>
                </c:pt>
                <c:pt idx="36">
                  <c:v>0.050496</c:v>
                </c:pt>
                <c:pt idx="37">
                  <c:v>0.076984</c:v>
                </c:pt>
                <c:pt idx="38">
                  <c:v>0.091964</c:v>
                </c:pt>
                <c:pt idx="39">
                  <c:v>0.0087262</c:v>
                </c:pt>
                <c:pt idx="40">
                  <c:v>0.028307</c:v>
                </c:pt>
                <c:pt idx="41">
                  <c:v>0.0062934</c:v>
                </c:pt>
                <c:pt idx="42">
                  <c:v>0.0075302</c:v>
                </c:pt>
                <c:pt idx="43">
                  <c:v>0.007414</c:v>
                </c:pt>
                <c:pt idx="44">
                  <c:v>0.0049698</c:v>
                </c:pt>
                <c:pt idx="45">
                  <c:v>0.010516</c:v>
                </c:pt>
                <c:pt idx="46">
                  <c:v>0.043155</c:v>
                </c:pt>
                <c:pt idx="47">
                  <c:v>0.0066877</c:v>
                </c:pt>
                <c:pt idx="48">
                  <c:v>0.0053776</c:v>
                </c:pt>
                <c:pt idx="49">
                  <c:v>0.011028</c:v>
                </c:pt>
                <c:pt idx="50">
                  <c:v>0.0052452</c:v>
                </c:pt>
                <c:pt idx="51">
                  <c:v>0.0014844</c:v>
                </c:pt>
                <c:pt idx="52">
                  <c:v>0.0012254</c:v>
                </c:pt>
                <c:pt idx="53">
                  <c:v>0.00078321</c:v>
                </c:pt>
                <c:pt idx="54">
                  <c:v>0.003322</c:v>
                </c:pt>
                <c:pt idx="55">
                  <c:v>0.0095592</c:v>
                </c:pt>
                <c:pt idx="56">
                  <c:v>0.0016023</c:v>
                </c:pt>
                <c:pt idx="57">
                  <c:v>0.0081019</c:v>
                </c:pt>
                <c:pt idx="58">
                  <c:v>0.00082879</c:v>
                </c:pt>
                <c:pt idx="59">
                  <c:v>0.012347</c:v>
                </c:pt>
                <c:pt idx="60">
                  <c:v>0.0029039</c:v>
                </c:pt>
                <c:pt idx="61">
                  <c:v>0.0021087</c:v>
                </c:pt>
                <c:pt idx="62">
                  <c:v>0.0045473</c:v>
                </c:pt>
                <c:pt idx="63">
                  <c:v>0.0025286</c:v>
                </c:pt>
                <c:pt idx="64">
                  <c:v>0.0021917</c:v>
                </c:pt>
                <c:pt idx="65">
                  <c:v>0.0031704</c:v>
                </c:pt>
                <c:pt idx="66">
                  <c:v>0.015486</c:v>
                </c:pt>
                <c:pt idx="67">
                  <c:v>0.13016</c:v>
                </c:pt>
                <c:pt idx="68">
                  <c:v>0.009212</c:v>
                </c:pt>
                <c:pt idx="69">
                  <c:v>0.0018363</c:v>
                </c:pt>
                <c:pt idx="70">
                  <c:v>0.0064909</c:v>
                </c:pt>
              </c:numCache>
            </c:numRef>
          </c:yVal>
          <c:smooth val="0"/>
        </c:ser>
        <c:ser>
          <c:idx val="3"/>
          <c:order val="3"/>
          <c:tx>
            <c:strRef>
              <c:f>Sheet1!$Q$87</c:f>
              <c:strCache>
                <c:ptCount val="1"/>
                <c:pt idx="0">
                  <c:v>256QAM</c:v>
                </c:pt>
              </c:strCache>
            </c:strRef>
          </c:tx>
          <c:spPr>
            <a:ln>
              <a:solidFill>
                <a:sysClr val="windowText" lastClr="000000"/>
              </a:solidFill>
              <a:prstDash val="dash"/>
            </a:ln>
          </c:spPr>
          <c:marker>
            <c:symbol val="none"/>
          </c:marker>
          <c:xVal>
            <c:numRef>
              <c:f>Sheet1!$M$88:$M$158</c:f>
              <c:numCache>
                <c:formatCode>General</c:formatCode>
                <c:ptCount val="71"/>
                <c:pt idx="0">
                  <c:v>0.0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numCache>
            </c:numRef>
          </c:xVal>
          <c:yVal>
            <c:numRef>
              <c:f>Sheet1!$Q$88:$Q$158</c:f>
              <c:numCache>
                <c:formatCode>0.00E+00</c:formatCode>
                <c:ptCount val="71"/>
                <c:pt idx="0">
                  <c:v>0.50139</c:v>
                </c:pt>
                <c:pt idx="1">
                  <c:v>0.49841</c:v>
                </c:pt>
                <c:pt idx="2">
                  <c:v>0.49573</c:v>
                </c:pt>
                <c:pt idx="3">
                  <c:v>0.48769</c:v>
                </c:pt>
                <c:pt idx="4">
                  <c:v>0.50149</c:v>
                </c:pt>
                <c:pt idx="5">
                  <c:v>0.49464</c:v>
                </c:pt>
                <c:pt idx="6">
                  <c:v>0.4998</c:v>
                </c:pt>
                <c:pt idx="7">
                  <c:v>0.49801</c:v>
                </c:pt>
                <c:pt idx="8">
                  <c:v>0.50397</c:v>
                </c:pt>
                <c:pt idx="9">
                  <c:v>0.49394</c:v>
                </c:pt>
                <c:pt idx="10">
                  <c:v>0.487</c:v>
                </c:pt>
                <c:pt idx="11">
                  <c:v>0.49921</c:v>
                </c:pt>
                <c:pt idx="12">
                  <c:v>0.49345</c:v>
                </c:pt>
                <c:pt idx="13">
                  <c:v>0.49603</c:v>
                </c:pt>
                <c:pt idx="14">
                  <c:v>0.49931</c:v>
                </c:pt>
                <c:pt idx="15">
                  <c:v>0.49414</c:v>
                </c:pt>
                <c:pt idx="16">
                  <c:v>0.50546</c:v>
                </c:pt>
                <c:pt idx="17">
                  <c:v>0.50586</c:v>
                </c:pt>
                <c:pt idx="18">
                  <c:v>0.49653</c:v>
                </c:pt>
                <c:pt idx="19">
                  <c:v>0.49811</c:v>
                </c:pt>
                <c:pt idx="20">
                  <c:v>0.50347</c:v>
                </c:pt>
                <c:pt idx="21">
                  <c:v>0.49186</c:v>
                </c:pt>
                <c:pt idx="22">
                  <c:v>0.48233</c:v>
                </c:pt>
                <c:pt idx="23">
                  <c:v>0.47479</c:v>
                </c:pt>
                <c:pt idx="24">
                  <c:v>0.48064</c:v>
                </c:pt>
                <c:pt idx="25">
                  <c:v>0.47111</c:v>
                </c:pt>
                <c:pt idx="26">
                  <c:v>0.46426</c:v>
                </c:pt>
                <c:pt idx="27">
                  <c:v>0.46456</c:v>
                </c:pt>
                <c:pt idx="28">
                  <c:v>0.43806</c:v>
                </c:pt>
                <c:pt idx="29">
                  <c:v>0.4327</c:v>
                </c:pt>
                <c:pt idx="30">
                  <c:v>0.42188</c:v>
                </c:pt>
                <c:pt idx="31">
                  <c:v>0.42714</c:v>
                </c:pt>
                <c:pt idx="32">
                  <c:v>0.36182</c:v>
                </c:pt>
                <c:pt idx="33">
                  <c:v>0.35448</c:v>
                </c:pt>
                <c:pt idx="34">
                  <c:v>0.31437</c:v>
                </c:pt>
                <c:pt idx="35">
                  <c:v>0.32648</c:v>
                </c:pt>
                <c:pt idx="36">
                  <c:v>0.2696</c:v>
                </c:pt>
                <c:pt idx="37">
                  <c:v>0.29809</c:v>
                </c:pt>
                <c:pt idx="38">
                  <c:v>0.18801</c:v>
                </c:pt>
                <c:pt idx="39">
                  <c:v>0.22434</c:v>
                </c:pt>
                <c:pt idx="40">
                  <c:v>0.14741</c:v>
                </c:pt>
                <c:pt idx="41">
                  <c:v>0.19992</c:v>
                </c:pt>
                <c:pt idx="42">
                  <c:v>0.15272</c:v>
                </c:pt>
                <c:pt idx="43">
                  <c:v>0.2834</c:v>
                </c:pt>
                <c:pt idx="44">
                  <c:v>0.063034</c:v>
                </c:pt>
                <c:pt idx="45">
                  <c:v>0.017686</c:v>
                </c:pt>
                <c:pt idx="46">
                  <c:v>0.045742</c:v>
                </c:pt>
                <c:pt idx="47">
                  <c:v>0.086526</c:v>
                </c:pt>
                <c:pt idx="48">
                  <c:v>0.023347</c:v>
                </c:pt>
                <c:pt idx="49">
                  <c:v>0.1346</c:v>
                </c:pt>
                <c:pt idx="50">
                  <c:v>0.018736</c:v>
                </c:pt>
                <c:pt idx="51">
                  <c:v>0.031616</c:v>
                </c:pt>
                <c:pt idx="52">
                  <c:v>0.030127</c:v>
                </c:pt>
                <c:pt idx="53">
                  <c:v>0.015873</c:v>
                </c:pt>
                <c:pt idx="54">
                  <c:v>0.026773</c:v>
                </c:pt>
                <c:pt idx="55">
                  <c:v>0.20637</c:v>
                </c:pt>
                <c:pt idx="56">
                  <c:v>0.047796</c:v>
                </c:pt>
                <c:pt idx="57">
                  <c:v>0.034793</c:v>
                </c:pt>
                <c:pt idx="58">
                  <c:v>0.034321</c:v>
                </c:pt>
                <c:pt idx="59">
                  <c:v>0.040183</c:v>
                </c:pt>
                <c:pt idx="60">
                  <c:v>0.019506</c:v>
                </c:pt>
                <c:pt idx="61">
                  <c:v>0.12289</c:v>
                </c:pt>
                <c:pt idx="62">
                  <c:v>0.026639</c:v>
                </c:pt>
                <c:pt idx="63">
                  <c:v>0.035636</c:v>
                </c:pt>
                <c:pt idx="64">
                  <c:v>0.021177</c:v>
                </c:pt>
                <c:pt idx="65">
                  <c:v>0.073109</c:v>
                </c:pt>
                <c:pt idx="66">
                  <c:v>0.025883</c:v>
                </c:pt>
                <c:pt idx="67">
                  <c:v>0.010257</c:v>
                </c:pt>
                <c:pt idx="68">
                  <c:v>0.048243</c:v>
                </c:pt>
                <c:pt idx="69">
                  <c:v>0.014332</c:v>
                </c:pt>
                <c:pt idx="70">
                  <c:v>0.017333</c:v>
                </c:pt>
              </c:numCache>
            </c:numRef>
          </c:yVal>
          <c:smooth val="0"/>
        </c:ser>
        <c:dLbls>
          <c:showLegendKey val="0"/>
          <c:showVal val="0"/>
          <c:showCatName val="0"/>
          <c:showSerName val="0"/>
          <c:showPercent val="0"/>
          <c:showBubbleSize val="0"/>
        </c:dLbls>
        <c:axId val="-2129176888"/>
        <c:axId val="-2127218344"/>
      </c:scatterChart>
      <c:valAx>
        <c:axId val="-2129176888"/>
        <c:scaling>
          <c:orientation val="minMax"/>
          <c:max val="50.0"/>
        </c:scaling>
        <c:delete val="0"/>
        <c:axPos val="b"/>
        <c:majorGridlines/>
        <c:title>
          <c:tx>
            <c:rich>
              <a:bodyPr/>
              <a:lstStyle/>
              <a:p>
                <a:pPr>
                  <a:defRPr sz="1600"/>
                </a:pPr>
                <a:r>
                  <a:rPr lang="en-US" altLang="ja-JP"/>
                  <a:t>E</a:t>
                </a:r>
                <a:r>
                  <a:rPr lang="en-US" altLang="ja-JP" baseline="-25000"/>
                  <a:t>b</a:t>
                </a:r>
                <a:r>
                  <a:rPr lang="en-US" altLang="ja-JP" baseline="0"/>
                  <a:t> / N</a:t>
                </a:r>
                <a:r>
                  <a:rPr lang="en-US" altLang="ja-JP" baseline="-25000"/>
                  <a:t>0</a:t>
                </a:r>
                <a:r>
                  <a:rPr lang="en-US" altLang="ja-JP" baseline="0"/>
                  <a:t>   (dB)</a:t>
                </a:r>
              </a:p>
            </c:rich>
          </c:tx>
          <c:layout/>
          <c:overlay val="0"/>
        </c:title>
        <c:numFmt formatCode="General" sourceLinked="1"/>
        <c:majorTickMark val="out"/>
        <c:minorTickMark val="none"/>
        <c:tickLblPos val="low"/>
        <c:txPr>
          <a:bodyPr/>
          <a:lstStyle/>
          <a:p>
            <a:pPr>
              <a:defRPr sz="1200"/>
            </a:pPr>
            <a:endParaRPr lang="ja-JP"/>
          </a:p>
        </c:txPr>
        <c:crossAx val="-2127218344"/>
        <c:crosses val="autoZero"/>
        <c:crossBetween val="midCat"/>
      </c:valAx>
      <c:valAx>
        <c:axId val="-2127218344"/>
        <c:scaling>
          <c:logBase val="10.0"/>
          <c:orientation val="minMax"/>
          <c:min val="1.0E-5"/>
        </c:scaling>
        <c:delete val="0"/>
        <c:axPos val="l"/>
        <c:majorGridlines/>
        <c:minorGridlines/>
        <c:title>
          <c:tx>
            <c:rich>
              <a:bodyPr rot="-5400000" vert="horz"/>
              <a:lstStyle/>
              <a:p>
                <a:pPr>
                  <a:defRPr sz="1600"/>
                </a:pPr>
                <a:r>
                  <a:rPr lang="en-US" altLang="en-US"/>
                  <a:t>BER</a:t>
                </a:r>
              </a:p>
            </c:rich>
          </c:tx>
          <c:layout/>
          <c:overlay val="0"/>
        </c:title>
        <c:numFmt formatCode="0.E+00" sourceLinked="0"/>
        <c:majorTickMark val="out"/>
        <c:minorTickMark val="none"/>
        <c:tickLblPos val="nextTo"/>
        <c:txPr>
          <a:bodyPr/>
          <a:lstStyle/>
          <a:p>
            <a:pPr>
              <a:defRPr sz="1200"/>
            </a:pPr>
            <a:endParaRPr lang="ja-JP"/>
          </a:p>
        </c:txPr>
        <c:crossAx val="-2129176888"/>
        <c:crosses val="autoZero"/>
        <c:crossBetween val="midCat"/>
      </c:valAx>
    </c:plotArea>
    <c:legend>
      <c:legendPos val="r"/>
      <c:layout>
        <c:manualLayout>
          <c:xMode val="edge"/>
          <c:yMode val="edge"/>
          <c:x val="0.24172290461619"/>
          <c:y val="0.580841747389357"/>
          <c:w val="0.197920834136419"/>
          <c:h val="0.241438914939946"/>
        </c:manualLayout>
      </c:layout>
      <c:overlay val="0"/>
      <c:spPr>
        <a:solidFill>
          <a:sysClr val="window" lastClr="FFFFFF"/>
        </a:solidFill>
      </c:spPr>
      <c:txPr>
        <a:bodyPr/>
        <a:lstStyle/>
        <a:p>
          <a:pPr>
            <a:defRPr sz="1100"/>
          </a:pPr>
          <a:endParaRPr lang="ja-JP"/>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1069-F7EA-5048-9685-49ED2B6E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520</Words>
  <Characters>2763</Characters>
  <Application>Microsoft Macintosh Word</Application>
  <DocSecurity>0</DocSecurity>
  <Lines>110</Lines>
  <Paragraphs>64</Paragraphs>
  <ScaleCrop>false</ScaleCrop>
  <HeadingPairs>
    <vt:vector size="2" baseType="variant">
      <vt:variant>
        <vt:lpstr>タイトル</vt:lpstr>
      </vt:variant>
      <vt:variant>
        <vt:i4>1</vt:i4>
      </vt:variant>
    </vt:vector>
  </HeadingPairs>
  <TitlesOfParts>
    <vt:vector size="1" baseType="lpstr">
      <vt:lpstr>doc.: IEEE 802.22-13/0xxxr0</vt:lpstr>
    </vt:vector>
  </TitlesOfParts>
  <Manager/>
  <Company>Niigata University</Company>
  <LinksUpToDate>false</LinksUpToDate>
  <CharactersWithSpaces>3219</CharactersWithSpaces>
  <SharedDoc>false</SharedDoc>
  <HyperlinkBase/>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802.22-14/0055r0</dc:title>
  <dc:subject>Submission</dc:subject>
  <dc:creator>Shigenobu Sasaki</dc:creator>
  <cp:keywords>March 2014</cp:keywords>
  <dc:description>Shigenobu Sasaki, Niigta University</dc:description>
  <cp:lastModifiedBy>Sasaki Shigenobu</cp:lastModifiedBy>
  <cp:revision>7</cp:revision>
  <cp:lastPrinted>1900-12-31T15:00:00Z</cp:lastPrinted>
  <dcterms:created xsi:type="dcterms:W3CDTF">2014-02-21T01:52:00Z</dcterms:created>
  <dcterms:modified xsi:type="dcterms:W3CDTF">2014-03-18T17:18:00Z</dcterms:modified>
  <cp:category/>
</cp:coreProperties>
</file>