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B6794" w:rsidRDefault="00AD3A3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trPr>
          <w:trHeight w:val="485"/>
          <w:jc w:val="center"/>
        </w:trPr>
        <w:tc>
          <w:tcPr>
            <w:tcW w:w="9576" w:type="dxa"/>
            <w:gridSpan w:val="5"/>
            <w:vAlign w:val="center"/>
          </w:tcPr>
          <w:p w:rsidR="009B6794" w:rsidRDefault="009B6794" w:rsidP="005C7A7D">
            <w:pPr>
              <w:pStyle w:val="T2"/>
            </w:pPr>
            <w:r>
              <w:t>TGb LB1 CID</w:t>
            </w:r>
            <w:r w:rsidR="00C507D7">
              <w:t xml:space="preserve"> </w:t>
            </w:r>
            <w:r w:rsidR="006503DE">
              <w:t>21</w:t>
            </w:r>
            <w:r w:rsidR="005C7A7D">
              <w:t>6</w:t>
            </w:r>
            <w:r w:rsidR="00C507D7">
              <w:t xml:space="preserve"> </w:t>
            </w:r>
            <w:r>
              <w:t xml:space="preserve">Comment Resolution </w:t>
            </w:r>
          </w:p>
        </w:tc>
      </w:tr>
      <w:tr w:rsidR="009B6794">
        <w:trPr>
          <w:trHeight w:val="359"/>
          <w:jc w:val="center"/>
        </w:trPr>
        <w:tc>
          <w:tcPr>
            <w:tcW w:w="9576" w:type="dxa"/>
            <w:gridSpan w:val="5"/>
            <w:vAlign w:val="center"/>
          </w:tcPr>
          <w:p w:rsidR="009B6794" w:rsidRDefault="00AD3A3F" w:rsidP="00C1249C">
            <w:pPr>
              <w:pStyle w:val="T2"/>
              <w:ind w:left="0"/>
              <w:rPr>
                <w:sz w:val="20"/>
              </w:rPr>
            </w:pPr>
            <w:r>
              <w:rPr>
                <w:sz w:val="20"/>
              </w:rPr>
              <w:t>Date:</w:t>
            </w:r>
            <w:r>
              <w:rPr>
                <w:b w:val="0"/>
                <w:sz w:val="20"/>
              </w:rPr>
              <w:t xml:space="preserve">  </w:t>
            </w:r>
            <w:r w:rsidR="009B6794">
              <w:rPr>
                <w:b w:val="0"/>
                <w:sz w:val="20"/>
              </w:rPr>
              <w:t>201</w:t>
            </w:r>
            <w:r w:rsidR="009039E3">
              <w:rPr>
                <w:b w:val="0"/>
                <w:sz w:val="20"/>
              </w:rPr>
              <w:t>4</w:t>
            </w:r>
            <w:r>
              <w:rPr>
                <w:b w:val="0"/>
                <w:sz w:val="20"/>
              </w:rPr>
              <w:t>-</w:t>
            </w:r>
            <w:r w:rsidR="009039E3">
              <w:rPr>
                <w:b w:val="0"/>
                <w:sz w:val="20"/>
              </w:rPr>
              <w:t>0</w:t>
            </w:r>
            <w:r w:rsidR="005C7A7D">
              <w:rPr>
                <w:b w:val="0"/>
                <w:sz w:val="20"/>
              </w:rPr>
              <w:t>2</w:t>
            </w:r>
            <w:r>
              <w:rPr>
                <w:b w:val="0"/>
                <w:sz w:val="20"/>
              </w:rPr>
              <w:t>-</w:t>
            </w:r>
            <w:r w:rsidR="00C1249C">
              <w:rPr>
                <w:b w:val="0"/>
                <w:sz w:val="20"/>
              </w:rPr>
              <w:t>18</w:t>
            </w:r>
          </w:p>
        </w:tc>
      </w:tr>
      <w:tr w:rsidR="009B6794">
        <w:trPr>
          <w:cantSplit/>
          <w:jc w:val="center"/>
        </w:trPr>
        <w:tc>
          <w:tcPr>
            <w:tcW w:w="9576" w:type="dxa"/>
            <w:gridSpan w:val="5"/>
            <w:vAlign w:val="center"/>
          </w:tcPr>
          <w:p w:rsidR="009B6794" w:rsidRDefault="00AD3A3F">
            <w:pPr>
              <w:pStyle w:val="T2"/>
              <w:spacing w:after="0"/>
              <w:ind w:left="0" w:right="0"/>
              <w:jc w:val="left"/>
              <w:rPr>
                <w:sz w:val="20"/>
              </w:rPr>
            </w:pPr>
            <w:r>
              <w:rPr>
                <w:sz w:val="20"/>
              </w:rPr>
              <w:t>Author(s):</w:t>
            </w:r>
          </w:p>
        </w:tc>
      </w:tr>
      <w:tr w:rsidR="009B6794">
        <w:trPr>
          <w:jc w:val="center"/>
        </w:trPr>
        <w:tc>
          <w:tcPr>
            <w:tcW w:w="1336" w:type="dxa"/>
            <w:vAlign w:val="center"/>
          </w:tcPr>
          <w:p w:rsidR="009B6794" w:rsidRDefault="00AD3A3F">
            <w:pPr>
              <w:pStyle w:val="T2"/>
              <w:spacing w:after="0"/>
              <w:ind w:left="0" w:right="0"/>
              <w:jc w:val="left"/>
              <w:rPr>
                <w:sz w:val="20"/>
              </w:rPr>
            </w:pPr>
            <w:r>
              <w:rPr>
                <w:sz w:val="20"/>
              </w:rPr>
              <w:t>Name</w:t>
            </w:r>
          </w:p>
        </w:tc>
        <w:tc>
          <w:tcPr>
            <w:tcW w:w="2064" w:type="dxa"/>
            <w:vAlign w:val="center"/>
          </w:tcPr>
          <w:p w:rsidR="009B6794" w:rsidRDefault="00AD3A3F">
            <w:pPr>
              <w:pStyle w:val="T2"/>
              <w:spacing w:after="0"/>
              <w:ind w:left="0" w:right="0"/>
              <w:jc w:val="left"/>
              <w:rPr>
                <w:sz w:val="20"/>
              </w:rPr>
            </w:pPr>
            <w:r>
              <w:rPr>
                <w:sz w:val="20"/>
              </w:rPr>
              <w:t>Company</w:t>
            </w:r>
          </w:p>
        </w:tc>
        <w:tc>
          <w:tcPr>
            <w:tcW w:w="2814" w:type="dxa"/>
            <w:vAlign w:val="center"/>
          </w:tcPr>
          <w:p w:rsidR="009B6794" w:rsidRDefault="00AD3A3F">
            <w:pPr>
              <w:pStyle w:val="T2"/>
              <w:spacing w:after="0"/>
              <w:ind w:left="0" w:right="0"/>
              <w:jc w:val="left"/>
              <w:rPr>
                <w:sz w:val="20"/>
              </w:rPr>
            </w:pPr>
            <w:r>
              <w:rPr>
                <w:sz w:val="20"/>
              </w:rPr>
              <w:t>Address</w:t>
            </w:r>
          </w:p>
        </w:tc>
        <w:tc>
          <w:tcPr>
            <w:tcW w:w="1715" w:type="dxa"/>
            <w:vAlign w:val="center"/>
          </w:tcPr>
          <w:p w:rsidR="009B6794" w:rsidRDefault="00AD3A3F">
            <w:pPr>
              <w:pStyle w:val="T2"/>
              <w:spacing w:after="0"/>
              <w:ind w:left="0" w:right="0"/>
              <w:jc w:val="left"/>
              <w:rPr>
                <w:sz w:val="20"/>
              </w:rPr>
            </w:pPr>
            <w:r>
              <w:rPr>
                <w:sz w:val="20"/>
              </w:rPr>
              <w:t>Phone</w:t>
            </w:r>
          </w:p>
        </w:tc>
        <w:tc>
          <w:tcPr>
            <w:tcW w:w="1647" w:type="dxa"/>
            <w:vAlign w:val="center"/>
          </w:tcPr>
          <w:p w:rsidR="009B6794" w:rsidRDefault="00AD3A3F">
            <w:pPr>
              <w:pStyle w:val="T2"/>
              <w:spacing w:after="0"/>
              <w:ind w:left="0" w:right="0"/>
              <w:jc w:val="left"/>
              <w:rPr>
                <w:sz w:val="20"/>
              </w:rPr>
            </w:pPr>
            <w:r>
              <w:rPr>
                <w:sz w:val="20"/>
              </w:rPr>
              <w:t>email</w:t>
            </w:r>
          </w:p>
        </w:tc>
      </w:tr>
      <w:tr w:rsidR="009B6794">
        <w:trPr>
          <w:jc w:val="center"/>
        </w:trPr>
        <w:tc>
          <w:tcPr>
            <w:tcW w:w="1336" w:type="dxa"/>
            <w:vAlign w:val="center"/>
          </w:tcPr>
          <w:p w:rsidR="009B6794" w:rsidRDefault="009B6794">
            <w:pPr>
              <w:pStyle w:val="T2"/>
              <w:spacing w:after="0"/>
              <w:ind w:left="0" w:right="0"/>
              <w:rPr>
                <w:b w:val="0"/>
                <w:sz w:val="20"/>
              </w:rPr>
            </w:pPr>
            <w:r>
              <w:rPr>
                <w:b w:val="0"/>
                <w:sz w:val="20"/>
              </w:rPr>
              <w:t>Ranga Reddy</w:t>
            </w:r>
          </w:p>
        </w:tc>
        <w:tc>
          <w:tcPr>
            <w:tcW w:w="2064" w:type="dxa"/>
            <w:vAlign w:val="center"/>
          </w:tcPr>
          <w:p w:rsidR="009B6794" w:rsidRDefault="009B6794">
            <w:pPr>
              <w:pStyle w:val="T2"/>
              <w:spacing w:after="0"/>
              <w:ind w:left="0" w:right="0"/>
              <w:rPr>
                <w:b w:val="0"/>
                <w:sz w:val="20"/>
              </w:rPr>
            </w:pPr>
            <w:r>
              <w:rPr>
                <w:b w:val="0"/>
                <w:sz w:val="20"/>
              </w:rPr>
              <w:t>Self</w:t>
            </w: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7A1C90">
            <w:pPr>
              <w:pStyle w:val="T2"/>
              <w:spacing w:after="0"/>
              <w:ind w:left="0" w:right="0"/>
              <w:rPr>
                <w:b w:val="0"/>
                <w:sz w:val="16"/>
              </w:rPr>
            </w:pPr>
            <w:hyperlink r:id="rId7" w:history="1">
              <w:r w:rsidR="009B6794" w:rsidRPr="004E5703">
                <w:rPr>
                  <w:rStyle w:val="Hyperlink"/>
                  <w:sz w:val="16"/>
                </w:rPr>
                <w:t>ranga.reddy@me.com</w:t>
              </w:r>
            </w:hyperlink>
          </w:p>
        </w:tc>
      </w:tr>
      <w:tr w:rsidR="009B6794">
        <w:trPr>
          <w:jc w:val="center"/>
        </w:trPr>
        <w:tc>
          <w:tcPr>
            <w:tcW w:w="1336" w:type="dxa"/>
            <w:vAlign w:val="center"/>
          </w:tcPr>
          <w:p w:rsidR="009B6794" w:rsidRDefault="009B6794">
            <w:pPr>
              <w:pStyle w:val="T2"/>
              <w:spacing w:after="0"/>
              <w:ind w:left="0" w:right="0"/>
              <w:rPr>
                <w:b w:val="0"/>
                <w:sz w:val="20"/>
              </w:rPr>
            </w:pPr>
          </w:p>
        </w:tc>
        <w:tc>
          <w:tcPr>
            <w:tcW w:w="2064" w:type="dxa"/>
            <w:vAlign w:val="center"/>
          </w:tcPr>
          <w:p w:rsidR="009B6794" w:rsidRDefault="009B6794">
            <w:pPr>
              <w:pStyle w:val="T2"/>
              <w:spacing w:after="0"/>
              <w:ind w:left="0" w:right="0"/>
              <w:rPr>
                <w:b w:val="0"/>
                <w:sz w:val="20"/>
              </w:rPr>
            </w:pP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9B6794">
            <w:pPr>
              <w:pStyle w:val="T2"/>
              <w:spacing w:after="0"/>
              <w:ind w:left="0" w:right="0"/>
              <w:rPr>
                <w:b w:val="0"/>
                <w:sz w:val="16"/>
              </w:rPr>
            </w:pPr>
          </w:p>
        </w:tc>
      </w:tr>
    </w:tbl>
    <w:p w:rsidR="009B6794" w:rsidRDefault="007A1C90">
      <w:pPr>
        <w:pStyle w:val="T1"/>
        <w:spacing w:after="120"/>
        <w:rPr>
          <w:sz w:val="22"/>
        </w:rPr>
      </w:pPr>
      <w:r w:rsidRPr="007A1C90">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655996" w:rsidRDefault="00655996">
                  <w:pPr>
                    <w:pStyle w:val="T1"/>
                    <w:spacing w:after="120"/>
                  </w:pPr>
                  <w:r>
                    <w:t>Abstract</w:t>
                  </w:r>
                </w:p>
                <w:p w:rsidR="00655996" w:rsidRDefault="00655996">
                  <w:pPr>
                    <w:jc w:val="both"/>
                  </w:pPr>
                  <w:r>
                    <w:t xml:space="preserve">Proposed resolution for Comment ID 216, as listed in the TGb Letter Ballot 1 comment database, DCN: 22-13/158r0 (or latest revision). </w:t>
                  </w:r>
                </w:p>
              </w:txbxContent>
            </v:textbox>
          </v:shape>
        </w:pict>
      </w:r>
    </w:p>
    <w:p w:rsidR="009B6794" w:rsidRDefault="007A1C90" w:rsidP="009B6794">
      <w:r w:rsidRPr="007A1C90">
        <w:rPr>
          <w:noProof/>
        </w:rPr>
        <w:pict>
          <v:shape id="_x0000_s1028" type="#_x0000_t202" style="position:absolute;margin-left:-4.95pt;margin-top:271.95pt;width:477pt;height:220.6pt;z-index:251658240" o:allowincell="f" strokecolor="blue" strokeweight="2pt">
            <v:textbox style="mso-next-textbox:#_x0000_s1028">
              <w:txbxContent>
                <w:p w:rsidR="00655996" w:rsidRDefault="00655996">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55996" w:rsidRDefault="00655996">
                  <w:pPr>
                    <w:jc w:val="both"/>
                    <w:rPr>
                      <w:rFonts w:ascii="Arial Unicode MS" w:eastAsia="Arial Unicode MS" w:hAnsi="Arial Unicode MS"/>
                      <w:color w:val="000000"/>
                      <w:sz w:val="18"/>
                      <w:lang w:val="en-US"/>
                    </w:rPr>
                  </w:pPr>
                </w:p>
                <w:p w:rsidR="00655996" w:rsidRDefault="00655996">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655996" w:rsidRDefault="00655996">
                  <w:pPr>
                    <w:jc w:val="both"/>
                    <w:rPr>
                      <w:color w:val="000000"/>
                      <w:sz w:val="18"/>
                    </w:rPr>
                  </w:pPr>
                </w:p>
                <w:p w:rsidR="00655996" w:rsidRDefault="00655996">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655996" w:rsidRDefault="00655996">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v:textbox>
          </v:shape>
        </w:pict>
      </w:r>
      <w:r w:rsidR="00AD3A3F">
        <w:br w:type="page"/>
      </w:r>
    </w:p>
    <w:p w:rsidR="009B6794" w:rsidRDefault="009B6794">
      <w:r>
        <w:rPr>
          <w:b/>
          <w:u w:val="single"/>
        </w:rPr>
        <w:t>Introduction</w:t>
      </w:r>
    </w:p>
    <w:p w:rsidR="009B6794" w:rsidRDefault="009B6794"/>
    <w:p w:rsidR="009B6794" w:rsidRDefault="009B6794">
      <w:r>
        <w:t>This document proposes a resolution to CID 21</w:t>
      </w:r>
      <w:r w:rsidR="005C7A7D">
        <w:t>6</w:t>
      </w:r>
      <w:r w:rsidR="009F0BC4">
        <w:t xml:space="preserve"> </w:t>
      </w:r>
      <w:r>
        <w:t xml:space="preserve">in the TGb LB1 ballot.  </w:t>
      </w:r>
      <w:r w:rsidR="009F0BC4">
        <w:t xml:space="preserve">The resolution to </w:t>
      </w:r>
      <w:r w:rsidR="005C7A7D">
        <w:t xml:space="preserve">this comment will have an affect on how PHY Mode 1 and 2 and are handled when considering a mix of Legacy and Advanced CPEs. </w:t>
      </w:r>
    </w:p>
    <w:p w:rsidR="006A0E61" w:rsidRDefault="006A0E61">
      <w:pPr>
        <w:rPr>
          <w:rFonts w:ascii="Arial" w:hAnsi="Arial"/>
          <w:sz w:val="20"/>
          <w:lang w:val="en-US"/>
        </w:rPr>
      </w:pPr>
    </w:p>
    <w:tbl>
      <w:tblPr>
        <w:tblW w:w="10188" w:type="dxa"/>
        <w:tblInd w:w="108" w:type="dxa"/>
        <w:tblLook w:val="0000"/>
      </w:tblPr>
      <w:tblGrid>
        <w:gridCol w:w="573"/>
        <w:gridCol w:w="1236"/>
        <w:gridCol w:w="611"/>
        <w:gridCol w:w="444"/>
        <w:gridCol w:w="773"/>
        <w:gridCol w:w="444"/>
        <w:gridCol w:w="523"/>
        <w:gridCol w:w="523"/>
        <w:gridCol w:w="555"/>
        <w:gridCol w:w="4506"/>
      </w:tblGrid>
      <w:tr w:rsidR="005C7A7D" w:rsidRPr="005C7A7D">
        <w:trPr>
          <w:trHeight w:val="1440"/>
        </w:trPr>
        <w:tc>
          <w:tcPr>
            <w:tcW w:w="574" w:type="dxa"/>
            <w:tcBorders>
              <w:top w:val="nil"/>
              <w:left w:val="nil"/>
              <w:bottom w:val="nil"/>
              <w:right w:val="nil"/>
            </w:tcBorders>
            <w:shd w:val="clear" w:color="auto" w:fill="FFFF00"/>
            <w:noWrap/>
          </w:tcPr>
          <w:p w:rsidR="005C7A7D" w:rsidRPr="005C7A7D" w:rsidRDefault="005C7A7D" w:rsidP="005C7A7D">
            <w:pPr>
              <w:jc w:val="center"/>
              <w:rPr>
                <w:rFonts w:ascii="Arial" w:hAnsi="Arial"/>
                <w:sz w:val="20"/>
                <w:szCs w:val="20"/>
                <w:lang w:val="en-US"/>
              </w:rPr>
            </w:pPr>
            <w:r w:rsidRPr="005C7A7D">
              <w:rPr>
                <w:rFonts w:ascii="Arial" w:hAnsi="Arial"/>
                <w:sz w:val="20"/>
                <w:szCs w:val="20"/>
                <w:lang w:val="en-US"/>
              </w:rPr>
              <w:t>216</w:t>
            </w:r>
          </w:p>
        </w:tc>
        <w:tc>
          <w:tcPr>
            <w:tcW w:w="1238" w:type="dxa"/>
            <w:tcBorders>
              <w:top w:val="nil"/>
              <w:left w:val="nil"/>
              <w:bottom w:val="nil"/>
              <w:right w:val="nil"/>
            </w:tcBorders>
            <w:shd w:val="clear" w:color="auto" w:fill="FFFF00"/>
            <w:noWrap/>
          </w:tcPr>
          <w:p w:rsidR="005C7A7D" w:rsidRPr="005C7A7D" w:rsidRDefault="005C7A7D" w:rsidP="005C7A7D">
            <w:pPr>
              <w:rPr>
                <w:rFonts w:ascii="Arial" w:hAnsi="Arial"/>
                <w:sz w:val="20"/>
                <w:szCs w:val="20"/>
                <w:lang w:val="en-US"/>
              </w:rPr>
            </w:pPr>
            <w:r w:rsidRPr="005C7A7D">
              <w:rPr>
                <w:rFonts w:ascii="Arial" w:hAnsi="Arial"/>
                <w:sz w:val="20"/>
                <w:szCs w:val="20"/>
                <w:lang w:val="en-US"/>
              </w:rPr>
              <w:t>Ranga Reddy</w:t>
            </w:r>
          </w:p>
        </w:tc>
        <w:tc>
          <w:tcPr>
            <w:tcW w:w="611" w:type="dxa"/>
            <w:tcBorders>
              <w:top w:val="nil"/>
              <w:left w:val="nil"/>
              <w:bottom w:val="nil"/>
              <w:right w:val="nil"/>
            </w:tcBorders>
            <w:shd w:val="clear" w:color="auto" w:fill="FFFF00"/>
          </w:tcPr>
          <w:p w:rsidR="005C7A7D" w:rsidRPr="005C7A7D" w:rsidRDefault="005C7A7D" w:rsidP="005C7A7D">
            <w:pPr>
              <w:rPr>
                <w:rFonts w:ascii="Arial" w:hAnsi="Arial"/>
                <w:sz w:val="20"/>
                <w:szCs w:val="20"/>
                <w:lang w:val="en-US"/>
              </w:rPr>
            </w:pPr>
            <w:r w:rsidRPr="005C7A7D">
              <w:rPr>
                <w:rFonts w:ascii="Arial" w:hAnsi="Arial"/>
                <w:sz w:val="20"/>
                <w:szCs w:val="20"/>
                <w:lang w:val="en-US"/>
              </w:rPr>
              <w:t>Self</w:t>
            </w:r>
          </w:p>
        </w:tc>
        <w:tc>
          <w:tcPr>
            <w:tcW w:w="444" w:type="dxa"/>
            <w:tcBorders>
              <w:top w:val="nil"/>
              <w:left w:val="nil"/>
              <w:bottom w:val="nil"/>
              <w:right w:val="nil"/>
            </w:tcBorders>
            <w:shd w:val="clear" w:color="auto" w:fill="FFFF00"/>
          </w:tcPr>
          <w:p w:rsidR="005C7A7D" w:rsidRPr="005C7A7D" w:rsidRDefault="005C7A7D" w:rsidP="005C7A7D">
            <w:pPr>
              <w:jc w:val="center"/>
              <w:rPr>
                <w:rFonts w:ascii="Arial" w:hAnsi="Arial"/>
                <w:sz w:val="20"/>
                <w:szCs w:val="20"/>
                <w:lang w:val="en-US"/>
              </w:rPr>
            </w:pPr>
            <w:r w:rsidRPr="005C7A7D">
              <w:rPr>
                <w:rFonts w:ascii="Arial" w:hAnsi="Arial"/>
                <w:sz w:val="20"/>
                <w:szCs w:val="20"/>
                <w:lang w:val="en-US"/>
              </w:rPr>
              <w:t>7</w:t>
            </w:r>
          </w:p>
        </w:tc>
        <w:tc>
          <w:tcPr>
            <w:tcW w:w="762" w:type="dxa"/>
            <w:tcBorders>
              <w:top w:val="nil"/>
              <w:left w:val="nil"/>
              <w:bottom w:val="nil"/>
              <w:right w:val="nil"/>
            </w:tcBorders>
            <w:shd w:val="clear" w:color="auto" w:fill="FFFF00"/>
          </w:tcPr>
          <w:p w:rsidR="005C7A7D" w:rsidRPr="005C7A7D" w:rsidRDefault="005C7A7D" w:rsidP="005C7A7D">
            <w:pPr>
              <w:jc w:val="center"/>
              <w:rPr>
                <w:rFonts w:ascii="Arial" w:hAnsi="Arial"/>
                <w:sz w:val="20"/>
                <w:szCs w:val="20"/>
                <w:lang w:val="en-US"/>
              </w:rPr>
            </w:pPr>
            <w:r w:rsidRPr="005C7A7D">
              <w:rPr>
                <w:rFonts w:ascii="Arial" w:hAnsi="Arial"/>
                <w:sz w:val="20"/>
                <w:szCs w:val="20"/>
                <w:lang w:val="en-US"/>
              </w:rPr>
              <w:t>7.4a.3</w:t>
            </w:r>
          </w:p>
        </w:tc>
        <w:tc>
          <w:tcPr>
            <w:tcW w:w="444" w:type="dxa"/>
            <w:tcBorders>
              <w:top w:val="nil"/>
              <w:left w:val="nil"/>
              <w:bottom w:val="nil"/>
              <w:right w:val="nil"/>
            </w:tcBorders>
            <w:shd w:val="clear" w:color="auto" w:fill="FFFF00"/>
          </w:tcPr>
          <w:p w:rsidR="005C7A7D" w:rsidRPr="005C7A7D" w:rsidRDefault="005C7A7D" w:rsidP="005C7A7D">
            <w:pPr>
              <w:jc w:val="center"/>
              <w:rPr>
                <w:rFonts w:ascii="Arial" w:hAnsi="Arial"/>
                <w:sz w:val="20"/>
                <w:szCs w:val="20"/>
                <w:lang w:val="en-US"/>
              </w:rPr>
            </w:pPr>
            <w:r w:rsidRPr="005C7A7D">
              <w:rPr>
                <w:rFonts w:ascii="Arial" w:hAnsi="Arial"/>
                <w:sz w:val="20"/>
                <w:szCs w:val="20"/>
                <w:lang w:val="en-US"/>
              </w:rPr>
              <w:t>1</w:t>
            </w:r>
          </w:p>
        </w:tc>
        <w:tc>
          <w:tcPr>
            <w:tcW w:w="523" w:type="dxa"/>
            <w:tcBorders>
              <w:top w:val="nil"/>
              <w:left w:val="nil"/>
              <w:bottom w:val="nil"/>
              <w:right w:val="nil"/>
            </w:tcBorders>
            <w:shd w:val="clear" w:color="auto" w:fill="FFFF00"/>
          </w:tcPr>
          <w:p w:rsidR="005C7A7D" w:rsidRPr="005C7A7D" w:rsidRDefault="005C7A7D" w:rsidP="005C7A7D">
            <w:pPr>
              <w:jc w:val="center"/>
              <w:rPr>
                <w:rFonts w:ascii="Arial" w:hAnsi="Arial"/>
                <w:sz w:val="20"/>
                <w:szCs w:val="20"/>
                <w:lang w:val="en-US"/>
              </w:rPr>
            </w:pPr>
            <w:r w:rsidRPr="005C7A7D">
              <w:rPr>
                <w:rFonts w:ascii="Arial" w:hAnsi="Arial"/>
                <w:sz w:val="20"/>
                <w:szCs w:val="20"/>
                <w:lang w:val="en-US"/>
              </w:rPr>
              <w:t>18</w:t>
            </w:r>
          </w:p>
        </w:tc>
        <w:tc>
          <w:tcPr>
            <w:tcW w:w="523" w:type="dxa"/>
            <w:tcBorders>
              <w:top w:val="nil"/>
              <w:left w:val="nil"/>
              <w:bottom w:val="nil"/>
              <w:right w:val="nil"/>
            </w:tcBorders>
            <w:shd w:val="clear" w:color="auto" w:fill="FFFF00"/>
          </w:tcPr>
          <w:p w:rsidR="005C7A7D" w:rsidRPr="005C7A7D" w:rsidRDefault="005C7A7D" w:rsidP="005C7A7D">
            <w:pPr>
              <w:jc w:val="center"/>
              <w:rPr>
                <w:rFonts w:ascii="Arial" w:hAnsi="Arial"/>
                <w:sz w:val="20"/>
                <w:szCs w:val="20"/>
                <w:lang w:val="en-US"/>
              </w:rPr>
            </w:pPr>
            <w:r w:rsidRPr="005C7A7D">
              <w:rPr>
                <w:rFonts w:ascii="Arial" w:hAnsi="Arial"/>
                <w:sz w:val="20"/>
                <w:szCs w:val="20"/>
                <w:lang w:val="en-US"/>
              </w:rPr>
              <w:t>37</w:t>
            </w:r>
          </w:p>
        </w:tc>
        <w:tc>
          <w:tcPr>
            <w:tcW w:w="555" w:type="dxa"/>
            <w:tcBorders>
              <w:top w:val="nil"/>
              <w:left w:val="nil"/>
              <w:bottom w:val="nil"/>
              <w:right w:val="nil"/>
            </w:tcBorders>
            <w:shd w:val="clear" w:color="auto" w:fill="FFFF00"/>
          </w:tcPr>
          <w:p w:rsidR="005C7A7D" w:rsidRPr="005C7A7D" w:rsidRDefault="005C7A7D" w:rsidP="005C7A7D">
            <w:pPr>
              <w:jc w:val="center"/>
              <w:rPr>
                <w:rFonts w:ascii="Arial" w:hAnsi="Arial"/>
                <w:sz w:val="20"/>
                <w:szCs w:val="20"/>
                <w:lang w:val="en-US"/>
              </w:rPr>
            </w:pPr>
            <w:r w:rsidRPr="005C7A7D">
              <w:rPr>
                <w:rFonts w:ascii="Arial" w:hAnsi="Arial"/>
                <w:sz w:val="20"/>
                <w:szCs w:val="20"/>
                <w:lang w:val="en-US"/>
              </w:rPr>
              <w:t>TR</w:t>
            </w:r>
          </w:p>
        </w:tc>
        <w:tc>
          <w:tcPr>
            <w:tcW w:w="4514" w:type="dxa"/>
            <w:tcBorders>
              <w:top w:val="nil"/>
              <w:left w:val="nil"/>
              <w:bottom w:val="nil"/>
              <w:right w:val="nil"/>
            </w:tcBorders>
            <w:shd w:val="clear" w:color="auto" w:fill="FFFF00"/>
          </w:tcPr>
          <w:p w:rsidR="005C7A7D" w:rsidRPr="005C7A7D" w:rsidRDefault="005C7A7D" w:rsidP="005C7A7D">
            <w:pPr>
              <w:rPr>
                <w:rFonts w:ascii="Arial" w:hAnsi="Arial"/>
                <w:sz w:val="20"/>
                <w:szCs w:val="20"/>
                <w:lang w:val="en-US"/>
              </w:rPr>
            </w:pPr>
            <w:r w:rsidRPr="005C7A7D">
              <w:rPr>
                <w:rFonts w:ascii="Arial" w:hAnsi="Arial"/>
                <w:sz w:val="20"/>
                <w:szCs w:val="20"/>
                <w:lang w:val="en-US"/>
              </w:rPr>
              <w:t>Here the OFDM slot is defined as 4 symbols by 1 subchannel. If a slot is constructed this way, it breaks compatibility with legacy CPEs. Future deployments may have to consider legacy/1st generation CPEs connecting to R-CPEs or MR-BS directly. MAPs/MAP IEs define allocations in terms of slots. A legacy CPE will not be able to process MAPs issued by a R-CPE or MR-BS</w:t>
            </w:r>
          </w:p>
        </w:tc>
      </w:tr>
    </w:tbl>
    <w:p w:rsidR="009B6794" w:rsidRDefault="009B6794"/>
    <w:p w:rsidR="005C7A7D" w:rsidRDefault="005C7A7D"/>
    <w:p w:rsidR="005C7A7D" w:rsidRPr="0030275F" w:rsidRDefault="005C7A7D" w:rsidP="005C7A7D">
      <w:pPr>
        <w:rPr>
          <w:b/>
          <w:u w:val="single"/>
        </w:rPr>
      </w:pPr>
      <w:r>
        <w:rPr>
          <w:b/>
          <w:u w:val="single"/>
        </w:rPr>
        <w:t>Background</w:t>
      </w:r>
    </w:p>
    <w:p w:rsidR="005C7A7D" w:rsidRDefault="005C7A7D"/>
    <w:p w:rsidR="00977456" w:rsidRDefault="005C7A7D">
      <w:r>
        <w:t>This amendment introduces two PHY modes, 1 and 2.</w:t>
      </w:r>
      <w:r w:rsidR="00977456">
        <w:t xml:space="preserve"> </w:t>
      </w:r>
      <w:r>
        <w:t xml:space="preserve"> The OFDM slot structure of PHY Mode 1 is defined as 1 symbol by 1 subchannel. </w:t>
      </w:r>
      <w:r w:rsidR="00977456">
        <w:t xml:space="preserve"> </w:t>
      </w:r>
      <w:r>
        <w:t xml:space="preserve">This PHY mode is backwards-compatible with the base standard (IEEE Std. 802.22-2011). </w:t>
      </w:r>
      <w:r w:rsidR="00977456">
        <w:t xml:space="preserve"> The OFDM slot structure of PHY Mode 2 is defined as 4 symbols by 1 subchannel.  This PHY mode is not backwards-compatible with the base standard.</w:t>
      </w:r>
      <w:r w:rsidR="00284871">
        <w:t xml:space="preserve">  The difference in slot sizes between both modes is along the time domain, e.g. in terms of # of symbols.</w:t>
      </w:r>
    </w:p>
    <w:p w:rsidR="00977456" w:rsidRDefault="00977456"/>
    <w:p w:rsidR="00977456" w:rsidRDefault="00977456">
      <w:r>
        <w:t>The issue arise when there is a mixed deployment of Legacy &amp; Advanced S-CPE’s w/in a cell or Access Zone.  This issue poses the following questions:</w:t>
      </w:r>
    </w:p>
    <w:p w:rsidR="00977456" w:rsidRDefault="00977456"/>
    <w:p w:rsidR="00977456" w:rsidRDefault="00110C8A" w:rsidP="00977456">
      <w:pPr>
        <w:pStyle w:val="ListParagraph"/>
        <w:numPr>
          <w:ilvl w:val="0"/>
          <w:numId w:val="20"/>
        </w:numPr>
      </w:pPr>
      <w:r>
        <w:t>How will PHY Mode usage be handled between the zones of both types, distributed &amp; centralized, R-CPE’s where there is a mix of S-CPE types?</w:t>
      </w:r>
    </w:p>
    <w:p w:rsidR="00977456" w:rsidRDefault="00977456" w:rsidP="00977456">
      <w:pPr>
        <w:pStyle w:val="ListParagraph"/>
        <w:numPr>
          <w:ilvl w:val="0"/>
          <w:numId w:val="20"/>
        </w:numPr>
      </w:pPr>
      <w:r>
        <w:t>If both modes can be used simultaneously, how do we deal with translating slot allocations between zones where different PHY modes are engaged?</w:t>
      </w:r>
    </w:p>
    <w:p w:rsidR="00977456" w:rsidRDefault="00110C8A" w:rsidP="00977456">
      <w:pPr>
        <w:pStyle w:val="ListParagraph"/>
        <w:numPr>
          <w:ilvl w:val="0"/>
          <w:numId w:val="20"/>
        </w:numPr>
      </w:pPr>
      <w:r>
        <w:t>Do we even attempt to support simultaneous use of both PHY Modes?</w:t>
      </w:r>
    </w:p>
    <w:p w:rsidR="00977456" w:rsidRDefault="00977456"/>
    <w:p w:rsidR="00FF0A37" w:rsidRDefault="00FF0A37"/>
    <w:p w:rsidR="00FF0A37" w:rsidRDefault="00FF0A37">
      <w:r>
        <w:rPr>
          <w:b/>
          <w:u w:val="single"/>
        </w:rPr>
        <w:t>Discussion</w:t>
      </w:r>
    </w:p>
    <w:p w:rsidR="005C7A7D" w:rsidRDefault="005C7A7D"/>
    <w:p w:rsidR="00284871" w:rsidRDefault="00284871">
      <w:r>
        <w:t>Let us first address the distinction between both types of R-CPE</w:t>
      </w:r>
      <w:r w:rsidR="00110C8A">
        <w:t>’</w:t>
      </w:r>
      <w:r>
        <w:t>s.  When engaging centralized scheduling R-CPEs, the S-CPEs are dependent upon receiving the same FCH and MAPs as transmitted by the MR-BS.  So, all S-CPEs in the cell all have to be on the same page with regard to how large a slot is in the time domain.  So, in the case of centralized scheduling R-CPE, only one PHY mode can be engaged at a time.  For centralized R-CPEs, this means that only PHY Mode 1 can be used if there are Legacy S-CPEs in the cell, and only PHY Mode 2 can be used if the cell consists entirely of Advanced S-CPEs.</w:t>
      </w:r>
    </w:p>
    <w:p w:rsidR="00284871" w:rsidRDefault="00284871"/>
    <w:p w:rsidR="00110C8A" w:rsidRDefault="00284871">
      <w:r>
        <w:t>When engaging distributed R-CPEs, we have more flexibility than we do have with centralized R-CPEs.  This flexibility comes from the fact that Distributed R-CPE</w:t>
      </w:r>
      <w:r w:rsidR="00110C8A">
        <w:t>’</w:t>
      </w:r>
      <w:r>
        <w:t>s make their own scheduling decisions</w:t>
      </w:r>
      <w:r w:rsidR="00110C8A">
        <w:t xml:space="preserve"> and transmit their own FCH/MAPs.  This allows the PHY Mode for the AZ of the MR-BS and R-CPEs to be determined by the presence of Legacy S-CPEs in that zone.  If Legacy S-CPEs exist in a zone, then the PHY Mode 1 would be engaged, other wise PHY Mode 2 would be engaged.  </w:t>
      </w:r>
    </w:p>
    <w:p w:rsidR="00110C8A" w:rsidRDefault="00110C8A"/>
    <w:p w:rsidR="00BE4156" w:rsidRDefault="00110C8A">
      <w:r>
        <w:t>However, the flexibility allowed to us for mixing PHY Modes by using distributed R-CPEs requi</w:t>
      </w:r>
      <w:r w:rsidR="00BE4156">
        <w:t>res us to be smart with translation the slot allocations the MR-BS gives to the (distributed) R-CPE, and the allocations then made by the (distributed) R-CPE to the S-CPEs it serves.  The translation between allocations in each PHY modes is comparatively easy:</w:t>
      </w:r>
    </w:p>
    <w:p w:rsidR="00BE4156" w:rsidRDefault="00BE4156"/>
    <w:p w:rsidR="00BE4156" w:rsidRDefault="00BE4156" w:rsidP="00BE4156">
      <w:pPr>
        <w:pStyle w:val="ListParagraph"/>
        <w:numPr>
          <w:ilvl w:val="0"/>
          <w:numId w:val="21"/>
        </w:numPr>
      </w:pPr>
      <w:r>
        <w:t>going from PHY Mode 2 zone to PHY Mode 1 zone: # PHY mode 1 slots = 4 * # PHY Mode 2 slots</w:t>
      </w:r>
    </w:p>
    <w:p w:rsidR="00284871" w:rsidRDefault="00BE4156" w:rsidP="00BE4156">
      <w:pPr>
        <w:pStyle w:val="ListParagraph"/>
        <w:numPr>
          <w:ilvl w:val="0"/>
          <w:numId w:val="21"/>
        </w:numPr>
      </w:pPr>
      <w:r>
        <w:t>going from PHY Mode 1 zone to PHY Mode 2 zone: # PHY mode 2 slots = # PHY Mode 1 slots / 4</w:t>
      </w:r>
    </w:p>
    <w:p w:rsidR="00BE4156" w:rsidRDefault="00BE4156"/>
    <w:p w:rsidR="00284871" w:rsidRDefault="004F6007">
      <w:r>
        <w:t xml:space="preserve">The translation described would happen when a MAP gives an allocation to the distributed R-CPE, and the R-CPE has to then translate that allocation into the requisite # of slots in the MAP allocations it transmits to the S-CPEs it serves.  While the math of the translation is easy, it would require additional complexity in the scheduler, as well as bandwidth request mechanisms, </w:t>
      </w:r>
      <w:r w:rsidR="007B15D8">
        <w:t>and MAP definition/structure</w:t>
      </w:r>
      <w:r>
        <w:t xml:space="preserve">.  </w:t>
      </w:r>
    </w:p>
    <w:p w:rsidR="005C7A7D" w:rsidRDefault="005C7A7D"/>
    <w:p w:rsidR="0030275F" w:rsidRDefault="0030275F"/>
    <w:p w:rsidR="009B6794" w:rsidRPr="0030275F" w:rsidRDefault="0030275F">
      <w:pPr>
        <w:rPr>
          <w:b/>
          <w:u w:val="single"/>
        </w:rPr>
      </w:pPr>
      <w:r>
        <w:rPr>
          <w:b/>
          <w:u w:val="single"/>
        </w:rPr>
        <w:t>Proposed Resolution</w:t>
      </w:r>
    </w:p>
    <w:p w:rsidR="000E5B2C" w:rsidRPr="000E5B2C" w:rsidRDefault="000E5B2C" w:rsidP="000E5B2C">
      <w:pPr>
        <w:jc w:val="both"/>
      </w:pPr>
    </w:p>
    <w:p w:rsidR="007B15D8" w:rsidRDefault="004F6007" w:rsidP="004F6007">
      <w:pPr>
        <w:widowControl w:val="0"/>
        <w:autoSpaceDE w:val="0"/>
        <w:autoSpaceDN w:val="0"/>
        <w:adjustRightInd w:val="0"/>
        <w:jc w:val="both"/>
        <w:rPr>
          <w:rFonts w:cs="Helvetica"/>
          <w:lang w:val="en-US"/>
        </w:rPr>
      </w:pPr>
      <w:r>
        <w:rPr>
          <w:rFonts w:cs="Helvetica"/>
          <w:lang w:val="en-US"/>
        </w:rPr>
        <w:t>For centralized R-CPEs, only one PHY Mode can be</w:t>
      </w:r>
      <w:r w:rsidR="007B15D8">
        <w:rPr>
          <w:rFonts w:cs="Helvetica"/>
          <w:lang w:val="en-US"/>
        </w:rPr>
        <w:t xml:space="preserve"> engaged throughout the MR-BS cell</w:t>
      </w:r>
      <w:r>
        <w:rPr>
          <w:rFonts w:cs="Helvetica"/>
          <w:lang w:val="en-US"/>
        </w:rPr>
        <w:t xml:space="preserve"> at given time.  Due to the additional complexity that would </w:t>
      </w:r>
      <w:r w:rsidR="007B15D8">
        <w:rPr>
          <w:rFonts w:cs="Helvetica"/>
          <w:lang w:val="en-US"/>
        </w:rPr>
        <w:t xml:space="preserve">be required to support multiple simultaneous PHY modes for distributed R-CPE zones, it is recommended that we also engage only one PHY Mode throughout the MR-BS cell at a given time.  The PHY Mode engaged throughout the cell shall be determined by the existence of legacy S-CPEs.  </w:t>
      </w:r>
    </w:p>
    <w:p w:rsidR="007B15D8" w:rsidRDefault="007B15D8" w:rsidP="004F6007">
      <w:pPr>
        <w:widowControl w:val="0"/>
        <w:autoSpaceDE w:val="0"/>
        <w:autoSpaceDN w:val="0"/>
        <w:adjustRightInd w:val="0"/>
        <w:jc w:val="both"/>
        <w:rPr>
          <w:rFonts w:cs="Helvetica"/>
          <w:lang w:val="en-US"/>
        </w:rPr>
      </w:pPr>
    </w:p>
    <w:p w:rsidR="001D7CB9" w:rsidRPr="004F6007" w:rsidRDefault="007B15D8" w:rsidP="004F6007">
      <w:pPr>
        <w:widowControl w:val="0"/>
        <w:autoSpaceDE w:val="0"/>
        <w:autoSpaceDN w:val="0"/>
        <w:adjustRightInd w:val="0"/>
        <w:jc w:val="both"/>
        <w:rPr>
          <w:rFonts w:cs="Helvetica"/>
          <w:lang w:val="en-US"/>
        </w:rPr>
      </w:pPr>
      <w:r>
        <w:rPr>
          <w:rFonts w:cs="Helvetica"/>
          <w:lang w:val="en-US"/>
        </w:rPr>
        <w:t xml:space="preserve">We propose some additional text in the sections that describe the types of zones, </w:t>
      </w:r>
      <w:r w:rsidR="00E21BB1">
        <w:rPr>
          <w:rFonts w:cs="Helvetica"/>
          <w:lang w:val="en-US"/>
        </w:rPr>
        <w:t>clarifies</w:t>
      </w:r>
      <w:r>
        <w:rPr>
          <w:rFonts w:cs="Helvetica"/>
          <w:lang w:val="en-US"/>
        </w:rPr>
        <w:t xml:space="preserve"> the single PHY Mode per zone approach</w:t>
      </w:r>
      <w:r w:rsidR="00E21BB1">
        <w:rPr>
          <w:rFonts w:cs="Helvetica"/>
          <w:lang w:val="en-US"/>
        </w:rPr>
        <w:t>,</w:t>
      </w:r>
      <w:r>
        <w:rPr>
          <w:rFonts w:cs="Helvetica"/>
          <w:lang w:val="en-US"/>
        </w:rPr>
        <w:t xml:space="preserve"> and what is used to signal the type of zone.</w:t>
      </w:r>
    </w:p>
    <w:p w:rsidR="009B6794" w:rsidRDefault="009B6794" w:rsidP="006C4F38"/>
    <w:p w:rsidR="009B6794" w:rsidRDefault="009B6794"/>
    <w:p w:rsidR="009B6794" w:rsidRPr="006C4F38" w:rsidRDefault="006C4F38">
      <w:pPr>
        <w:rPr>
          <w:b/>
          <w:u w:val="single"/>
        </w:rPr>
      </w:pPr>
      <w:r>
        <w:rPr>
          <w:b/>
          <w:u w:val="single"/>
        </w:rPr>
        <w:t>Proposed Text Modifcations to draft</w:t>
      </w:r>
    </w:p>
    <w:p w:rsidR="008D224A" w:rsidRPr="008D224A" w:rsidRDefault="008D224A"/>
    <w:p w:rsidR="00B71C0F" w:rsidRPr="00011E7B" w:rsidRDefault="00011E7B">
      <w:pPr>
        <w:rPr>
          <w:b/>
          <w:i/>
        </w:rPr>
      </w:pPr>
      <w:r>
        <w:rPr>
          <w:b/>
          <w:i/>
        </w:rPr>
        <w:t>Add the following text after line 13, pg 23, Section 7.4b.3.1</w:t>
      </w:r>
    </w:p>
    <w:p w:rsidR="00011E7B" w:rsidRDefault="00011E7B"/>
    <w:p w:rsidR="00011E7B" w:rsidRPr="00011E7B" w:rsidRDefault="00011E7B">
      <w:pPr>
        <w:rPr>
          <w:u w:val="single"/>
        </w:rPr>
      </w:pPr>
      <w:r w:rsidRPr="00011E7B">
        <w:rPr>
          <w:u w:val="single"/>
        </w:rPr>
        <w:t>If any Legacy S-CPEs exist in the MR-BS cell, PHY Mode 1 shall be used in the AZ</w:t>
      </w:r>
      <w:r w:rsidR="002F7273">
        <w:rPr>
          <w:u w:val="single"/>
        </w:rPr>
        <w:t>.</w:t>
      </w:r>
      <w:r w:rsidRPr="00011E7B">
        <w:rPr>
          <w:u w:val="single"/>
        </w:rPr>
        <w:t xml:space="preserve">  If no Legacy S-CPEs exist in the MR-BS cell, PHY Mode 2 shall be used</w:t>
      </w:r>
      <w:r w:rsidR="00655996">
        <w:rPr>
          <w:u w:val="single"/>
        </w:rPr>
        <w:t xml:space="preserve"> in the AZ</w:t>
      </w:r>
      <w:r w:rsidRPr="00011E7B">
        <w:rPr>
          <w:u w:val="single"/>
        </w:rPr>
        <w:t>.  Use of PHY Mode 1 in the AZ shall be signalled by transmission of the legacy FCH (see 7.5.2)</w:t>
      </w:r>
      <w:r w:rsidR="002F7273">
        <w:rPr>
          <w:u w:val="single"/>
        </w:rPr>
        <w:t xml:space="preserve"> in the AZ of the DS subframe</w:t>
      </w:r>
      <w:r w:rsidRPr="00011E7B">
        <w:rPr>
          <w:u w:val="single"/>
        </w:rPr>
        <w:t>.  Use of PHY Mode 2 in the AZ shall be signalled by transmission by one of the Frame Control Header for PHY Mode 2 (see 7.5.2a)</w:t>
      </w:r>
      <w:r w:rsidR="002F7273">
        <w:rPr>
          <w:u w:val="single"/>
        </w:rPr>
        <w:t xml:space="preserve"> in the AZ of the DS subframe</w:t>
      </w:r>
      <w:r w:rsidRPr="00011E7B">
        <w:rPr>
          <w:u w:val="single"/>
        </w:rPr>
        <w:t>.</w:t>
      </w:r>
    </w:p>
    <w:p w:rsidR="001D2FC8" w:rsidRDefault="001D2FC8"/>
    <w:p w:rsidR="002F7273" w:rsidRDefault="002F7273">
      <w:r>
        <w:rPr>
          <w:b/>
          <w:i/>
        </w:rPr>
        <w:t>Add the following text after line 59, pg 23, Section 7.4b.3.2</w:t>
      </w:r>
    </w:p>
    <w:p w:rsidR="002F7273" w:rsidRDefault="002F7273"/>
    <w:p w:rsidR="002F7273" w:rsidRDefault="002F7273">
      <w:r w:rsidRPr="00011E7B">
        <w:rPr>
          <w:u w:val="single"/>
        </w:rPr>
        <w:t xml:space="preserve">If any Legacy S-CPEs exist in the MR-BS cell, PHY Mode 1 shall be used in </w:t>
      </w:r>
      <w:r w:rsidR="00655996">
        <w:rPr>
          <w:u w:val="single"/>
        </w:rPr>
        <w:t>all R-CPE</w:t>
      </w:r>
      <w:r w:rsidRPr="00011E7B">
        <w:rPr>
          <w:u w:val="single"/>
        </w:rPr>
        <w:t xml:space="preserve"> </w:t>
      </w:r>
      <w:r>
        <w:rPr>
          <w:u w:val="single"/>
        </w:rPr>
        <w:t>CRZ.</w:t>
      </w:r>
      <w:r w:rsidRPr="00011E7B">
        <w:rPr>
          <w:u w:val="single"/>
        </w:rPr>
        <w:t xml:space="preserve">  If no Legacy S-CPEs exist in the MR-BS cell, PHY Mode 2 shall be used</w:t>
      </w:r>
      <w:r w:rsidR="00655996">
        <w:rPr>
          <w:u w:val="single"/>
        </w:rPr>
        <w:t xml:space="preserve"> in all R-CPE CRZ</w:t>
      </w:r>
      <w:r w:rsidRPr="00011E7B">
        <w:rPr>
          <w:u w:val="single"/>
        </w:rPr>
        <w:t xml:space="preserve">.  Use of PHY Mode 1 in the </w:t>
      </w:r>
      <w:r>
        <w:rPr>
          <w:u w:val="single"/>
        </w:rPr>
        <w:t>CRZ</w:t>
      </w:r>
      <w:r w:rsidRPr="00011E7B">
        <w:rPr>
          <w:u w:val="single"/>
        </w:rPr>
        <w:t xml:space="preserve"> shall </w:t>
      </w:r>
      <w:r>
        <w:rPr>
          <w:u w:val="single"/>
        </w:rPr>
        <w:t>be signalled by transmission of the l</w:t>
      </w:r>
      <w:r w:rsidRPr="00011E7B">
        <w:rPr>
          <w:u w:val="single"/>
        </w:rPr>
        <w:t>egacy FCH (see 7.5.2)</w:t>
      </w:r>
      <w:r>
        <w:rPr>
          <w:u w:val="single"/>
        </w:rPr>
        <w:t xml:space="preserve"> in the AZ of the DS subframe</w:t>
      </w:r>
      <w:r w:rsidRPr="00011E7B">
        <w:rPr>
          <w:u w:val="single"/>
        </w:rPr>
        <w:t>.  Use of PHY Mode 2 in the AZ shall be signalled by transmission by the Frame Control Header for PHY Mode 2 (see 7.5.2a)</w:t>
      </w:r>
      <w:r>
        <w:rPr>
          <w:u w:val="single"/>
        </w:rPr>
        <w:t xml:space="preserve"> in the AZ of the DS subframe</w:t>
      </w:r>
      <w:r w:rsidRPr="00011E7B">
        <w:rPr>
          <w:u w:val="single"/>
        </w:rPr>
        <w:t>.</w:t>
      </w:r>
    </w:p>
    <w:p w:rsidR="00011E7B" w:rsidRDefault="00011E7B"/>
    <w:p w:rsidR="00011E7B" w:rsidRDefault="002F7273">
      <w:r>
        <w:rPr>
          <w:b/>
          <w:i/>
        </w:rPr>
        <w:t>Add the following text after line 58, pg 24, Section 7.4b.3.3</w:t>
      </w:r>
    </w:p>
    <w:p w:rsidR="00011E7B" w:rsidRDefault="00011E7B"/>
    <w:p w:rsidR="00655996" w:rsidRDefault="002F7273">
      <w:pPr>
        <w:rPr>
          <w:u w:val="single"/>
        </w:rPr>
      </w:pPr>
      <w:r w:rsidRPr="00011E7B">
        <w:rPr>
          <w:u w:val="single"/>
        </w:rPr>
        <w:t xml:space="preserve">If any Legacy S-CPEs exist in the MR-BS cell, PHY Mode 1 shall be used in </w:t>
      </w:r>
      <w:r w:rsidR="00655996">
        <w:rPr>
          <w:u w:val="single"/>
        </w:rPr>
        <w:t>all</w:t>
      </w:r>
      <w:r w:rsidRPr="00011E7B">
        <w:rPr>
          <w:u w:val="single"/>
        </w:rPr>
        <w:t xml:space="preserve"> </w:t>
      </w:r>
      <w:r>
        <w:rPr>
          <w:u w:val="single"/>
        </w:rPr>
        <w:t>DRZ</w:t>
      </w:r>
      <w:r w:rsidR="00655996">
        <w:rPr>
          <w:u w:val="single"/>
        </w:rPr>
        <w:t xml:space="preserve"> or DRZ segments</w:t>
      </w:r>
      <w:r>
        <w:rPr>
          <w:u w:val="single"/>
        </w:rPr>
        <w:t>.</w:t>
      </w:r>
      <w:r w:rsidRPr="00011E7B">
        <w:rPr>
          <w:u w:val="single"/>
        </w:rPr>
        <w:t xml:space="preserve">  If no Legacy S-CPEs exist in the MR-BS</w:t>
      </w:r>
      <w:r w:rsidR="00655996">
        <w:rPr>
          <w:u w:val="single"/>
        </w:rPr>
        <w:t xml:space="preserve"> cell, PHY Mode 2 shall be used in all DRZ or DRZ segments.</w:t>
      </w:r>
      <w:r w:rsidRPr="00011E7B">
        <w:rPr>
          <w:u w:val="single"/>
        </w:rPr>
        <w:t xml:space="preserve">  </w:t>
      </w:r>
    </w:p>
    <w:p w:rsidR="00655996" w:rsidRDefault="00655996">
      <w:pPr>
        <w:rPr>
          <w:u w:val="single"/>
        </w:rPr>
      </w:pPr>
    </w:p>
    <w:p w:rsidR="00655996" w:rsidRDefault="002F7273">
      <w:pPr>
        <w:rPr>
          <w:u w:val="single"/>
        </w:rPr>
      </w:pPr>
      <w:r w:rsidRPr="00011E7B">
        <w:rPr>
          <w:u w:val="single"/>
        </w:rPr>
        <w:t xml:space="preserve">Use of PHY Mode 1 in the </w:t>
      </w:r>
      <w:r w:rsidR="00655996">
        <w:rPr>
          <w:u w:val="single"/>
        </w:rPr>
        <w:t>D</w:t>
      </w:r>
      <w:r>
        <w:rPr>
          <w:u w:val="single"/>
        </w:rPr>
        <w:t>RZ</w:t>
      </w:r>
      <w:r w:rsidRPr="00011E7B">
        <w:rPr>
          <w:u w:val="single"/>
        </w:rPr>
        <w:t xml:space="preserve"> </w:t>
      </w:r>
      <w:r w:rsidR="00655996">
        <w:rPr>
          <w:u w:val="single"/>
        </w:rPr>
        <w:t xml:space="preserve">or DRZ segment </w:t>
      </w:r>
      <w:r w:rsidRPr="00011E7B">
        <w:rPr>
          <w:u w:val="single"/>
        </w:rPr>
        <w:t xml:space="preserve">shall </w:t>
      </w:r>
      <w:r w:rsidR="00655996">
        <w:rPr>
          <w:u w:val="single"/>
        </w:rPr>
        <w:t>signalled as follows:</w:t>
      </w:r>
    </w:p>
    <w:p w:rsidR="00655996" w:rsidRDefault="00655996" w:rsidP="00655996">
      <w:pPr>
        <w:pStyle w:val="ListParagraph"/>
        <w:numPr>
          <w:ilvl w:val="0"/>
          <w:numId w:val="22"/>
        </w:numPr>
        <w:rPr>
          <w:u w:val="single"/>
        </w:rPr>
      </w:pPr>
      <w:r>
        <w:rPr>
          <w:u w:val="single"/>
        </w:rPr>
        <w:t>Single segment: transmission of legacy FCH (see 7.5.2) in the DRZ segment of the DS subframe</w:t>
      </w:r>
    </w:p>
    <w:p w:rsidR="00655996" w:rsidRPr="00655996" w:rsidRDefault="00655996" w:rsidP="00655996">
      <w:pPr>
        <w:pStyle w:val="ListParagraph"/>
        <w:numPr>
          <w:ilvl w:val="0"/>
          <w:numId w:val="22"/>
        </w:numPr>
        <w:rPr>
          <w:u w:val="single"/>
        </w:rPr>
      </w:pPr>
      <w:r>
        <w:rPr>
          <w:u w:val="single"/>
        </w:rPr>
        <w:t>Two or Three segments: transmission of the DRZ-FCH with ‘PHY Mode Type’ field set to 1, in the DRZ segment of the DS subframe</w:t>
      </w:r>
    </w:p>
    <w:p w:rsidR="00655996" w:rsidRDefault="00655996">
      <w:pPr>
        <w:rPr>
          <w:u w:val="single"/>
        </w:rPr>
      </w:pPr>
    </w:p>
    <w:p w:rsidR="00655996" w:rsidRDefault="002F7273" w:rsidP="00655996">
      <w:r w:rsidRPr="00011E7B">
        <w:rPr>
          <w:u w:val="single"/>
        </w:rPr>
        <w:t xml:space="preserve">Use of PHY Mode 2 in the </w:t>
      </w:r>
      <w:r w:rsidR="00655996">
        <w:rPr>
          <w:u w:val="single"/>
        </w:rPr>
        <w:t>DRZ</w:t>
      </w:r>
      <w:r w:rsidR="00655996" w:rsidRPr="00011E7B">
        <w:rPr>
          <w:u w:val="single"/>
        </w:rPr>
        <w:t xml:space="preserve"> </w:t>
      </w:r>
      <w:r w:rsidR="00655996">
        <w:rPr>
          <w:u w:val="single"/>
        </w:rPr>
        <w:t xml:space="preserve">or DRZ segment </w:t>
      </w:r>
      <w:r w:rsidRPr="00011E7B">
        <w:rPr>
          <w:u w:val="single"/>
        </w:rPr>
        <w:t xml:space="preserve">shall be signalled </w:t>
      </w:r>
      <w:r w:rsidR="00655996">
        <w:rPr>
          <w:u w:val="single"/>
        </w:rPr>
        <w:t>by setting the ‘PHY Mode Type’ field to 2 in the DRZ-FCH transmitted in the DRZ or each DRZ segment.</w:t>
      </w:r>
    </w:p>
    <w:p w:rsidR="002F7273" w:rsidRDefault="002F7273"/>
    <w:p w:rsidR="00655996" w:rsidRDefault="00655996"/>
    <w:p w:rsidR="00FC172C" w:rsidRPr="00E21BB1" w:rsidRDefault="00E21BB1">
      <w:pPr>
        <w:rPr>
          <w:b/>
          <w:i/>
        </w:rPr>
      </w:pPr>
      <w:r>
        <w:rPr>
          <w:b/>
          <w:i/>
        </w:rPr>
        <w:t>Add the following field to “DRZ Frame control header format (DRZ-FCH)” Table C1, page 31</w:t>
      </w:r>
    </w:p>
    <w:p w:rsidR="00E21BB1" w:rsidRDefault="00E21BB1"/>
    <w:p w:rsidR="00E21BB1" w:rsidRDefault="00E21BB1"/>
    <w:tbl>
      <w:tblPr>
        <w:tblStyle w:val="TableGrid"/>
        <w:tblW w:w="0" w:type="auto"/>
        <w:tblLook w:val="00BF"/>
      </w:tblPr>
      <w:tblGrid>
        <w:gridCol w:w="3432"/>
        <w:gridCol w:w="3432"/>
        <w:gridCol w:w="3432"/>
      </w:tblGrid>
      <w:tr w:rsidR="00E21BB1">
        <w:tc>
          <w:tcPr>
            <w:tcW w:w="3432" w:type="dxa"/>
          </w:tcPr>
          <w:p w:rsidR="00E21BB1" w:rsidRPr="00E21BB1" w:rsidRDefault="00E21BB1">
            <w:pPr>
              <w:rPr>
                <w:u w:val="single"/>
              </w:rPr>
            </w:pPr>
            <w:r w:rsidRPr="00E21BB1">
              <w:rPr>
                <w:u w:val="single"/>
              </w:rPr>
              <w:t>PHY Mode Type</w:t>
            </w:r>
          </w:p>
        </w:tc>
        <w:tc>
          <w:tcPr>
            <w:tcW w:w="3432" w:type="dxa"/>
          </w:tcPr>
          <w:p w:rsidR="00E21BB1" w:rsidRPr="00E21BB1" w:rsidRDefault="00E21BB1">
            <w:pPr>
              <w:rPr>
                <w:u w:val="single"/>
              </w:rPr>
            </w:pPr>
            <w:r w:rsidRPr="00E21BB1">
              <w:rPr>
                <w:u w:val="single"/>
              </w:rPr>
              <w:t>8 bits</w:t>
            </w:r>
          </w:p>
        </w:tc>
        <w:tc>
          <w:tcPr>
            <w:tcW w:w="3432" w:type="dxa"/>
          </w:tcPr>
          <w:p w:rsidR="00E21BB1" w:rsidRPr="00E21BB1" w:rsidRDefault="00E21BB1">
            <w:pPr>
              <w:rPr>
                <w:u w:val="single"/>
              </w:rPr>
            </w:pPr>
            <w:r w:rsidRPr="00E21BB1">
              <w:rPr>
                <w:u w:val="single"/>
              </w:rPr>
              <w:t>0x00 = PHY Mode 1</w:t>
            </w:r>
          </w:p>
          <w:p w:rsidR="00E21BB1" w:rsidRPr="00E21BB1" w:rsidRDefault="00E21BB1">
            <w:pPr>
              <w:rPr>
                <w:u w:val="single"/>
              </w:rPr>
            </w:pPr>
            <w:r w:rsidRPr="00E21BB1">
              <w:rPr>
                <w:u w:val="single"/>
              </w:rPr>
              <w:t>0x01 = PHY Mode 2</w:t>
            </w:r>
          </w:p>
          <w:p w:rsidR="00E21BB1" w:rsidRPr="00E21BB1" w:rsidRDefault="00E21BB1">
            <w:pPr>
              <w:rPr>
                <w:u w:val="single"/>
              </w:rPr>
            </w:pPr>
            <w:r w:rsidRPr="00E21BB1">
              <w:rPr>
                <w:u w:val="single"/>
              </w:rPr>
              <w:t>0x02-0xFF: Reserved</w:t>
            </w:r>
          </w:p>
        </w:tc>
      </w:tr>
    </w:tbl>
    <w:p w:rsidR="00E21BB1" w:rsidRDefault="00E21BB1"/>
    <w:p w:rsidR="009B6794" w:rsidRPr="008D224A" w:rsidRDefault="009B6794"/>
    <w:p w:rsidR="009B6794" w:rsidRDefault="00AD3A3F">
      <w:pPr>
        <w:rPr>
          <w:b/>
          <w:sz w:val="24"/>
        </w:rPr>
      </w:pPr>
      <w:r>
        <w:br w:type="page"/>
      </w:r>
      <w:r>
        <w:rPr>
          <w:b/>
          <w:sz w:val="24"/>
        </w:rPr>
        <w:t>References:</w:t>
      </w:r>
    </w:p>
    <w:p w:rsidR="009F0BC4" w:rsidRDefault="009F0BC4"/>
    <w:p w:rsidR="009B6794" w:rsidRPr="009F0BC4" w:rsidRDefault="009F0BC4">
      <w:r w:rsidRPr="009F0BC4">
        <w:t xml:space="preserve">[1] </w:t>
      </w:r>
      <w:r w:rsidRPr="009F0BC4">
        <w:rPr>
          <w:bCs/>
          <w:szCs w:val="28"/>
          <w:lang w:val="en-US"/>
        </w:rPr>
        <w:t>IEEE P802.22b WRAN Amendment: Enhancement for broadband services and monitoring applications  Draft 1.0 WG Letter Ballot Template</w:t>
      </w:r>
      <w:r>
        <w:rPr>
          <w:bCs/>
          <w:szCs w:val="28"/>
          <w:lang w:val="en-US"/>
        </w:rPr>
        <w:t>, DCN 22-13/158</w:t>
      </w:r>
      <w:r w:rsidR="009B5E97">
        <w:rPr>
          <w:bCs/>
          <w:szCs w:val="28"/>
          <w:lang w:val="en-US"/>
        </w:rPr>
        <w:t xml:space="preserve">r2, </w:t>
      </w:r>
      <w:r w:rsidR="009B5E97" w:rsidRPr="009B5E97">
        <w:rPr>
          <w:bCs/>
          <w:szCs w:val="28"/>
          <w:lang w:val="en-US"/>
        </w:rPr>
        <w:t>https://mentor.ieee.org/802.22/dcn/13/22-13-0158-02-000b-802-22b-letter-ballot-1-comment-database.xls</w:t>
      </w:r>
    </w:p>
    <w:sectPr w:rsidR="009B6794" w:rsidRPr="009F0BC4" w:rsidSect="009B6794">
      <w:headerReference w:type="default" r:id="rId11"/>
      <w:footerReference w:type="default" r:id="rId12"/>
      <w:pgSz w:w="12240" w:h="15840" w:code="1"/>
      <w:pgMar w:top="1080" w:right="1080" w:bottom="1080" w:left="1080" w:header="432" w:footer="432"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996" w:rsidRDefault="00655996">
      <w:r>
        <w:separator/>
      </w:r>
    </w:p>
  </w:endnote>
  <w:endnote w:type="continuationSeparator" w:id="0">
    <w:p w:rsidR="00655996" w:rsidRDefault="0065599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96" w:rsidRDefault="007A1C90">
    <w:pPr>
      <w:pStyle w:val="Footer"/>
      <w:tabs>
        <w:tab w:val="clear" w:pos="6480"/>
        <w:tab w:val="center" w:pos="4680"/>
        <w:tab w:val="right" w:pos="9360"/>
      </w:tabs>
    </w:pPr>
    <w:fldSimple w:instr=" SUBJECT  \* MERGEFORMAT ">
      <w:r w:rsidR="00655996">
        <w:t>Submission</w:t>
      </w:r>
    </w:fldSimple>
    <w:r w:rsidR="00655996">
      <w:tab/>
      <w:t xml:space="preserve">page </w:t>
    </w:r>
    <w:fldSimple w:instr="page ">
      <w:r w:rsidR="00290A60">
        <w:rPr>
          <w:noProof/>
        </w:rPr>
        <w:t>2</w:t>
      </w:r>
    </w:fldSimple>
    <w:r w:rsidR="00655996">
      <w:tab/>
    </w:r>
    <w:fldSimple w:instr=" COMMENTS  \* MERGEFORMAT ">
      <w:r w:rsidR="00655996">
        <w:t>Ranga Reddy, Self</w:t>
      </w:r>
    </w:fldSimple>
  </w:p>
  <w:p w:rsidR="00655996" w:rsidRDefault="00655996"/>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996" w:rsidRDefault="00655996">
      <w:r>
        <w:separator/>
      </w:r>
    </w:p>
  </w:footnote>
  <w:footnote w:type="continuationSeparator" w:id="0">
    <w:p w:rsidR="00655996" w:rsidRDefault="0065599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96" w:rsidRDefault="007A1C90">
    <w:pPr>
      <w:pStyle w:val="Header"/>
      <w:tabs>
        <w:tab w:val="clear" w:pos="6480"/>
        <w:tab w:val="center" w:pos="4680"/>
        <w:tab w:val="right" w:pos="9360"/>
      </w:tabs>
    </w:pPr>
    <w:fldSimple w:instr=" KEYWORDS  \* MERGEFORMAT ">
      <w:r w:rsidR="00655996">
        <w:t>January 2014</w:t>
      </w:r>
    </w:fldSimple>
    <w:r w:rsidR="00655996">
      <w:tab/>
    </w:r>
    <w:r w:rsidR="00655996">
      <w:tab/>
    </w:r>
    <w:fldSimple w:instr=" TITLE  \* MERGEFORMAT ">
      <w:r w:rsidR="00655996">
        <w:t>doc.: IEEE 802.22-14/</w:t>
      </w:r>
      <w:r w:rsidR="00290A60">
        <w:t>26</w:t>
      </w:r>
      <w:r w:rsidR="00655996">
        <w:t>r0</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6702"/>
    <w:multiLevelType w:val="hybridMultilevel"/>
    <w:tmpl w:val="F0C0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57EC7"/>
    <w:multiLevelType w:val="hybridMultilevel"/>
    <w:tmpl w:val="E516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nsid w:val="2D1F32B0"/>
    <w:multiLevelType w:val="hybridMultilevel"/>
    <w:tmpl w:val="495CE414"/>
    <w:lvl w:ilvl="0" w:tplc="DF6A65D6">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6">
    <w:nsid w:val="31071697"/>
    <w:multiLevelType w:val="hybridMultilevel"/>
    <w:tmpl w:val="8984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41656B"/>
    <w:multiLevelType w:val="multilevel"/>
    <w:tmpl w:val="E412465E"/>
    <w:lvl w:ilvl="0">
      <w:start w:val="7"/>
      <w:numFmt w:val="decimal"/>
      <w:pStyle w:val="IEEEStdsLevel1Header"/>
      <w:lvlText w:val="%1"/>
      <w:lvlJc w:val="left"/>
      <w:pPr>
        <w:tabs>
          <w:tab w:val="num" w:pos="432"/>
        </w:tabs>
        <w:ind w:left="432" w:hanging="432"/>
      </w:pPr>
      <w:rPr>
        <w:rFonts w:hint="default"/>
      </w:rPr>
    </w:lvl>
    <w:lvl w:ilvl="1">
      <w:start w:val="6"/>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2"/>
      <w:numFmt w:val="decimal"/>
      <w:pStyle w:val="IEEEStdsLevel4Header"/>
      <w:lvlText w:val="%1.%2.%3.%4"/>
      <w:lvlJc w:val="left"/>
      <w:pPr>
        <w:tabs>
          <w:tab w:val="num" w:pos="864"/>
        </w:tabs>
        <w:ind w:left="864" w:hanging="864"/>
      </w:pPr>
      <w:rPr>
        <w:rFonts w:hint="default"/>
      </w:rPr>
    </w:lvl>
    <w:lvl w:ilvl="4">
      <w:start w:val="4"/>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8">
    <w:nsid w:val="46E86F50"/>
    <w:multiLevelType w:val="hybridMultilevel"/>
    <w:tmpl w:val="455E8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AF906E7"/>
    <w:multiLevelType w:val="hybridMultilevel"/>
    <w:tmpl w:val="1380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nsid w:val="593B7343"/>
    <w:multiLevelType w:val="hybridMultilevel"/>
    <w:tmpl w:val="5EAE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AB37BA"/>
    <w:multiLevelType w:val="hybridMultilevel"/>
    <w:tmpl w:val="1F62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10"/>
  </w:num>
  <w:num w:numId="9">
    <w:abstractNumId w:val="7"/>
  </w:num>
  <w:num w:numId="10">
    <w:abstractNumId w:val="7"/>
  </w:num>
  <w:num w:numId="11">
    <w:abstractNumId w:val="5"/>
  </w:num>
  <w:num w:numId="12">
    <w:abstractNumId w:val="5"/>
  </w:num>
  <w:num w:numId="13">
    <w:abstractNumId w:val="3"/>
  </w:num>
  <w:num w:numId="14">
    <w:abstractNumId w:val="1"/>
  </w:num>
  <w:num w:numId="15">
    <w:abstractNumId w:val="13"/>
  </w:num>
  <w:num w:numId="16">
    <w:abstractNumId w:val="8"/>
  </w:num>
  <w:num w:numId="17">
    <w:abstractNumId w:val="2"/>
  </w:num>
  <w:num w:numId="18">
    <w:abstractNumId w:val="4"/>
  </w:num>
  <w:num w:numId="19">
    <w:abstractNumId w:val="11"/>
  </w:num>
  <w:num w:numId="20">
    <w:abstractNumId w:val="12"/>
  </w:num>
  <w:num w:numId="21">
    <w:abstractNumId w:val="9"/>
  </w:num>
  <w:num w:numId="22">
    <w:abstractNumId w:val="0"/>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intFractionalCharacterWidth/>
  <w:mirrorMargins/>
  <w:hideSpellingErrors/>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o:allowincell="f" fillcolor="white">
      <v:fill color="white"/>
      <v:shadow color="gray" opacity="1" offset="2pt,2pt"/>
    </o:shapedefaults>
  </w:hdrShapeDefaults>
  <w:footnotePr>
    <w:footnote w:id="-1"/>
    <w:footnote w:id="0"/>
  </w:footnotePr>
  <w:endnotePr>
    <w:endnote w:id="-1"/>
    <w:endnote w:id="0"/>
  </w:endnotePr>
  <w:compat/>
  <w:rsids>
    <w:rsidRoot w:val="00437BC2"/>
    <w:rsid w:val="00011E7B"/>
    <w:rsid w:val="000E5B2C"/>
    <w:rsid w:val="000F3C8A"/>
    <w:rsid w:val="00110C8A"/>
    <w:rsid w:val="001474CA"/>
    <w:rsid w:val="001D2FC8"/>
    <w:rsid w:val="001D7CB9"/>
    <w:rsid w:val="00225934"/>
    <w:rsid w:val="00273E1F"/>
    <w:rsid w:val="00284871"/>
    <w:rsid w:val="00290A60"/>
    <w:rsid w:val="002A2F4A"/>
    <w:rsid w:val="002B3740"/>
    <w:rsid w:val="002F7273"/>
    <w:rsid w:val="0030275F"/>
    <w:rsid w:val="003114C0"/>
    <w:rsid w:val="0034348D"/>
    <w:rsid w:val="003B022E"/>
    <w:rsid w:val="003E7D4A"/>
    <w:rsid w:val="003F49AB"/>
    <w:rsid w:val="00437BC2"/>
    <w:rsid w:val="004C6563"/>
    <w:rsid w:val="004E342D"/>
    <w:rsid w:val="004F6007"/>
    <w:rsid w:val="005235AB"/>
    <w:rsid w:val="005C7A7D"/>
    <w:rsid w:val="00635BB2"/>
    <w:rsid w:val="006503DE"/>
    <w:rsid w:val="00655996"/>
    <w:rsid w:val="006A0E61"/>
    <w:rsid w:val="006C4F38"/>
    <w:rsid w:val="006E42A1"/>
    <w:rsid w:val="00730BF5"/>
    <w:rsid w:val="00790583"/>
    <w:rsid w:val="007A1C90"/>
    <w:rsid w:val="007B15D8"/>
    <w:rsid w:val="007F63A2"/>
    <w:rsid w:val="008254CC"/>
    <w:rsid w:val="008D224A"/>
    <w:rsid w:val="009039E3"/>
    <w:rsid w:val="00920978"/>
    <w:rsid w:val="00977456"/>
    <w:rsid w:val="009836E4"/>
    <w:rsid w:val="009B2E8B"/>
    <w:rsid w:val="009B5E97"/>
    <w:rsid w:val="009B6794"/>
    <w:rsid w:val="009F0BC4"/>
    <w:rsid w:val="00A41374"/>
    <w:rsid w:val="00AB4B47"/>
    <w:rsid w:val="00AD3A3F"/>
    <w:rsid w:val="00B016D9"/>
    <w:rsid w:val="00B02E08"/>
    <w:rsid w:val="00B71C0F"/>
    <w:rsid w:val="00BB4429"/>
    <w:rsid w:val="00BE4156"/>
    <w:rsid w:val="00C1249C"/>
    <w:rsid w:val="00C25082"/>
    <w:rsid w:val="00C507D7"/>
    <w:rsid w:val="00CA28C9"/>
    <w:rsid w:val="00CB5691"/>
    <w:rsid w:val="00CD4208"/>
    <w:rsid w:val="00CD6C1A"/>
    <w:rsid w:val="00D30C42"/>
    <w:rsid w:val="00D57D4F"/>
    <w:rsid w:val="00D7038C"/>
    <w:rsid w:val="00DA3F48"/>
    <w:rsid w:val="00DF00DD"/>
    <w:rsid w:val="00E21BB1"/>
    <w:rsid w:val="00E73611"/>
    <w:rsid w:val="00EE3992"/>
    <w:rsid w:val="00F928F1"/>
    <w:rsid w:val="00FC172C"/>
    <w:rsid w:val="00FF0A37"/>
  </w:rsids>
  <m:mathPr>
    <m:mathFont m:val="ＭＳ Ｐゴシック"/>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allowincell="f" fillcolor="white">
      <v:fill color="white"/>
      <v:shadow color="gray" opacity="1" offset="2p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37BC2"/>
    <w:rPr>
      <w:sz w:val="22"/>
      <w:lang w:val="en-GB"/>
    </w:rPr>
  </w:style>
  <w:style w:type="paragraph" w:styleId="Heading1">
    <w:name w:val="heading 1"/>
    <w:basedOn w:val="Normal"/>
    <w:next w:val="Normal"/>
    <w:qFormat/>
    <w:rsid w:val="00437BC2"/>
    <w:pPr>
      <w:keepNext/>
      <w:keepLines/>
      <w:spacing w:before="320"/>
      <w:outlineLvl w:val="0"/>
    </w:pPr>
    <w:rPr>
      <w:rFonts w:ascii="Arial" w:hAnsi="Arial"/>
      <w:b/>
      <w:sz w:val="32"/>
      <w:u w:val="single"/>
    </w:rPr>
  </w:style>
  <w:style w:type="paragraph" w:styleId="Heading2">
    <w:name w:val="heading 2"/>
    <w:basedOn w:val="Normal"/>
    <w:next w:val="Normal"/>
    <w:qFormat/>
    <w:rsid w:val="00437BC2"/>
    <w:pPr>
      <w:keepNext/>
      <w:keepLines/>
      <w:spacing w:before="280"/>
      <w:outlineLvl w:val="1"/>
    </w:pPr>
    <w:rPr>
      <w:rFonts w:ascii="Arial" w:hAnsi="Arial"/>
      <w:b/>
      <w:sz w:val="28"/>
      <w:u w:val="single"/>
    </w:rPr>
  </w:style>
  <w:style w:type="paragraph" w:styleId="Heading3">
    <w:name w:val="heading 3"/>
    <w:basedOn w:val="Normal"/>
    <w:next w:val="Normal"/>
    <w:qFormat/>
    <w:rsid w:val="00437BC2"/>
    <w:pPr>
      <w:keepNext/>
      <w:keepLines/>
      <w:spacing w:before="240" w:after="60"/>
      <w:outlineLvl w:val="2"/>
    </w:pPr>
    <w:rPr>
      <w:rFonts w:ascii="Arial" w:hAnsi="Arial"/>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437BC2"/>
    <w:pPr>
      <w:pBdr>
        <w:top w:val="single" w:sz="6" w:space="1" w:color="auto"/>
      </w:pBdr>
      <w:tabs>
        <w:tab w:val="center" w:pos="6480"/>
        <w:tab w:val="right" w:pos="12960"/>
      </w:tabs>
    </w:pPr>
    <w:rPr>
      <w:sz w:val="24"/>
    </w:rPr>
  </w:style>
  <w:style w:type="paragraph" w:styleId="Header">
    <w:name w:val="header"/>
    <w:basedOn w:val="Normal"/>
    <w:rsid w:val="00437BC2"/>
    <w:pPr>
      <w:pBdr>
        <w:bottom w:val="single" w:sz="6" w:space="2" w:color="auto"/>
      </w:pBdr>
      <w:tabs>
        <w:tab w:val="center" w:pos="6480"/>
        <w:tab w:val="right" w:pos="12960"/>
      </w:tabs>
    </w:pPr>
    <w:rPr>
      <w:b/>
      <w:sz w:val="28"/>
    </w:rPr>
  </w:style>
  <w:style w:type="paragraph" w:customStyle="1" w:styleId="T1">
    <w:name w:val="T1"/>
    <w:basedOn w:val="Normal"/>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BodyTextIndent">
    <w:name w:val="Body Text Indent"/>
    <w:basedOn w:val="Normal"/>
    <w:rsid w:val="00437BC2"/>
    <w:pPr>
      <w:ind w:left="720" w:hanging="720"/>
    </w:pPr>
  </w:style>
  <w:style w:type="character" w:styleId="Hyperlink">
    <w:name w:val="Hyperlink"/>
    <w:basedOn w:val="DefaultParagraphFont"/>
    <w:rsid w:val="00437BC2"/>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30275F"/>
    <w:pPr>
      <w:ind w:left="720"/>
      <w:contextualSpacing/>
    </w:pPr>
  </w:style>
  <w:style w:type="table" w:styleId="TableGrid">
    <w:name w:val="Table Grid"/>
    <w:basedOn w:val="TableNormal"/>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1504046">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 w:id="21054145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anga.reddy@me.com"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10"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ngareddy:Dropbox:IEEE-802-Standards-Development:22_contributions:802.22-document-templates: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376</TotalTime>
  <Pages>5</Pages>
  <Words>974</Words>
  <Characters>5556</Characters>
  <Application>Microsoft Macintosh Word</Application>
  <DocSecurity>0</DocSecurity>
  <Lines>46</Lines>
  <Paragraphs>11</Paragraphs>
  <ScaleCrop>false</ScaleCrop>
  <Company>Some Company</Company>
  <LinksUpToDate>false</LinksUpToDate>
  <CharactersWithSpaces>6823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19</cp:revision>
  <cp:lastPrinted>1601-01-01T00:00:00Z</cp:lastPrinted>
  <dcterms:created xsi:type="dcterms:W3CDTF">2013-12-27T01:20:00Z</dcterms:created>
  <dcterms:modified xsi:type="dcterms:W3CDTF">2014-02-19T04:05:00Z</dcterms:modified>
</cp:coreProperties>
</file>