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4AA57" w14:textId="77777777" w:rsidR="00DD3189" w:rsidRPr="006E4243" w:rsidRDefault="00DD3189" w:rsidP="00EB6E7E">
      <w:pPr>
        <w:pStyle w:val="T1"/>
        <w:pBdr>
          <w:bottom w:val="single" w:sz="6" w:space="0" w:color="auto"/>
        </w:pBdr>
        <w:spacing w:after="240"/>
        <w:jc w:val="left"/>
      </w:pPr>
      <w:r w:rsidRPr="006E4243">
        <w:t>IEEE</w:t>
      </w:r>
      <w:r w:rsidR="00EB6E7E">
        <w:t xml:space="preserve"> </w:t>
      </w:r>
      <w:r w:rsidRPr="006E4243">
        <w:t>P802.22</w:t>
      </w:r>
      <w:r w:rsidR="00EB6E7E">
        <w:t xml:space="preserve"> </w:t>
      </w:r>
      <w:r w:rsidRPr="006E4243">
        <w:t>Wireless RANs</w:t>
      </w:r>
    </w:p>
    <w:tbl>
      <w:tblPr>
        <w:tblW w:w="9721"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1134"/>
        <w:gridCol w:w="2977"/>
        <w:gridCol w:w="1838"/>
        <w:gridCol w:w="2250"/>
      </w:tblGrid>
      <w:tr w:rsidR="00DD3189" w:rsidRPr="006E4243" w14:paraId="08B981EF" w14:textId="77777777" w:rsidTr="00C65587">
        <w:trPr>
          <w:trHeight w:val="485"/>
          <w:jc w:val="center"/>
        </w:trPr>
        <w:tc>
          <w:tcPr>
            <w:tcW w:w="9721" w:type="dxa"/>
            <w:gridSpan w:val="5"/>
            <w:vAlign w:val="center"/>
          </w:tcPr>
          <w:p w14:paraId="1DC77AAA" w14:textId="4B8620FF" w:rsidR="00DD3189" w:rsidRPr="006E4243" w:rsidRDefault="000C1082" w:rsidP="003E2209">
            <w:pPr>
              <w:pStyle w:val="T2"/>
              <w:spacing w:before="120" w:after="120"/>
              <w:ind w:left="0"/>
              <w:jc w:val="both"/>
              <w:rPr>
                <w:rFonts w:eastAsia="ＭＳ 明朝"/>
                <w:lang w:eastAsia="ja-JP"/>
              </w:rPr>
            </w:pPr>
            <w:r>
              <w:rPr>
                <w:rFonts w:eastAsia="ＭＳ 明朝"/>
                <w:lang w:val="en-US" w:eastAsia="ja-JP"/>
              </w:rPr>
              <w:t xml:space="preserve">Comment Resolution: </w:t>
            </w:r>
            <w:r w:rsidR="00DD3189">
              <w:rPr>
                <w:rFonts w:eastAsia="ＭＳ 明朝"/>
                <w:lang w:val="en-US" w:eastAsia="ja-JP"/>
              </w:rPr>
              <w:t>Text for</w:t>
            </w:r>
            <w:r w:rsidR="008D2636">
              <w:rPr>
                <w:rFonts w:eastAsia="ＭＳ 明朝" w:hint="eastAsia"/>
                <w:lang w:val="en-US" w:eastAsia="ja-JP"/>
              </w:rPr>
              <w:t xml:space="preserve"> </w:t>
            </w:r>
            <w:r w:rsidR="003E2209">
              <w:rPr>
                <w:rFonts w:eastAsia="ＭＳ 明朝"/>
                <w:lang w:val="en-US" w:eastAsia="ja-JP"/>
              </w:rPr>
              <w:t>Section 13.2.1 (</w:t>
            </w:r>
            <w:r w:rsidR="004B7C4E">
              <w:rPr>
                <w:rFonts w:eastAsia="ＭＳ 明朝"/>
                <w:lang w:val="en-US" w:eastAsia="ja-JP"/>
              </w:rPr>
              <w:t xml:space="preserve">Transmit Diversity </w:t>
            </w:r>
            <w:r w:rsidR="003E2209">
              <w:rPr>
                <w:rFonts w:eastAsia="ＭＳ 明朝"/>
                <w:lang w:val="en-US" w:eastAsia="ja-JP"/>
              </w:rPr>
              <w:t>using</w:t>
            </w:r>
            <w:r w:rsidR="004B7C4E">
              <w:rPr>
                <w:rFonts w:eastAsia="ＭＳ 明朝"/>
                <w:lang w:val="en-US" w:eastAsia="ja-JP"/>
              </w:rPr>
              <w:t xml:space="preserve"> </w:t>
            </w:r>
            <w:r w:rsidR="003E2209">
              <w:rPr>
                <w:rFonts w:eastAsia="ＭＳ 明朝"/>
                <w:lang w:val="en-US" w:eastAsia="ja-JP"/>
              </w:rPr>
              <w:t>2 Antennas)</w:t>
            </w:r>
          </w:p>
        </w:tc>
      </w:tr>
      <w:tr w:rsidR="00DD3189" w:rsidRPr="006E4243" w14:paraId="3E13A30C" w14:textId="77777777" w:rsidTr="00C65587">
        <w:trPr>
          <w:trHeight w:val="449"/>
          <w:jc w:val="center"/>
        </w:trPr>
        <w:tc>
          <w:tcPr>
            <w:tcW w:w="9721" w:type="dxa"/>
            <w:gridSpan w:val="5"/>
            <w:vAlign w:val="center"/>
          </w:tcPr>
          <w:p w14:paraId="4FBA6DD0" w14:textId="600AA2B0" w:rsidR="00DD3189" w:rsidRPr="006E4243" w:rsidRDefault="00DD3189" w:rsidP="008D2636">
            <w:pPr>
              <w:pStyle w:val="T2"/>
              <w:spacing w:before="120" w:after="120"/>
              <w:ind w:left="0"/>
              <w:jc w:val="both"/>
              <w:rPr>
                <w:rFonts w:eastAsia="ＭＳ 明朝"/>
                <w:b w:val="0"/>
                <w:sz w:val="20"/>
                <w:lang w:eastAsia="ja-JP"/>
              </w:rPr>
            </w:pPr>
            <w:r w:rsidRPr="006E4243">
              <w:rPr>
                <w:sz w:val="20"/>
              </w:rPr>
              <w:t>Date:</w:t>
            </w:r>
            <w:r w:rsidRPr="006E4243">
              <w:rPr>
                <w:b w:val="0"/>
                <w:sz w:val="20"/>
              </w:rPr>
              <w:t xml:space="preserve">  </w:t>
            </w:r>
            <w:r w:rsidRPr="006E4243">
              <w:rPr>
                <w:rFonts w:eastAsia="PMingLiU"/>
                <w:b w:val="0"/>
                <w:sz w:val="20"/>
                <w:lang w:eastAsia="zh-HK"/>
              </w:rPr>
              <w:t>201</w:t>
            </w:r>
            <w:r w:rsidR="008D2636">
              <w:rPr>
                <w:rFonts w:eastAsia="ＭＳ 明朝" w:hint="eastAsia"/>
                <w:b w:val="0"/>
                <w:sz w:val="20"/>
                <w:lang w:eastAsia="ja-JP"/>
              </w:rPr>
              <w:t>4</w:t>
            </w:r>
            <w:r w:rsidRPr="006E4243">
              <w:rPr>
                <w:rFonts w:eastAsia="PMingLiU"/>
                <w:b w:val="0"/>
                <w:sz w:val="20"/>
                <w:lang w:eastAsia="zh-HK"/>
              </w:rPr>
              <w:t>-</w:t>
            </w:r>
            <w:r w:rsidR="008D2636">
              <w:rPr>
                <w:rFonts w:eastAsia="ＭＳ 明朝" w:hint="eastAsia"/>
                <w:b w:val="0"/>
                <w:sz w:val="20"/>
                <w:lang w:eastAsia="ja-JP"/>
              </w:rPr>
              <w:t>01</w:t>
            </w:r>
            <w:r w:rsidRPr="006E4243">
              <w:rPr>
                <w:rFonts w:eastAsia="PMingLiU"/>
                <w:b w:val="0"/>
                <w:sz w:val="20"/>
                <w:lang w:eastAsia="zh-HK"/>
              </w:rPr>
              <w:t>-</w:t>
            </w:r>
            <w:r w:rsidR="003456D8">
              <w:rPr>
                <w:rFonts w:eastAsia="PMingLiU"/>
                <w:b w:val="0"/>
                <w:sz w:val="20"/>
                <w:lang w:eastAsia="zh-HK"/>
              </w:rPr>
              <w:t>21</w:t>
            </w:r>
          </w:p>
        </w:tc>
      </w:tr>
      <w:tr w:rsidR="00DD3189" w:rsidRPr="006E4243" w14:paraId="76149BF7" w14:textId="77777777" w:rsidTr="00C65587">
        <w:trPr>
          <w:cantSplit/>
          <w:jc w:val="center"/>
        </w:trPr>
        <w:tc>
          <w:tcPr>
            <w:tcW w:w="9721" w:type="dxa"/>
            <w:gridSpan w:val="5"/>
            <w:vAlign w:val="center"/>
          </w:tcPr>
          <w:p w14:paraId="1262DF13" w14:textId="77777777" w:rsidR="00DD3189" w:rsidRPr="006E4243" w:rsidRDefault="00DD3189" w:rsidP="00C65587">
            <w:pPr>
              <w:pStyle w:val="T2"/>
              <w:spacing w:after="0"/>
              <w:ind w:left="0" w:right="0"/>
              <w:jc w:val="both"/>
              <w:rPr>
                <w:sz w:val="20"/>
              </w:rPr>
            </w:pPr>
            <w:r w:rsidRPr="006E4243">
              <w:rPr>
                <w:sz w:val="20"/>
              </w:rPr>
              <w:t>Author(s):</w:t>
            </w:r>
          </w:p>
        </w:tc>
      </w:tr>
      <w:tr w:rsidR="00DD3189" w:rsidRPr="006E4243" w14:paraId="6125752F" w14:textId="77777777" w:rsidTr="00F16D54">
        <w:trPr>
          <w:jc w:val="center"/>
        </w:trPr>
        <w:tc>
          <w:tcPr>
            <w:tcW w:w="1522" w:type="dxa"/>
            <w:vAlign w:val="center"/>
          </w:tcPr>
          <w:p w14:paraId="0FB03830" w14:textId="77777777" w:rsidR="00DD3189" w:rsidRPr="006E4243" w:rsidRDefault="00DD3189" w:rsidP="00C65587">
            <w:pPr>
              <w:pStyle w:val="T2"/>
              <w:spacing w:after="0"/>
              <w:ind w:left="0" w:right="0"/>
              <w:jc w:val="both"/>
              <w:rPr>
                <w:sz w:val="20"/>
              </w:rPr>
            </w:pPr>
            <w:r w:rsidRPr="006E4243">
              <w:rPr>
                <w:sz w:val="20"/>
              </w:rPr>
              <w:t>Name</w:t>
            </w:r>
          </w:p>
        </w:tc>
        <w:tc>
          <w:tcPr>
            <w:tcW w:w="1134" w:type="dxa"/>
            <w:vAlign w:val="center"/>
          </w:tcPr>
          <w:p w14:paraId="76683AD0" w14:textId="77777777" w:rsidR="00DD3189" w:rsidRPr="006E4243" w:rsidRDefault="00DD3189" w:rsidP="00C65587">
            <w:pPr>
              <w:pStyle w:val="T2"/>
              <w:spacing w:after="0"/>
              <w:ind w:left="0" w:right="0"/>
              <w:jc w:val="both"/>
              <w:rPr>
                <w:sz w:val="20"/>
              </w:rPr>
            </w:pPr>
            <w:r w:rsidRPr="006E4243">
              <w:rPr>
                <w:sz w:val="20"/>
              </w:rPr>
              <w:t>Company</w:t>
            </w:r>
          </w:p>
        </w:tc>
        <w:tc>
          <w:tcPr>
            <w:tcW w:w="2977" w:type="dxa"/>
            <w:vAlign w:val="center"/>
          </w:tcPr>
          <w:p w14:paraId="17A5324E" w14:textId="77777777" w:rsidR="00DD3189" w:rsidRPr="006E4243" w:rsidRDefault="00DD3189" w:rsidP="00C65587">
            <w:pPr>
              <w:pStyle w:val="T2"/>
              <w:spacing w:after="0"/>
              <w:ind w:left="0" w:right="0"/>
              <w:jc w:val="both"/>
              <w:rPr>
                <w:sz w:val="20"/>
              </w:rPr>
            </w:pPr>
            <w:r w:rsidRPr="006E4243">
              <w:rPr>
                <w:sz w:val="20"/>
              </w:rPr>
              <w:t>Address</w:t>
            </w:r>
          </w:p>
        </w:tc>
        <w:tc>
          <w:tcPr>
            <w:tcW w:w="1838" w:type="dxa"/>
            <w:vAlign w:val="center"/>
          </w:tcPr>
          <w:p w14:paraId="37878DD0" w14:textId="77777777" w:rsidR="00DD3189" w:rsidRPr="006E4243" w:rsidRDefault="00DD3189" w:rsidP="00C65587">
            <w:pPr>
              <w:pStyle w:val="T2"/>
              <w:spacing w:after="0"/>
              <w:ind w:left="0" w:right="0"/>
              <w:jc w:val="both"/>
              <w:rPr>
                <w:sz w:val="20"/>
              </w:rPr>
            </w:pPr>
            <w:r w:rsidRPr="006E4243">
              <w:rPr>
                <w:sz w:val="20"/>
              </w:rPr>
              <w:t>Phone</w:t>
            </w:r>
          </w:p>
        </w:tc>
        <w:tc>
          <w:tcPr>
            <w:tcW w:w="2250" w:type="dxa"/>
            <w:vAlign w:val="center"/>
          </w:tcPr>
          <w:p w14:paraId="6658363B" w14:textId="77777777" w:rsidR="00DD3189" w:rsidRPr="006E4243" w:rsidRDefault="00DD3189" w:rsidP="00C65587">
            <w:pPr>
              <w:pStyle w:val="T2"/>
              <w:spacing w:after="0"/>
              <w:ind w:left="0" w:right="0"/>
              <w:jc w:val="both"/>
              <w:rPr>
                <w:sz w:val="20"/>
              </w:rPr>
            </w:pPr>
            <w:r w:rsidRPr="006E4243">
              <w:rPr>
                <w:sz w:val="20"/>
              </w:rPr>
              <w:t>email</w:t>
            </w:r>
          </w:p>
        </w:tc>
      </w:tr>
      <w:tr w:rsidR="00DD3189" w:rsidRPr="006E4243" w14:paraId="3A8EC471" w14:textId="77777777" w:rsidTr="00F16D54">
        <w:trPr>
          <w:trHeight w:val="441"/>
          <w:jc w:val="center"/>
        </w:trPr>
        <w:tc>
          <w:tcPr>
            <w:tcW w:w="1522" w:type="dxa"/>
            <w:vAlign w:val="center"/>
          </w:tcPr>
          <w:p w14:paraId="750D80A9" w14:textId="77777777" w:rsidR="00DD3189" w:rsidRPr="006E4243" w:rsidRDefault="00DD3189" w:rsidP="00C65587">
            <w:pPr>
              <w:jc w:val="both"/>
              <w:rPr>
                <w:sz w:val="24"/>
                <w:szCs w:val="21"/>
              </w:rPr>
            </w:pPr>
            <w:r w:rsidRPr="006E4243">
              <w:rPr>
                <w:sz w:val="24"/>
                <w:szCs w:val="21"/>
              </w:rPr>
              <w:t>Gabriel Porto Vilardi</w:t>
            </w:r>
          </w:p>
        </w:tc>
        <w:tc>
          <w:tcPr>
            <w:tcW w:w="1134" w:type="dxa"/>
            <w:vAlign w:val="center"/>
          </w:tcPr>
          <w:p w14:paraId="220DC583" w14:textId="77777777" w:rsidR="00DD3189" w:rsidRPr="006E4243" w:rsidRDefault="00DD3189" w:rsidP="00C65587">
            <w:pPr>
              <w:jc w:val="both"/>
              <w:rPr>
                <w:sz w:val="24"/>
                <w:szCs w:val="21"/>
                <w:lang w:eastAsia="ja-JP"/>
              </w:rPr>
            </w:pPr>
            <w:r w:rsidRPr="006E4243">
              <w:rPr>
                <w:rFonts w:hint="eastAsia"/>
                <w:sz w:val="24"/>
                <w:szCs w:val="21"/>
                <w:lang w:eastAsia="ja-JP"/>
              </w:rPr>
              <w:t>NICT</w:t>
            </w:r>
          </w:p>
        </w:tc>
        <w:tc>
          <w:tcPr>
            <w:tcW w:w="2977" w:type="dxa"/>
          </w:tcPr>
          <w:p w14:paraId="055EFEA5" w14:textId="77777777" w:rsidR="00DD3189" w:rsidRPr="006E4243" w:rsidRDefault="00DD3189" w:rsidP="00C65587">
            <w:pPr>
              <w:jc w:val="both"/>
              <w:rPr>
                <w:rFonts w:eastAsia="ＭＳ ゴシック"/>
                <w:sz w:val="20"/>
                <w:lang w:eastAsia="ja-JP"/>
              </w:rPr>
            </w:pPr>
            <w:r w:rsidRPr="006E4243">
              <w:rPr>
                <w:rFonts w:hint="eastAsia"/>
                <w:sz w:val="20"/>
                <w:lang w:eastAsia="ja-JP"/>
              </w:rPr>
              <w:t>3-4, Hikarino-oka, Yokosuka, 239-0847, Japan</w:t>
            </w:r>
          </w:p>
        </w:tc>
        <w:tc>
          <w:tcPr>
            <w:tcW w:w="1838" w:type="dxa"/>
          </w:tcPr>
          <w:p w14:paraId="285BC16E" w14:textId="2D572B49" w:rsidR="00DD3189" w:rsidRPr="006E4243" w:rsidRDefault="00F16D54" w:rsidP="00F16D54">
            <w:pPr>
              <w:ind w:left="141" w:firstLine="1"/>
              <w:jc w:val="both"/>
              <w:rPr>
                <w:rFonts w:eastAsia="ＭＳ ゴシック"/>
                <w:sz w:val="20"/>
                <w:lang w:eastAsia="ja-JP"/>
              </w:rPr>
            </w:pPr>
            <w:r>
              <w:rPr>
                <w:rFonts w:eastAsia="ＭＳ ゴシック"/>
                <w:sz w:val="20"/>
                <w:lang w:eastAsia="ja-JP"/>
              </w:rPr>
              <w:t>+81-46-847-5438</w:t>
            </w:r>
          </w:p>
        </w:tc>
        <w:tc>
          <w:tcPr>
            <w:tcW w:w="2250" w:type="dxa"/>
          </w:tcPr>
          <w:p w14:paraId="6318695B" w14:textId="77777777" w:rsidR="00DD3189" w:rsidRPr="006E4243" w:rsidRDefault="00DD3189" w:rsidP="00C65587">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gpvillardi@nict.go.jp</w:t>
            </w:r>
          </w:p>
        </w:tc>
      </w:tr>
      <w:tr w:rsidR="000D3209" w:rsidRPr="006E4243" w14:paraId="7EE72324" w14:textId="77777777" w:rsidTr="00E50FE3">
        <w:trPr>
          <w:trHeight w:val="278"/>
          <w:jc w:val="center"/>
        </w:trPr>
        <w:tc>
          <w:tcPr>
            <w:tcW w:w="1522" w:type="dxa"/>
            <w:vAlign w:val="center"/>
          </w:tcPr>
          <w:p w14:paraId="23203088" w14:textId="7336ACE9" w:rsidR="000D3209" w:rsidRPr="006E4243" w:rsidRDefault="000D3209" w:rsidP="00C65587">
            <w:pPr>
              <w:jc w:val="both"/>
              <w:rPr>
                <w:sz w:val="24"/>
                <w:szCs w:val="21"/>
              </w:rPr>
            </w:pPr>
            <w:r w:rsidRPr="006E4243">
              <w:rPr>
                <w:sz w:val="24"/>
                <w:szCs w:val="21"/>
              </w:rPr>
              <w:t>Chang-Woo Pyo</w:t>
            </w:r>
          </w:p>
        </w:tc>
        <w:tc>
          <w:tcPr>
            <w:tcW w:w="1134" w:type="dxa"/>
            <w:vAlign w:val="center"/>
          </w:tcPr>
          <w:p w14:paraId="24F28A5B" w14:textId="40205A3C" w:rsidR="000D3209" w:rsidRPr="006E4243" w:rsidRDefault="000D3209" w:rsidP="00C65587">
            <w:pPr>
              <w:jc w:val="both"/>
              <w:rPr>
                <w:sz w:val="24"/>
                <w:szCs w:val="21"/>
                <w:lang w:eastAsia="ja-JP"/>
              </w:rPr>
            </w:pPr>
            <w:r w:rsidRPr="006E4243">
              <w:rPr>
                <w:sz w:val="24"/>
                <w:szCs w:val="21"/>
                <w:lang w:eastAsia="ja-JP"/>
              </w:rPr>
              <w:t>NICT</w:t>
            </w:r>
          </w:p>
        </w:tc>
        <w:tc>
          <w:tcPr>
            <w:tcW w:w="2977" w:type="dxa"/>
            <w:vAlign w:val="center"/>
          </w:tcPr>
          <w:p w14:paraId="07B27A56" w14:textId="0F673FF4" w:rsidR="000D3209" w:rsidRPr="006E4243" w:rsidRDefault="000D3209" w:rsidP="00C65587">
            <w:pPr>
              <w:jc w:val="both"/>
              <w:rPr>
                <w:sz w:val="20"/>
                <w:lang w:eastAsia="ja-JP"/>
              </w:rPr>
            </w:pPr>
            <w:r w:rsidRPr="006E4243">
              <w:rPr>
                <w:rFonts w:hint="eastAsia"/>
                <w:sz w:val="20"/>
                <w:lang w:eastAsia="ja-JP"/>
              </w:rPr>
              <w:t>3-4, Hikarino-oka, Yokosuka, 239-0847, Japan</w:t>
            </w:r>
          </w:p>
        </w:tc>
        <w:tc>
          <w:tcPr>
            <w:tcW w:w="1838" w:type="dxa"/>
            <w:vAlign w:val="center"/>
          </w:tcPr>
          <w:p w14:paraId="650BEE56" w14:textId="77777777" w:rsidR="000D3209" w:rsidRPr="006E4243" w:rsidRDefault="000D3209" w:rsidP="00C65587">
            <w:pPr>
              <w:ind w:left="141" w:firstLine="1"/>
              <w:jc w:val="both"/>
              <w:rPr>
                <w:sz w:val="20"/>
              </w:rPr>
            </w:pPr>
          </w:p>
        </w:tc>
        <w:tc>
          <w:tcPr>
            <w:tcW w:w="2250" w:type="dxa"/>
            <w:vAlign w:val="center"/>
          </w:tcPr>
          <w:p w14:paraId="15C342D2" w14:textId="205A47C9" w:rsidR="000D3209" w:rsidRPr="006E4243" w:rsidRDefault="000D3209" w:rsidP="00C65587">
            <w:pPr>
              <w:pStyle w:val="T2"/>
              <w:spacing w:before="120" w:after="120"/>
              <w:ind w:left="0" w:right="0"/>
              <w:jc w:val="both"/>
              <w:rPr>
                <w:rFonts w:eastAsia="ＭＳ 明朝"/>
                <w:b w:val="0"/>
                <w:sz w:val="20"/>
                <w:lang w:val="en-US" w:eastAsia="ja-JP"/>
              </w:rPr>
            </w:pPr>
            <w:r w:rsidRPr="006E4243">
              <w:rPr>
                <w:rFonts w:eastAsia="ＭＳ 明朝" w:hint="eastAsia"/>
                <w:b w:val="0"/>
                <w:sz w:val="20"/>
                <w:lang w:val="en-US" w:eastAsia="ja-JP"/>
              </w:rPr>
              <w:t>cwpyo@nict.go.jp</w:t>
            </w:r>
          </w:p>
        </w:tc>
      </w:tr>
      <w:tr w:rsidR="000D3209" w:rsidRPr="006E4243" w14:paraId="65095A1E" w14:textId="77777777" w:rsidTr="00E50FE3">
        <w:trPr>
          <w:trHeight w:val="370"/>
          <w:jc w:val="center"/>
        </w:trPr>
        <w:tc>
          <w:tcPr>
            <w:tcW w:w="1522" w:type="dxa"/>
            <w:vAlign w:val="center"/>
          </w:tcPr>
          <w:p w14:paraId="62CF6114" w14:textId="531EAE3A" w:rsidR="000D3209" w:rsidRPr="006E4243" w:rsidRDefault="000D3209" w:rsidP="00C65587">
            <w:pPr>
              <w:jc w:val="both"/>
              <w:rPr>
                <w:sz w:val="24"/>
                <w:szCs w:val="21"/>
              </w:rPr>
            </w:pPr>
            <w:r w:rsidRPr="006E4243">
              <w:rPr>
                <w:rFonts w:hint="eastAsia"/>
                <w:sz w:val="24"/>
                <w:szCs w:val="21"/>
              </w:rPr>
              <w:t>Masayuki Oodo</w:t>
            </w:r>
          </w:p>
        </w:tc>
        <w:tc>
          <w:tcPr>
            <w:tcW w:w="1134" w:type="dxa"/>
            <w:vAlign w:val="center"/>
          </w:tcPr>
          <w:p w14:paraId="48CC39EC" w14:textId="6327B87E" w:rsidR="000D3209" w:rsidRPr="006E4243" w:rsidRDefault="000D3209" w:rsidP="00C65587">
            <w:pPr>
              <w:jc w:val="both"/>
              <w:rPr>
                <w:sz w:val="24"/>
                <w:szCs w:val="21"/>
                <w:lang w:eastAsia="ja-JP"/>
              </w:rPr>
            </w:pPr>
            <w:r w:rsidRPr="006E4243">
              <w:rPr>
                <w:sz w:val="24"/>
                <w:szCs w:val="21"/>
                <w:lang w:eastAsia="ja-JP"/>
              </w:rPr>
              <w:t>NICT</w:t>
            </w:r>
          </w:p>
        </w:tc>
        <w:tc>
          <w:tcPr>
            <w:tcW w:w="2977" w:type="dxa"/>
            <w:vAlign w:val="center"/>
          </w:tcPr>
          <w:p w14:paraId="5DD6DDA9" w14:textId="21CAD052" w:rsidR="000D3209" w:rsidRPr="006E4243" w:rsidRDefault="000D3209" w:rsidP="00C65587">
            <w:pPr>
              <w:jc w:val="both"/>
              <w:rPr>
                <w:sz w:val="20"/>
                <w:lang w:eastAsia="ja-JP"/>
              </w:rPr>
            </w:pPr>
            <w:r w:rsidRPr="006E4243">
              <w:rPr>
                <w:rFonts w:hint="eastAsia"/>
                <w:sz w:val="20"/>
                <w:lang w:eastAsia="ja-JP"/>
              </w:rPr>
              <w:t>3-4, Hikarino-oka, Yokosuka, 239-0847, Japan</w:t>
            </w:r>
          </w:p>
        </w:tc>
        <w:tc>
          <w:tcPr>
            <w:tcW w:w="1838" w:type="dxa"/>
            <w:vAlign w:val="center"/>
          </w:tcPr>
          <w:p w14:paraId="17028ED0" w14:textId="77777777" w:rsidR="000D3209" w:rsidRPr="006E4243" w:rsidRDefault="000D3209" w:rsidP="00C65587">
            <w:pPr>
              <w:ind w:left="141" w:firstLine="1"/>
              <w:jc w:val="both"/>
              <w:rPr>
                <w:sz w:val="20"/>
              </w:rPr>
            </w:pPr>
          </w:p>
        </w:tc>
        <w:tc>
          <w:tcPr>
            <w:tcW w:w="2250" w:type="dxa"/>
            <w:vAlign w:val="center"/>
          </w:tcPr>
          <w:p w14:paraId="582D830C" w14:textId="1DB40DCC" w:rsidR="000D3209" w:rsidRPr="006E4243" w:rsidRDefault="000D3209" w:rsidP="00C65587">
            <w:pPr>
              <w:pStyle w:val="T2"/>
              <w:spacing w:before="120" w:after="120"/>
              <w:ind w:left="0" w:right="0"/>
              <w:jc w:val="both"/>
              <w:rPr>
                <w:rFonts w:eastAsia="ＭＳ 明朝"/>
                <w:b w:val="0"/>
                <w:sz w:val="20"/>
                <w:lang w:val="en-US" w:eastAsia="ja-JP"/>
              </w:rPr>
            </w:pPr>
            <w:r w:rsidRPr="006E4243">
              <w:rPr>
                <w:rFonts w:eastAsia="ＭＳ 明朝" w:hint="eastAsia"/>
                <w:b w:val="0"/>
                <w:sz w:val="20"/>
                <w:lang w:val="en-US" w:eastAsia="ja-JP"/>
              </w:rPr>
              <w:t>moodo@nict.go.jp</w:t>
            </w:r>
          </w:p>
        </w:tc>
      </w:tr>
      <w:tr w:rsidR="00CF2C2A" w:rsidRPr="006E4243" w14:paraId="58454965" w14:textId="77777777" w:rsidTr="00E50FE3">
        <w:trPr>
          <w:trHeight w:val="483"/>
          <w:jc w:val="center"/>
        </w:trPr>
        <w:tc>
          <w:tcPr>
            <w:tcW w:w="1522" w:type="dxa"/>
            <w:vAlign w:val="center"/>
          </w:tcPr>
          <w:p w14:paraId="28E164B7" w14:textId="77777777" w:rsidR="00CF2C2A" w:rsidRPr="006E4243" w:rsidRDefault="00CF2C2A" w:rsidP="00E50FE3">
            <w:pPr>
              <w:jc w:val="both"/>
              <w:rPr>
                <w:sz w:val="24"/>
                <w:szCs w:val="21"/>
              </w:rPr>
            </w:pPr>
            <w:r w:rsidRPr="006E4243">
              <w:rPr>
                <w:sz w:val="24"/>
                <w:szCs w:val="21"/>
              </w:rPr>
              <w:t>Chunyi Song</w:t>
            </w:r>
          </w:p>
        </w:tc>
        <w:tc>
          <w:tcPr>
            <w:tcW w:w="1134" w:type="dxa"/>
            <w:vAlign w:val="center"/>
          </w:tcPr>
          <w:p w14:paraId="69E19599" w14:textId="77777777" w:rsidR="00CF2C2A" w:rsidRPr="006E4243" w:rsidRDefault="00CF2C2A" w:rsidP="00E50FE3">
            <w:pPr>
              <w:jc w:val="both"/>
              <w:rPr>
                <w:sz w:val="24"/>
                <w:szCs w:val="21"/>
                <w:lang w:eastAsia="ja-JP"/>
              </w:rPr>
            </w:pPr>
            <w:r w:rsidRPr="006E4243">
              <w:rPr>
                <w:sz w:val="24"/>
                <w:szCs w:val="21"/>
                <w:lang w:eastAsia="ja-JP"/>
              </w:rPr>
              <w:t>NICT</w:t>
            </w:r>
          </w:p>
        </w:tc>
        <w:tc>
          <w:tcPr>
            <w:tcW w:w="2977" w:type="dxa"/>
          </w:tcPr>
          <w:p w14:paraId="0E34F59D" w14:textId="77777777" w:rsidR="00CF2C2A" w:rsidRPr="006E4243" w:rsidRDefault="00CF2C2A" w:rsidP="00E50FE3">
            <w:pPr>
              <w:jc w:val="both"/>
              <w:rPr>
                <w:b/>
                <w:sz w:val="20"/>
                <w:lang w:eastAsia="ja-JP"/>
              </w:rPr>
            </w:pPr>
            <w:r w:rsidRPr="006E4243">
              <w:rPr>
                <w:rFonts w:hint="eastAsia"/>
                <w:sz w:val="20"/>
                <w:lang w:eastAsia="ja-JP"/>
              </w:rPr>
              <w:t>3-4, Hikarino-oka, Yokosuka, 239-0847, Japan</w:t>
            </w:r>
          </w:p>
        </w:tc>
        <w:tc>
          <w:tcPr>
            <w:tcW w:w="1838" w:type="dxa"/>
          </w:tcPr>
          <w:p w14:paraId="20BF3226" w14:textId="77777777" w:rsidR="00CF2C2A" w:rsidRPr="006E4243" w:rsidRDefault="00CF2C2A" w:rsidP="00E50FE3">
            <w:pPr>
              <w:pStyle w:val="T2"/>
              <w:spacing w:after="0"/>
              <w:ind w:left="141" w:right="0" w:firstLine="1"/>
              <w:jc w:val="both"/>
              <w:rPr>
                <w:b w:val="0"/>
                <w:sz w:val="20"/>
              </w:rPr>
            </w:pPr>
          </w:p>
        </w:tc>
        <w:tc>
          <w:tcPr>
            <w:tcW w:w="2250" w:type="dxa"/>
          </w:tcPr>
          <w:p w14:paraId="61F3926D" w14:textId="77777777" w:rsidR="00CF2C2A" w:rsidRPr="006E4243" w:rsidRDefault="00CF2C2A" w:rsidP="00E50FE3">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songe@ieee.org</w:t>
            </w:r>
          </w:p>
        </w:tc>
      </w:tr>
      <w:tr w:rsidR="000D3209" w:rsidRPr="006E4243" w14:paraId="4319E0F8" w14:textId="77777777" w:rsidTr="00F16D54">
        <w:trPr>
          <w:trHeight w:val="462"/>
          <w:jc w:val="center"/>
        </w:trPr>
        <w:tc>
          <w:tcPr>
            <w:tcW w:w="1522" w:type="dxa"/>
            <w:vAlign w:val="center"/>
          </w:tcPr>
          <w:p w14:paraId="6FB7ABE8" w14:textId="033970F9" w:rsidR="000D3209" w:rsidRPr="006E4243" w:rsidRDefault="000D3209" w:rsidP="00C65587">
            <w:pPr>
              <w:jc w:val="both"/>
              <w:rPr>
                <w:sz w:val="24"/>
                <w:szCs w:val="21"/>
              </w:rPr>
            </w:pPr>
            <w:r w:rsidRPr="006E4243">
              <w:rPr>
                <w:sz w:val="24"/>
                <w:szCs w:val="21"/>
              </w:rPr>
              <w:t>Hiroshi Harada</w:t>
            </w:r>
          </w:p>
        </w:tc>
        <w:tc>
          <w:tcPr>
            <w:tcW w:w="1134" w:type="dxa"/>
            <w:vAlign w:val="center"/>
          </w:tcPr>
          <w:p w14:paraId="744AC775" w14:textId="66970084" w:rsidR="000D3209" w:rsidRPr="006E4243" w:rsidRDefault="000D3209" w:rsidP="00C65587">
            <w:pPr>
              <w:jc w:val="both"/>
              <w:rPr>
                <w:sz w:val="24"/>
                <w:szCs w:val="21"/>
                <w:lang w:eastAsia="ja-JP"/>
              </w:rPr>
            </w:pPr>
            <w:r w:rsidRPr="006E4243">
              <w:rPr>
                <w:sz w:val="24"/>
                <w:szCs w:val="21"/>
                <w:lang w:eastAsia="ja-JP"/>
              </w:rPr>
              <w:t>NICT</w:t>
            </w:r>
          </w:p>
        </w:tc>
        <w:tc>
          <w:tcPr>
            <w:tcW w:w="2977" w:type="dxa"/>
          </w:tcPr>
          <w:p w14:paraId="73D2CE29" w14:textId="598E2B79" w:rsidR="000D3209" w:rsidRPr="006E4243" w:rsidRDefault="000D3209" w:rsidP="00C65587">
            <w:pPr>
              <w:jc w:val="both"/>
              <w:rPr>
                <w:sz w:val="20"/>
                <w:lang w:eastAsia="ja-JP"/>
              </w:rPr>
            </w:pPr>
            <w:r w:rsidRPr="006E4243">
              <w:rPr>
                <w:rFonts w:hint="eastAsia"/>
                <w:sz w:val="20"/>
                <w:lang w:eastAsia="ja-JP"/>
              </w:rPr>
              <w:t>3-4, Hikarino-oka, Yokosuka, 239-0847, Japan</w:t>
            </w:r>
          </w:p>
        </w:tc>
        <w:tc>
          <w:tcPr>
            <w:tcW w:w="1838" w:type="dxa"/>
          </w:tcPr>
          <w:p w14:paraId="793BE211" w14:textId="77777777" w:rsidR="000D3209" w:rsidRPr="006E4243" w:rsidRDefault="000D3209" w:rsidP="00C65587">
            <w:pPr>
              <w:ind w:left="141" w:firstLine="1"/>
              <w:jc w:val="both"/>
              <w:rPr>
                <w:sz w:val="20"/>
              </w:rPr>
            </w:pPr>
          </w:p>
        </w:tc>
        <w:tc>
          <w:tcPr>
            <w:tcW w:w="2250" w:type="dxa"/>
          </w:tcPr>
          <w:p w14:paraId="095CAB07" w14:textId="6A04B62B" w:rsidR="000D3209" w:rsidRPr="006E4243" w:rsidRDefault="000D3209" w:rsidP="00C65587">
            <w:pPr>
              <w:pStyle w:val="T2"/>
              <w:spacing w:before="120" w:after="120"/>
              <w:ind w:left="0" w:right="0"/>
              <w:jc w:val="both"/>
              <w:rPr>
                <w:rFonts w:eastAsia="ＭＳ 明朝"/>
                <w:b w:val="0"/>
                <w:sz w:val="20"/>
                <w:lang w:val="en-US" w:eastAsia="ja-JP"/>
              </w:rPr>
            </w:pPr>
            <w:r w:rsidRPr="006E4243">
              <w:rPr>
                <w:rFonts w:eastAsia="ＭＳ 明朝"/>
                <w:b w:val="0"/>
                <w:sz w:val="20"/>
                <w:lang w:val="en-US" w:eastAsia="ja-JP"/>
              </w:rPr>
              <w:t>harada@ieee.org</w:t>
            </w:r>
          </w:p>
        </w:tc>
      </w:tr>
    </w:tbl>
    <w:p w14:paraId="45F993D1" w14:textId="77777777" w:rsidR="00DD3189" w:rsidRPr="006E4243" w:rsidRDefault="00DD3189" w:rsidP="00DD3189">
      <w:pPr>
        <w:pStyle w:val="T1"/>
        <w:spacing w:after="120"/>
        <w:jc w:val="both"/>
        <w:rPr>
          <w:sz w:val="22"/>
        </w:rPr>
      </w:pPr>
      <w:r>
        <w:rPr>
          <w:b w:val="0"/>
          <w:noProof/>
          <w:sz w:val="20"/>
          <w:lang w:val="en-US" w:eastAsia="ja-JP"/>
        </w:rPr>
        <mc:AlternateContent>
          <mc:Choice Requires="wps">
            <w:drawing>
              <wp:anchor distT="0" distB="0" distL="114300" distR="114300" simplePos="0" relativeHeight="251660288" behindDoc="0" locked="0" layoutInCell="0" allowOverlap="1" wp14:anchorId="7125D1BB" wp14:editId="1E4F3396">
                <wp:simplePos x="0" y="0"/>
                <wp:positionH relativeFrom="column">
                  <wp:posOffset>-62865</wp:posOffset>
                </wp:positionH>
                <wp:positionV relativeFrom="paragraph">
                  <wp:posOffset>62230</wp:posOffset>
                </wp:positionV>
                <wp:extent cx="6515100" cy="1104900"/>
                <wp:effectExtent l="0" t="0" r="12700" b="1270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C216A" w14:textId="77777777" w:rsidR="00720B73" w:rsidRDefault="00720B73" w:rsidP="00DD3189">
                            <w:pPr>
                              <w:pStyle w:val="T1"/>
                              <w:spacing w:after="120"/>
                            </w:pPr>
                            <w:r>
                              <w:t>Abstract</w:t>
                            </w:r>
                          </w:p>
                          <w:p w14:paraId="422AC629" w14:textId="6044B076" w:rsidR="00720B73" w:rsidRPr="00876A1A" w:rsidRDefault="00720B73" w:rsidP="00DD3189">
                            <w:pPr>
                              <w:spacing w:before="120"/>
                              <w:jc w:val="both"/>
                              <w:rPr>
                                <w:sz w:val="24"/>
                                <w:szCs w:val="24"/>
                              </w:rPr>
                            </w:pPr>
                            <w:r w:rsidRPr="00876A1A">
                              <w:rPr>
                                <w:sz w:val="24"/>
                                <w:szCs w:val="24"/>
                              </w:rPr>
                              <w:t xml:space="preserve">This document addresses CID#19, CID#171, CID#196 referent </w:t>
                            </w:r>
                            <w:r>
                              <w:rPr>
                                <w:sz w:val="24"/>
                                <w:szCs w:val="24"/>
                              </w:rPr>
                              <w:t xml:space="preserve">the MIMO section of 802.22b standard. More specifically, it provides text to section 13.2.1 on </w:t>
                            </w:r>
                            <w:r w:rsidRPr="00876A1A">
                              <w:rPr>
                                <w:sz w:val="24"/>
                                <w:szCs w:val="24"/>
                              </w:rPr>
                              <w:t xml:space="preserve">transmit diversity </w:t>
                            </w:r>
                            <w:r>
                              <w:rPr>
                                <w:sz w:val="24"/>
                                <w:szCs w:val="24"/>
                              </w:rPr>
                              <w:t>using 2 antennas (Alamouti O-STBC</w:t>
                            </w:r>
                            <w:r w:rsidRPr="00876A1A">
                              <w:rPr>
                                <w:sz w:val="24"/>
                                <w:szCs w:val="24"/>
                              </w:rPr>
                              <w:t xml:space="preserve">) </w:t>
                            </w:r>
                            <w:r w:rsidRPr="00876A1A">
                              <w:rPr>
                                <w:rFonts w:eastAsia="ＭＳ 明朝"/>
                                <w:sz w:val="24"/>
                                <w:szCs w:val="24"/>
                                <w:lang w:eastAsia="ja-JP"/>
                              </w:rPr>
                              <w:t>considered in</w:t>
                            </w:r>
                            <w:r w:rsidRPr="00876A1A">
                              <w:rPr>
                                <w:rFonts w:eastAsia="ＭＳ 明朝" w:hint="eastAsia"/>
                                <w:sz w:val="24"/>
                                <w:szCs w:val="24"/>
                                <w:lang w:eastAsia="ja-JP"/>
                              </w:rPr>
                              <w:t xml:space="preserve"> 802.22</w:t>
                            </w:r>
                            <w:r w:rsidRPr="00876A1A">
                              <w:rPr>
                                <w:rFonts w:eastAsia="ＭＳ 明朝"/>
                                <w:sz w:val="24"/>
                                <w:szCs w:val="24"/>
                                <w:lang w:eastAsia="ja-JP"/>
                              </w:rPr>
                              <w:t>b</w:t>
                            </w:r>
                            <w:r w:rsidRPr="00876A1A">
                              <w:rPr>
                                <w:rFonts w:eastAsia="ＭＳ 明朝" w:hint="eastAsia"/>
                                <w:sz w:val="24"/>
                                <w:szCs w:val="24"/>
                                <w:lang w:eastAsia="ja-JP"/>
                              </w:rPr>
                              <w:t xml:space="preserve"> standard</w:t>
                            </w:r>
                            <w:r w:rsidRPr="00876A1A">
                              <w:rPr>
                                <w:rFonts w:eastAsia="ＭＳ 明朝"/>
                                <w:sz w:val="24"/>
                                <w:szCs w:val="24"/>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4.9pt;width:513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" o:allowincell="f" stroked="f">
                <v:textbox>
                  <w:txbxContent>
                    <w:p w14:paraId="50CC216A" w14:textId="77777777" w:rsidR="00720B73" w:rsidRDefault="00720B73" w:rsidP="00DD3189">
                      <w:pPr>
                        <w:pStyle w:val="T1"/>
                        <w:spacing w:after="120"/>
                      </w:pPr>
                      <w:r>
                        <w:t>Abstract</w:t>
                      </w:r>
                    </w:p>
                    <w:p w14:paraId="422AC629" w14:textId="6044B076" w:rsidR="00720B73" w:rsidRPr="00876A1A" w:rsidRDefault="00720B73" w:rsidP="00DD3189">
                      <w:pPr>
                        <w:spacing w:before="120"/>
                        <w:jc w:val="both"/>
                        <w:rPr>
                          <w:sz w:val="24"/>
                          <w:szCs w:val="24"/>
                        </w:rPr>
                      </w:pPr>
                      <w:r w:rsidRPr="00876A1A">
                        <w:rPr>
                          <w:sz w:val="24"/>
                          <w:szCs w:val="24"/>
                        </w:rPr>
                        <w:t xml:space="preserve">This document addresses CID#19, CID#171, CID#196 referent </w:t>
                      </w:r>
                      <w:r>
                        <w:rPr>
                          <w:sz w:val="24"/>
                          <w:szCs w:val="24"/>
                        </w:rPr>
                        <w:t xml:space="preserve">the MIMO section of 802.22b standard. More specifically, it provides text to section 13.2.1 on </w:t>
                      </w:r>
                      <w:r w:rsidRPr="00876A1A">
                        <w:rPr>
                          <w:sz w:val="24"/>
                          <w:szCs w:val="24"/>
                        </w:rPr>
                        <w:t xml:space="preserve">transmit diversity </w:t>
                      </w:r>
                      <w:r>
                        <w:rPr>
                          <w:sz w:val="24"/>
                          <w:szCs w:val="24"/>
                        </w:rPr>
                        <w:t>using 2 antennas (Alamouti O-STBC</w:t>
                      </w:r>
                      <w:r w:rsidRPr="00876A1A">
                        <w:rPr>
                          <w:sz w:val="24"/>
                          <w:szCs w:val="24"/>
                        </w:rPr>
                        <w:t xml:space="preserve">) </w:t>
                      </w:r>
                      <w:r w:rsidRPr="00876A1A">
                        <w:rPr>
                          <w:rFonts w:eastAsia="ＭＳ 明朝"/>
                          <w:sz w:val="24"/>
                          <w:szCs w:val="24"/>
                          <w:lang w:eastAsia="ja-JP"/>
                        </w:rPr>
                        <w:t>considered in</w:t>
                      </w:r>
                      <w:r w:rsidRPr="00876A1A">
                        <w:rPr>
                          <w:rFonts w:eastAsia="ＭＳ 明朝" w:hint="eastAsia"/>
                          <w:sz w:val="24"/>
                          <w:szCs w:val="24"/>
                          <w:lang w:eastAsia="ja-JP"/>
                        </w:rPr>
                        <w:t xml:space="preserve"> 802.22</w:t>
                      </w:r>
                      <w:r w:rsidRPr="00876A1A">
                        <w:rPr>
                          <w:rFonts w:eastAsia="ＭＳ 明朝"/>
                          <w:sz w:val="24"/>
                          <w:szCs w:val="24"/>
                          <w:lang w:eastAsia="ja-JP"/>
                        </w:rPr>
                        <w:t>b</w:t>
                      </w:r>
                      <w:r w:rsidRPr="00876A1A">
                        <w:rPr>
                          <w:rFonts w:eastAsia="ＭＳ 明朝" w:hint="eastAsia"/>
                          <w:sz w:val="24"/>
                          <w:szCs w:val="24"/>
                          <w:lang w:eastAsia="ja-JP"/>
                        </w:rPr>
                        <w:t xml:space="preserve"> standard</w:t>
                      </w:r>
                      <w:r w:rsidRPr="00876A1A">
                        <w:rPr>
                          <w:rFonts w:eastAsia="ＭＳ 明朝"/>
                          <w:sz w:val="24"/>
                          <w:szCs w:val="24"/>
                          <w:lang w:eastAsia="ja-JP"/>
                        </w:rPr>
                        <w:t>.</w:t>
                      </w:r>
                    </w:p>
                  </w:txbxContent>
                </v:textbox>
              </v:shape>
            </w:pict>
          </mc:Fallback>
        </mc:AlternateContent>
      </w:r>
    </w:p>
    <w:p w14:paraId="12A89551" w14:textId="61D2922C"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6874F67A"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6A208D0B"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7DCFE052"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2ADD9743" w14:textId="7777777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1200A75B" w14:textId="5F8AF30B"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3E210282" w14:textId="49B9A627"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136A14C3" w14:textId="25E92A9B"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67AB4704" w14:textId="470B35F9"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30D05DEA" w14:textId="6A42CCC2" w:rsidR="00DD3189" w:rsidRPr="006E4243" w:rsidRDefault="00DD3189" w:rsidP="00DD3189">
      <w:pPr>
        <w:autoSpaceDE w:val="0"/>
        <w:autoSpaceDN w:val="0"/>
        <w:adjustRightInd w:val="0"/>
        <w:ind w:left="120" w:right="2820"/>
        <w:jc w:val="both"/>
        <w:rPr>
          <w:rFonts w:ascii="Arial" w:eastAsia="ＭＳ 明朝" w:hAnsi="Arial" w:cs="Arial"/>
          <w:b/>
          <w:bCs/>
          <w:sz w:val="20"/>
          <w:lang w:eastAsia="ja-JP"/>
        </w:rPr>
      </w:pPr>
    </w:p>
    <w:p w14:paraId="44AF9E58" w14:textId="1FB61D73" w:rsidR="00DD3189" w:rsidRDefault="00A437D9" w:rsidP="00DD3189">
      <w:pPr>
        <w:pStyle w:val="ListParagraph"/>
        <w:ind w:leftChars="0" w:left="25"/>
        <w:jc w:val="both"/>
        <w:rPr>
          <w:sz w:val="28"/>
          <w:szCs w:val="28"/>
        </w:rPr>
      </w:pPr>
      <w:r>
        <w:rPr>
          <w:noProof/>
          <w:lang w:val="en-US" w:eastAsia="ja-JP"/>
        </w:rPr>
        <mc:AlternateContent>
          <mc:Choice Requires="wps">
            <w:drawing>
              <wp:anchor distT="0" distB="0" distL="114300" distR="114300" simplePos="0" relativeHeight="251659264" behindDoc="0" locked="0" layoutInCell="1" allowOverlap="1" wp14:anchorId="3FB344B5" wp14:editId="289478A1">
                <wp:simplePos x="0" y="0"/>
                <wp:positionH relativeFrom="column">
                  <wp:posOffset>104140</wp:posOffset>
                </wp:positionH>
                <wp:positionV relativeFrom="paragraph">
                  <wp:posOffset>30480</wp:posOffset>
                </wp:positionV>
                <wp:extent cx="6057900" cy="2983230"/>
                <wp:effectExtent l="0" t="0" r="3810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14:paraId="03A6840F" w14:textId="77777777" w:rsidR="00720B73" w:rsidRDefault="00720B73" w:rsidP="00DD318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624F503" w14:textId="77777777" w:rsidR="00720B73" w:rsidRDefault="00720B73" w:rsidP="00DD3189">
                            <w:pPr>
                              <w:jc w:val="both"/>
                              <w:rPr>
                                <w:rFonts w:ascii="Arial Unicode MS" w:eastAsia="Arial Unicode MS" w:hAnsi="Arial Unicode MS"/>
                                <w:color w:val="000000"/>
                                <w:sz w:val="18"/>
                                <w:lang w:val="en-US"/>
                              </w:rPr>
                            </w:pPr>
                          </w:p>
                          <w:p w14:paraId="72D84B74" w14:textId="77777777" w:rsidR="00720B73" w:rsidRDefault="00720B73" w:rsidP="00DD318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ED39966" w14:textId="77777777" w:rsidR="00720B73" w:rsidRDefault="00720B73" w:rsidP="00DD3189">
                            <w:pPr>
                              <w:jc w:val="both"/>
                              <w:rPr>
                                <w:color w:val="000000"/>
                                <w:sz w:val="18"/>
                              </w:rPr>
                            </w:pPr>
                          </w:p>
                          <w:p w14:paraId="46B0CC6D" w14:textId="77777777" w:rsidR="00720B73" w:rsidRDefault="00720B73" w:rsidP="00DD318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079F3A82" w14:textId="77777777" w:rsidR="00720B73" w:rsidRDefault="00720B73" w:rsidP="00DD318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9"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rPr>
                                <w:b/>
                                <w:color w:val="000080"/>
                                <w:sz w:val="18"/>
                              </w:rPr>
                              <w:fldChar w:fldCharType="begin"/>
                            </w:r>
                            <w:r>
                              <w:rPr>
                                <w:b/>
                                <w:color w:val="000080"/>
                                <w:sz w:val="18"/>
                              </w:rPr>
                              <w:instrText xml:space="preserve"> HYPERLINK "mailto:patcom@ieee.org" \t "_parent" </w:instrText>
                            </w:r>
                            <w:r>
                              <w:rPr>
                                <w:b/>
                                <w:color w:val="000080"/>
                                <w:sz w:val="18"/>
                              </w:rPr>
                              <w:fldChar w:fldCharType="separate"/>
                            </w:r>
                            <w:r>
                              <w:rPr>
                                <w:rStyle w:val="Hyperlink"/>
                                <w:b/>
                                <w:sz w:val="18"/>
                              </w:rPr>
                              <w:t>patcom@ieee.org</w:t>
                            </w:r>
                            <w:r>
                              <w:rPr>
                                <w:b/>
                                <w:color w:val="000080"/>
                                <w:sz w:val="18"/>
                              </w:rPr>
                              <w:fldChar w:fldCharType="end"/>
                            </w:r>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8.2pt;margin-top:2.4pt;width:477pt;height:2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" strokecolor="blue" strokeweight="2pt">
                <v:textbox>
                  <w:txbxContent>
                    <w:p w14:paraId="03A6840F" w14:textId="77777777" w:rsidR="00720B73" w:rsidRDefault="00720B73" w:rsidP="00DD318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624F503" w14:textId="77777777" w:rsidR="00720B73" w:rsidRDefault="00720B73" w:rsidP="00DD3189">
                      <w:pPr>
                        <w:jc w:val="both"/>
                        <w:rPr>
                          <w:rFonts w:ascii="Arial Unicode MS" w:eastAsia="Arial Unicode MS" w:hAnsi="Arial Unicode MS"/>
                          <w:color w:val="000000"/>
                          <w:sz w:val="18"/>
                          <w:lang w:val="en-US"/>
                        </w:rPr>
                      </w:pPr>
                    </w:p>
                    <w:p w14:paraId="72D84B74" w14:textId="77777777" w:rsidR="00720B73" w:rsidRDefault="00720B73" w:rsidP="00DD318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ED39966" w14:textId="77777777" w:rsidR="00720B73" w:rsidRDefault="00720B73" w:rsidP="00DD3189">
                      <w:pPr>
                        <w:jc w:val="both"/>
                        <w:rPr>
                          <w:color w:val="000000"/>
                          <w:sz w:val="18"/>
                        </w:rPr>
                      </w:pPr>
                    </w:p>
                    <w:p w14:paraId="46B0CC6D" w14:textId="77777777" w:rsidR="00720B73" w:rsidRDefault="00720B73" w:rsidP="00DD318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079F3A82" w14:textId="77777777" w:rsidR="00720B73" w:rsidRDefault="00720B73" w:rsidP="00DD3189">
                      <w:pPr>
                        <w:jc w:val="both"/>
                        <w:rPr>
                          <w:sz w:val="18"/>
                        </w:rPr>
                      </w:pPr>
                      <w:r>
                        <w:rPr>
                          <w:color w:val="000000"/>
                          <w:sz w:val="18"/>
                        </w:rPr>
                        <w:t>&lt;</w:t>
                      </w:r>
                      <w:hyperlink r:id="rId10"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1"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rPr>
                          <w:b/>
                          <w:color w:val="000080"/>
                          <w:sz w:val="18"/>
                        </w:rPr>
                        <w:fldChar w:fldCharType="begin"/>
                      </w:r>
                      <w:r>
                        <w:rPr>
                          <w:b/>
                          <w:color w:val="000080"/>
                          <w:sz w:val="18"/>
                        </w:rPr>
                        <w:instrText xml:space="preserve"> HYPERLINK "mailto:patcom@ieee.org" \t "_parent" </w:instrText>
                      </w:r>
                      <w:r>
                        <w:rPr>
                          <w:b/>
                          <w:color w:val="000080"/>
                          <w:sz w:val="18"/>
                        </w:rPr>
                        <w:fldChar w:fldCharType="separate"/>
                      </w:r>
                      <w:r>
                        <w:rPr>
                          <w:rStyle w:val="Hyperlink"/>
                          <w:b/>
                          <w:sz w:val="18"/>
                        </w:rPr>
                        <w:t>patcom@ieee.org</w:t>
                      </w:r>
                      <w:r>
                        <w:rPr>
                          <w:b/>
                          <w:color w:val="000080"/>
                          <w:sz w:val="18"/>
                        </w:rPr>
                        <w:fldChar w:fldCharType="end"/>
                      </w:r>
                      <w:r>
                        <w:rPr>
                          <w:b/>
                          <w:color w:val="000080"/>
                          <w:sz w:val="18"/>
                        </w:rPr>
                        <w:t>&gt;</w:t>
                      </w:r>
                      <w:r>
                        <w:rPr>
                          <w:color w:val="000000"/>
                          <w:sz w:val="18"/>
                        </w:rPr>
                        <w:t>.</w:t>
                      </w:r>
                    </w:p>
                  </w:txbxContent>
                </v:textbox>
              </v:shape>
            </w:pict>
          </mc:Fallback>
        </mc:AlternateContent>
      </w:r>
    </w:p>
    <w:p w14:paraId="205A629F" w14:textId="77777777" w:rsidR="00DD3189" w:rsidRDefault="00DD3189" w:rsidP="00DD3189">
      <w:pPr>
        <w:pStyle w:val="ListParagraph"/>
        <w:ind w:leftChars="0" w:left="25"/>
        <w:jc w:val="both"/>
        <w:rPr>
          <w:sz w:val="28"/>
          <w:szCs w:val="28"/>
        </w:rPr>
      </w:pPr>
    </w:p>
    <w:p w14:paraId="468640A2" w14:textId="77777777" w:rsidR="00DD3189" w:rsidRDefault="00DD3189" w:rsidP="00DD3189">
      <w:pPr>
        <w:pStyle w:val="ListParagraph"/>
        <w:ind w:leftChars="0" w:left="25"/>
        <w:jc w:val="both"/>
        <w:rPr>
          <w:sz w:val="28"/>
          <w:szCs w:val="28"/>
        </w:rPr>
      </w:pPr>
    </w:p>
    <w:p w14:paraId="276A5CA5" w14:textId="77777777" w:rsidR="00DD3189" w:rsidRDefault="00DD3189" w:rsidP="00DD3189">
      <w:pPr>
        <w:pStyle w:val="ListParagraph"/>
        <w:ind w:leftChars="0" w:left="25"/>
        <w:jc w:val="both"/>
        <w:rPr>
          <w:sz w:val="28"/>
          <w:szCs w:val="28"/>
        </w:rPr>
      </w:pPr>
    </w:p>
    <w:p w14:paraId="3670FEF5" w14:textId="77777777" w:rsidR="00DD3189" w:rsidRDefault="00DD3189" w:rsidP="00DD3189">
      <w:pPr>
        <w:pStyle w:val="ListParagraph"/>
        <w:ind w:leftChars="0" w:left="25"/>
        <w:jc w:val="both"/>
        <w:rPr>
          <w:sz w:val="28"/>
          <w:szCs w:val="28"/>
        </w:rPr>
      </w:pPr>
    </w:p>
    <w:p w14:paraId="27F1CEC1" w14:textId="77777777" w:rsidR="00DD3189" w:rsidRDefault="00DD3189" w:rsidP="00DD3189">
      <w:pPr>
        <w:pStyle w:val="ListParagraph"/>
        <w:ind w:leftChars="0" w:left="25"/>
        <w:jc w:val="both"/>
        <w:rPr>
          <w:sz w:val="28"/>
          <w:szCs w:val="28"/>
        </w:rPr>
      </w:pPr>
    </w:p>
    <w:p w14:paraId="02957C1D" w14:textId="77777777" w:rsidR="00DD3189" w:rsidRDefault="00DD3189" w:rsidP="00DD3189">
      <w:pPr>
        <w:pStyle w:val="ListParagraph"/>
        <w:ind w:leftChars="0" w:left="25"/>
        <w:jc w:val="both"/>
        <w:rPr>
          <w:sz w:val="28"/>
          <w:szCs w:val="28"/>
        </w:rPr>
      </w:pPr>
    </w:p>
    <w:p w14:paraId="3BC70847" w14:textId="77777777" w:rsidR="00DD3189" w:rsidRDefault="00DD3189" w:rsidP="00DD3189">
      <w:pPr>
        <w:pStyle w:val="ListParagraph"/>
        <w:ind w:leftChars="0" w:left="25"/>
        <w:jc w:val="both"/>
        <w:rPr>
          <w:sz w:val="28"/>
          <w:szCs w:val="28"/>
        </w:rPr>
      </w:pPr>
    </w:p>
    <w:p w14:paraId="5D9557EC" w14:textId="77777777" w:rsidR="00DD3189" w:rsidRDefault="00DD3189" w:rsidP="00DD3189">
      <w:pPr>
        <w:pStyle w:val="ListParagraph"/>
        <w:ind w:leftChars="0" w:left="25"/>
        <w:jc w:val="both"/>
        <w:rPr>
          <w:sz w:val="28"/>
          <w:szCs w:val="28"/>
        </w:rPr>
      </w:pPr>
    </w:p>
    <w:p w14:paraId="455AD831" w14:textId="77777777" w:rsidR="00DD3189" w:rsidRDefault="00DD3189" w:rsidP="00DD3189">
      <w:pPr>
        <w:pStyle w:val="ListParagraph"/>
        <w:ind w:leftChars="0" w:left="25"/>
        <w:jc w:val="both"/>
        <w:rPr>
          <w:sz w:val="28"/>
          <w:szCs w:val="28"/>
        </w:rPr>
      </w:pPr>
    </w:p>
    <w:p w14:paraId="4924B960" w14:textId="77777777" w:rsidR="00DD3189" w:rsidRDefault="00DD3189" w:rsidP="00DD3189">
      <w:pPr>
        <w:pStyle w:val="ListParagraph"/>
        <w:ind w:leftChars="0" w:left="25"/>
        <w:jc w:val="both"/>
        <w:rPr>
          <w:sz w:val="28"/>
          <w:szCs w:val="28"/>
        </w:rPr>
      </w:pPr>
    </w:p>
    <w:p w14:paraId="20E86F18" w14:textId="77777777" w:rsidR="00DD3189" w:rsidRDefault="00DD3189" w:rsidP="00DD3189">
      <w:pPr>
        <w:pStyle w:val="ListParagraph"/>
        <w:ind w:leftChars="0" w:left="25"/>
        <w:jc w:val="both"/>
        <w:rPr>
          <w:sz w:val="28"/>
          <w:szCs w:val="28"/>
        </w:rPr>
      </w:pPr>
    </w:p>
    <w:p w14:paraId="0FFAAFAF" w14:textId="77777777" w:rsidR="00EB6E7E" w:rsidRDefault="00EB6E7E" w:rsidP="00DD3189">
      <w:pPr>
        <w:pStyle w:val="ListParagraph"/>
        <w:ind w:leftChars="0" w:left="25"/>
        <w:jc w:val="both"/>
        <w:rPr>
          <w:sz w:val="28"/>
          <w:szCs w:val="28"/>
        </w:rPr>
      </w:pPr>
    </w:p>
    <w:p w14:paraId="35F2D636" w14:textId="77777777" w:rsidR="00ED421E" w:rsidRDefault="00ED421E" w:rsidP="00DD3189">
      <w:pPr>
        <w:pStyle w:val="ListParagraph"/>
        <w:ind w:leftChars="0" w:left="25"/>
        <w:jc w:val="both"/>
        <w:rPr>
          <w:sz w:val="28"/>
          <w:szCs w:val="28"/>
        </w:rPr>
      </w:pPr>
    </w:p>
    <w:p w14:paraId="46329A6D" w14:textId="77777777" w:rsidR="00A437D9" w:rsidRDefault="00A437D9" w:rsidP="00DD3189">
      <w:pPr>
        <w:pStyle w:val="ListParagraph"/>
        <w:ind w:leftChars="0" w:left="0"/>
        <w:jc w:val="both"/>
        <w:rPr>
          <w:sz w:val="28"/>
          <w:szCs w:val="28"/>
        </w:rPr>
      </w:pPr>
    </w:p>
    <w:p w14:paraId="1E5B0F3B" w14:textId="77777777" w:rsidR="00A437D9" w:rsidRDefault="00A437D9" w:rsidP="00DD3189">
      <w:pPr>
        <w:pStyle w:val="ListParagraph"/>
        <w:ind w:leftChars="0" w:left="0"/>
        <w:jc w:val="both"/>
        <w:rPr>
          <w:sz w:val="28"/>
          <w:szCs w:val="28"/>
        </w:rPr>
      </w:pPr>
    </w:p>
    <w:p w14:paraId="266416CA" w14:textId="77777777" w:rsidR="00A437D9" w:rsidRDefault="00A437D9" w:rsidP="00DD3189">
      <w:pPr>
        <w:pStyle w:val="ListParagraph"/>
        <w:ind w:leftChars="0" w:left="0"/>
        <w:jc w:val="both"/>
        <w:rPr>
          <w:sz w:val="28"/>
          <w:szCs w:val="28"/>
        </w:rPr>
      </w:pPr>
    </w:p>
    <w:p w14:paraId="0C0A2EA8" w14:textId="46ADC54E" w:rsidR="00EF7039" w:rsidRPr="00EF7039" w:rsidRDefault="00EF7039" w:rsidP="00DD3189">
      <w:pPr>
        <w:pStyle w:val="ListParagraph"/>
        <w:ind w:leftChars="0" w:left="0"/>
        <w:jc w:val="both"/>
        <w:rPr>
          <w:sz w:val="24"/>
          <w:szCs w:val="24"/>
          <w:u w:val="single"/>
        </w:rPr>
      </w:pPr>
      <w:r>
        <w:rPr>
          <w:sz w:val="24"/>
          <w:szCs w:val="24"/>
          <w:u w:val="single"/>
        </w:rPr>
        <w:lastRenderedPageBreak/>
        <w:t>CID#19</w:t>
      </w:r>
    </w:p>
    <w:p w14:paraId="62A658EC" w14:textId="13102576" w:rsidR="00EF7039" w:rsidRPr="00EF7039" w:rsidRDefault="00EF7039" w:rsidP="00DD3189">
      <w:pPr>
        <w:pStyle w:val="ListParagraph"/>
        <w:ind w:leftChars="0" w:left="0"/>
        <w:jc w:val="both"/>
        <w:rPr>
          <w:sz w:val="24"/>
          <w:szCs w:val="24"/>
        </w:rPr>
      </w:pPr>
      <w:r w:rsidRPr="00EF7039">
        <w:rPr>
          <w:color w:val="000000"/>
        </w:rPr>
        <w:t>Section 13.2.1 ia left as TBD</w:t>
      </w:r>
      <w:r w:rsidR="003456D8">
        <w:rPr>
          <w:color w:val="000000"/>
        </w:rPr>
        <w:t>.</w:t>
      </w:r>
    </w:p>
    <w:p w14:paraId="01A84559" w14:textId="77777777" w:rsidR="00EF7039" w:rsidRDefault="00EF7039" w:rsidP="00DD3189">
      <w:pPr>
        <w:pStyle w:val="ListParagraph"/>
        <w:ind w:leftChars="0" w:left="0"/>
        <w:jc w:val="both"/>
        <w:rPr>
          <w:sz w:val="24"/>
          <w:szCs w:val="24"/>
        </w:rPr>
      </w:pPr>
    </w:p>
    <w:p w14:paraId="08798B08" w14:textId="126AB34A" w:rsidR="00EF7039" w:rsidRPr="00EF7039" w:rsidRDefault="00EF7039" w:rsidP="00DD3189">
      <w:pPr>
        <w:pStyle w:val="ListParagraph"/>
        <w:ind w:leftChars="0" w:left="0"/>
        <w:jc w:val="both"/>
        <w:rPr>
          <w:sz w:val="24"/>
          <w:szCs w:val="24"/>
          <w:u w:val="single"/>
        </w:rPr>
      </w:pPr>
      <w:r>
        <w:rPr>
          <w:sz w:val="24"/>
          <w:szCs w:val="24"/>
          <w:u w:val="single"/>
        </w:rPr>
        <w:t>CID#171</w:t>
      </w:r>
    </w:p>
    <w:p w14:paraId="19D75591" w14:textId="30B104E3" w:rsidR="00EF7039" w:rsidRPr="00EF7039" w:rsidRDefault="00EF7039" w:rsidP="00DD3189">
      <w:pPr>
        <w:pStyle w:val="ListParagraph"/>
        <w:ind w:leftChars="0" w:left="0"/>
        <w:jc w:val="both"/>
        <w:rPr>
          <w:sz w:val="24"/>
          <w:szCs w:val="24"/>
        </w:rPr>
      </w:pPr>
      <w:r w:rsidRPr="00EF7039">
        <w:rPr>
          <w:color w:val="000000"/>
        </w:rPr>
        <w:t>There is no description in "13.2.1Transmit diversity using 2 antennas (Alamouti O-STBC)".</w:t>
      </w:r>
    </w:p>
    <w:p w14:paraId="2F790EE5" w14:textId="77777777" w:rsidR="00EF7039" w:rsidRDefault="00EF7039" w:rsidP="00DD3189">
      <w:pPr>
        <w:pStyle w:val="ListParagraph"/>
        <w:ind w:leftChars="0" w:left="0"/>
        <w:jc w:val="both"/>
        <w:rPr>
          <w:sz w:val="24"/>
          <w:szCs w:val="24"/>
        </w:rPr>
      </w:pPr>
    </w:p>
    <w:p w14:paraId="2A0B7BCF" w14:textId="39D77604" w:rsidR="00720B73" w:rsidRPr="00EF7039" w:rsidRDefault="00720B73" w:rsidP="00DD3189">
      <w:pPr>
        <w:pStyle w:val="ListParagraph"/>
        <w:ind w:leftChars="0" w:left="0"/>
        <w:jc w:val="both"/>
        <w:rPr>
          <w:sz w:val="24"/>
          <w:szCs w:val="24"/>
          <w:u w:val="single"/>
        </w:rPr>
      </w:pPr>
      <w:r w:rsidRPr="00EF7039">
        <w:rPr>
          <w:sz w:val="24"/>
          <w:szCs w:val="24"/>
          <w:u w:val="single"/>
        </w:rPr>
        <w:t>CID#196</w:t>
      </w:r>
    </w:p>
    <w:p w14:paraId="56EF2CE9" w14:textId="4FBC30C8" w:rsidR="00EF7039" w:rsidRPr="00EF7039" w:rsidRDefault="00EF7039" w:rsidP="00DD3189">
      <w:pPr>
        <w:pStyle w:val="ListParagraph"/>
        <w:ind w:leftChars="0" w:left="0"/>
        <w:jc w:val="both"/>
        <w:rPr>
          <w:sz w:val="28"/>
          <w:szCs w:val="28"/>
        </w:rPr>
      </w:pPr>
      <w:r w:rsidRPr="00EF7039">
        <w:rPr>
          <w:color w:val="000000"/>
        </w:rPr>
        <w:t xml:space="preserve">This subclause </w:t>
      </w:r>
      <w:r w:rsidRPr="00EF7039">
        <w:rPr>
          <w:color w:val="000000"/>
        </w:rPr>
        <w:t xml:space="preserve">(13.2.1) </w:t>
      </w:r>
      <w:r w:rsidRPr="00EF7039">
        <w:rPr>
          <w:color w:val="000000"/>
        </w:rPr>
        <w:t>is TBD. It should be completed.</w:t>
      </w:r>
    </w:p>
    <w:p w14:paraId="1599801B" w14:textId="77777777" w:rsidR="00720B73" w:rsidRDefault="00720B73" w:rsidP="00DD3189">
      <w:pPr>
        <w:pStyle w:val="ListParagraph"/>
        <w:ind w:leftChars="0" w:left="0"/>
        <w:jc w:val="both"/>
        <w:rPr>
          <w:sz w:val="28"/>
          <w:szCs w:val="28"/>
        </w:rPr>
      </w:pPr>
    </w:p>
    <w:p w14:paraId="6EF4A264" w14:textId="2C8148BE" w:rsidR="00DD3189" w:rsidRPr="006E4243" w:rsidRDefault="00A1214F" w:rsidP="00DD3189">
      <w:pPr>
        <w:pStyle w:val="ListParagraph"/>
        <w:ind w:leftChars="0" w:left="0"/>
        <w:jc w:val="both"/>
        <w:rPr>
          <w:sz w:val="28"/>
          <w:szCs w:val="28"/>
        </w:rPr>
      </w:pPr>
      <w:r>
        <w:rPr>
          <w:sz w:val="28"/>
          <w:szCs w:val="28"/>
        </w:rPr>
        <w:t>13</w:t>
      </w:r>
      <w:r w:rsidR="00C65587">
        <w:rPr>
          <w:sz w:val="28"/>
          <w:szCs w:val="28"/>
        </w:rPr>
        <w:t>.2</w:t>
      </w:r>
      <w:r w:rsidR="00DD3189">
        <w:rPr>
          <w:sz w:val="28"/>
          <w:szCs w:val="28"/>
        </w:rPr>
        <w:t xml:space="preserve"> </w:t>
      </w:r>
      <w:r w:rsidR="00DD3189" w:rsidRPr="006E4243">
        <w:rPr>
          <w:sz w:val="28"/>
          <w:szCs w:val="28"/>
        </w:rPr>
        <w:t>Space Time Coding (STC)</w:t>
      </w:r>
    </w:p>
    <w:p w14:paraId="6256C7EF" w14:textId="03F0FA05" w:rsidR="00194608" w:rsidRDefault="00A1214F" w:rsidP="00194608">
      <w:pPr>
        <w:pStyle w:val="ListParagraph"/>
        <w:ind w:leftChars="0" w:left="0"/>
        <w:jc w:val="both"/>
        <w:rPr>
          <w:sz w:val="28"/>
          <w:szCs w:val="28"/>
        </w:rPr>
      </w:pPr>
      <w:r>
        <w:rPr>
          <w:sz w:val="28"/>
          <w:szCs w:val="28"/>
        </w:rPr>
        <w:t>13</w:t>
      </w:r>
      <w:r w:rsidR="00C65587">
        <w:rPr>
          <w:sz w:val="28"/>
          <w:szCs w:val="28"/>
        </w:rPr>
        <w:t>.2.</w:t>
      </w:r>
      <w:r w:rsidR="00DD3189">
        <w:rPr>
          <w:sz w:val="28"/>
          <w:szCs w:val="28"/>
        </w:rPr>
        <w:t xml:space="preserve">1 </w:t>
      </w:r>
      <w:r w:rsidR="00DD3189" w:rsidRPr="006E4243">
        <w:rPr>
          <w:sz w:val="28"/>
          <w:szCs w:val="28"/>
        </w:rPr>
        <w:t>Transmit diversity using 2 antennas (Alamouti O-STBC)</w:t>
      </w:r>
    </w:p>
    <w:p w14:paraId="4EB4569A" w14:textId="77777777" w:rsidR="00194608" w:rsidRPr="00194608" w:rsidRDefault="00194608" w:rsidP="00194608">
      <w:pPr>
        <w:pStyle w:val="ListParagraph"/>
        <w:ind w:leftChars="0" w:left="0"/>
        <w:jc w:val="both"/>
        <w:rPr>
          <w:szCs w:val="22"/>
        </w:rPr>
      </w:pPr>
    </w:p>
    <w:p w14:paraId="62E49BBA" w14:textId="2584D2E6" w:rsidR="00DD3189" w:rsidRPr="00194608" w:rsidRDefault="00194608" w:rsidP="005E2084">
      <w:pPr>
        <w:autoSpaceDE w:val="0"/>
        <w:autoSpaceDN w:val="0"/>
        <w:adjustRightInd w:val="0"/>
        <w:spacing w:after="240"/>
        <w:jc w:val="both"/>
        <w:rPr>
          <w:rFonts w:eastAsiaTheme="minorEastAsia"/>
          <w:szCs w:val="22"/>
          <w:lang w:val="en-US"/>
        </w:rPr>
      </w:pPr>
      <w:r>
        <w:rPr>
          <w:rFonts w:eastAsiaTheme="minorEastAsia"/>
          <w:szCs w:val="22"/>
          <w:lang w:val="en-US"/>
        </w:rPr>
        <w:t>Improvement in</w:t>
      </w:r>
      <w:r w:rsidRPr="00194608">
        <w:rPr>
          <w:rFonts w:eastAsiaTheme="minorEastAsia"/>
          <w:szCs w:val="22"/>
          <w:lang w:val="en-US"/>
        </w:rPr>
        <w:t xml:space="preserve"> wireless link robustness against the deleterious effects of fading</w:t>
      </w:r>
      <w:r>
        <w:rPr>
          <w:rFonts w:eastAsiaTheme="minorEastAsia"/>
          <w:szCs w:val="22"/>
          <w:lang w:val="en-US"/>
        </w:rPr>
        <w:t xml:space="preserve"> is achieved by the use of Orthogonal Space-Time Block Codes (O-STBCs) through exploitation of</w:t>
      </w:r>
      <w:r w:rsidRPr="00194608">
        <w:rPr>
          <w:rFonts w:eastAsiaTheme="minorEastAsia"/>
          <w:szCs w:val="22"/>
          <w:lang w:val="en-US"/>
        </w:rPr>
        <w:t xml:space="preserve"> the extra degrees of freedom provided by the multi-input-multi-output (MIMO) channel</w:t>
      </w:r>
      <w:r>
        <w:rPr>
          <w:rFonts w:eastAsiaTheme="minorEastAsia"/>
          <w:szCs w:val="22"/>
          <w:lang w:val="en-US"/>
        </w:rPr>
        <w:t>.</w:t>
      </w:r>
    </w:p>
    <w:p w14:paraId="14441872" w14:textId="06979F44" w:rsidR="008D2636" w:rsidRDefault="008D2636" w:rsidP="008D2636">
      <w:pPr>
        <w:jc w:val="both"/>
      </w:pPr>
      <w:r>
        <w:t xml:space="preserve">Let us consider </w:t>
      </w:r>
      <w:r w:rsidR="00560B61">
        <w:t xml:space="preserve">a wireless communications system with </w:t>
      </w:r>
      <w:r>
        <w:t>two antennas</w:t>
      </w:r>
      <w:r w:rsidR="00560B61">
        <w:t xml:space="preserve"> at the transmitter side and a single antenna at the receiver side. Additionally, let both transmit antennas, namely antenna one and two, be </w:t>
      </w:r>
      <w:r>
        <w:t>spaced at least half-wave length from each other and from which two symbols</w:t>
      </w:r>
      <w:r w:rsidR="00560B61">
        <w:t xml:space="preserve"> </w:t>
      </w:r>
      <w:r w:rsidRPr="00E50FE3">
        <w:rPr>
          <w:i/>
        </w:rPr>
        <w:t>s</w:t>
      </w:r>
      <w:r w:rsidRPr="00E50FE3">
        <w:rPr>
          <w:i/>
          <w:vertAlign w:val="subscript"/>
        </w:rPr>
        <w:t>1</w:t>
      </w:r>
      <w:r>
        <w:t xml:space="preserve"> and </w:t>
      </w:r>
      <w:r w:rsidRPr="00E50FE3">
        <w:rPr>
          <w:i/>
        </w:rPr>
        <w:t>s</w:t>
      </w:r>
      <w:r w:rsidRPr="00E50FE3">
        <w:rPr>
          <w:i/>
          <w:vertAlign w:val="subscript"/>
        </w:rPr>
        <w:t>2</w:t>
      </w:r>
      <w:r>
        <w:t xml:space="preserve"> are respectively transmitted (simultaneously) at a given symbol period</w:t>
      </w:r>
      <w:r w:rsidR="00E50FE3">
        <w:t xml:space="preserve"> </w:t>
      </w:r>
      <w:r w:rsidR="00E50FE3" w:rsidRPr="00E50FE3">
        <w:rPr>
          <w:i/>
        </w:rPr>
        <w:t>T</w:t>
      </w:r>
      <w:r>
        <w:t xml:space="preserve">. If during the following symbol period </w:t>
      </w:r>
      <w:r w:rsidRPr="00E50FE3">
        <w:rPr>
          <w:i/>
        </w:rPr>
        <w:t>-s</w:t>
      </w:r>
      <w:r w:rsidRPr="00E50FE3">
        <w:rPr>
          <w:i/>
          <w:vertAlign w:val="subscript"/>
        </w:rPr>
        <w:t>2</w:t>
      </w:r>
      <w:r w:rsidRPr="00E50FE3">
        <w:rPr>
          <w:i/>
          <w:szCs w:val="22"/>
          <w:vertAlign w:val="superscript"/>
        </w:rPr>
        <w:t>*</w:t>
      </w:r>
      <w:r>
        <w:t xml:space="preserve"> and </w:t>
      </w:r>
      <w:r w:rsidRPr="00E50FE3">
        <w:rPr>
          <w:i/>
        </w:rPr>
        <w:t>s</w:t>
      </w:r>
      <w:r w:rsidRPr="00E50FE3">
        <w:rPr>
          <w:i/>
          <w:vertAlign w:val="subscript"/>
        </w:rPr>
        <w:t>1</w:t>
      </w:r>
      <w:r w:rsidRPr="00E50FE3">
        <w:rPr>
          <w:i/>
          <w:szCs w:val="22"/>
          <w:vertAlign w:val="superscript"/>
        </w:rPr>
        <w:t>*</w:t>
      </w:r>
      <w:r>
        <w:t xml:space="preserve">, where </w:t>
      </w:r>
      <w:r w:rsidRPr="00EF2F9D">
        <w:rPr>
          <w:szCs w:val="22"/>
          <w:vertAlign w:val="superscript"/>
        </w:rPr>
        <w:t>*</w:t>
      </w:r>
      <w:r>
        <w:t xml:space="preserve"> represents complex conjugation operation, are now transmitted respectively from antenna one and two, we can represent the encoding scheme in the following manner,</w:t>
      </w:r>
    </w:p>
    <w:p w14:paraId="136A94E6" w14:textId="77777777" w:rsidR="008D2636" w:rsidRPr="00CF77DC" w:rsidRDefault="008D2636" w:rsidP="008D2636">
      <w:pPr>
        <w:jc w:val="both"/>
      </w:pPr>
      <w:r>
        <w:t xml:space="preserve"> </w:t>
      </w:r>
    </w:p>
    <w:p w14:paraId="7ADEF9F7" w14:textId="77777777" w:rsidR="008D2636" w:rsidRDefault="008D2636" w:rsidP="008D2636">
      <w:pPr>
        <w:jc w:val="both"/>
      </w:pPr>
      <w:r>
        <w:t>G</w:t>
      </w:r>
      <w:r w:rsidRPr="00CF77DC">
        <w:rPr>
          <w:vertAlign w:val="subscript"/>
        </w:rPr>
        <w:t>2</w:t>
      </w:r>
      <w:r>
        <w:t xml:space="preserve"> = </w:t>
      </w:r>
      <w:r w:rsidR="00E50FE3">
        <w:rPr>
          <w:position w:val="-40"/>
        </w:rPr>
        <w:pict w14:anchorId="37366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pt;height:46pt">
            <v:imagedata r:id="rId12" o:title=""/>
          </v:shape>
        </w:pict>
      </w:r>
      <w:r>
        <w:t>,</w:t>
      </w:r>
    </w:p>
    <w:p w14:paraId="572884B2" w14:textId="77777777" w:rsidR="008D2636" w:rsidRDefault="008D2636" w:rsidP="008D2636">
      <w:pPr>
        <w:jc w:val="both"/>
      </w:pPr>
    </w:p>
    <w:p w14:paraId="48778631" w14:textId="4C8F1314" w:rsidR="008D2636" w:rsidRDefault="008D2636" w:rsidP="008D2636">
      <w:pPr>
        <w:jc w:val="both"/>
      </w:pPr>
      <w:r>
        <w:t xml:space="preserve">where the columns of the above encoding matrix represent the transmit antennas, the rows correspond to the symbol periods and </w:t>
      </w:r>
      <w:r w:rsidRPr="00E50FE3">
        <w:rPr>
          <w:i/>
        </w:rPr>
        <w:t>s</w:t>
      </w:r>
      <w:r w:rsidRPr="00E50FE3">
        <w:rPr>
          <w:i/>
          <w:vertAlign w:val="subscript"/>
        </w:rPr>
        <w:t>n</w:t>
      </w:r>
      <w:r>
        <w:t xml:space="preserve"> is the symbol taken from a complex constellation </w:t>
      </w:r>
      <w:r w:rsidRPr="00E50FE3">
        <w:rPr>
          <w:i/>
        </w:rPr>
        <w:t>C</w:t>
      </w:r>
      <w:r w:rsidR="00E50FE3">
        <w:t xml:space="preserve"> with </w:t>
      </w:r>
      <w:r w:rsidR="00E50FE3" w:rsidRPr="00E50FE3">
        <w:rPr>
          <w:i/>
        </w:rPr>
        <w:t>n</w:t>
      </w:r>
      <w:r w:rsidR="00E50FE3">
        <w:t xml:space="preserve"> </w:t>
      </w:r>
      <w:r w:rsidR="00E50FE3">
        <w:sym w:font="Symbol" w:char="F0CE"/>
      </w:r>
      <w:r w:rsidR="00E50FE3">
        <w:t xml:space="preserve"> {1,2}</w:t>
      </w:r>
      <w:r>
        <w:t>.</w:t>
      </w:r>
    </w:p>
    <w:p w14:paraId="2C63E45D" w14:textId="77777777" w:rsidR="008D2636" w:rsidRDefault="008D2636" w:rsidP="008D2636">
      <w:pPr>
        <w:jc w:val="both"/>
      </w:pPr>
    </w:p>
    <w:p w14:paraId="0F3C801B" w14:textId="77777777" w:rsidR="008D2636" w:rsidRDefault="008D2636" w:rsidP="008D2636">
      <w:pPr>
        <w:jc w:val="both"/>
      </w:pPr>
      <w:r>
        <w:t>Considering that the channel remains constant across two consecutive symbol periods, i.e., a block fading channel, we can write</w:t>
      </w:r>
    </w:p>
    <w:p w14:paraId="1F0B47C1" w14:textId="77777777" w:rsidR="008D2636" w:rsidRDefault="008D2636" w:rsidP="008D2636">
      <w:pPr>
        <w:jc w:val="both"/>
      </w:pPr>
    </w:p>
    <w:p w14:paraId="0ECC7695" w14:textId="77777777" w:rsidR="008D2636" w:rsidRDefault="008D2636" w:rsidP="008D2636">
      <w:pPr>
        <w:jc w:val="both"/>
      </w:pPr>
      <w:r>
        <w:t>h</w:t>
      </w:r>
      <w:r w:rsidRPr="0042411E">
        <w:rPr>
          <w:vertAlign w:val="subscript"/>
        </w:rPr>
        <w:t>1</w:t>
      </w:r>
      <w:r>
        <w:t>(t) = h</w:t>
      </w:r>
      <w:r w:rsidRPr="0042411E">
        <w:rPr>
          <w:vertAlign w:val="subscript"/>
        </w:rPr>
        <w:t>1</w:t>
      </w:r>
      <w:r>
        <w:t>(t+T) = h</w:t>
      </w:r>
      <w:r w:rsidRPr="0042411E">
        <w:rPr>
          <w:vertAlign w:val="subscript"/>
        </w:rPr>
        <w:t>1</w:t>
      </w:r>
      <w:r>
        <w:rPr>
          <w:vertAlign w:val="subscript"/>
        </w:rPr>
        <w:t>,</w:t>
      </w:r>
    </w:p>
    <w:p w14:paraId="54EDDFD6" w14:textId="77777777" w:rsidR="008D2636" w:rsidRDefault="008D2636" w:rsidP="008D2636">
      <w:pPr>
        <w:jc w:val="both"/>
      </w:pPr>
      <w:r>
        <w:t>h</w:t>
      </w:r>
      <w:r w:rsidRPr="0042411E">
        <w:rPr>
          <w:vertAlign w:val="subscript"/>
        </w:rPr>
        <w:t>2</w:t>
      </w:r>
      <w:r>
        <w:t>(t) = h</w:t>
      </w:r>
      <w:r w:rsidRPr="0042411E">
        <w:rPr>
          <w:vertAlign w:val="subscript"/>
        </w:rPr>
        <w:t>2</w:t>
      </w:r>
      <w:r>
        <w:t>(t+T) = h</w:t>
      </w:r>
      <w:r w:rsidRPr="0042411E">
        <w:rPr>
          <w:vertAlign w:val="subscript"/>
        </w:rPr>
        <w:t>2</w:t>
      </w:r>
      <w:r>
        <w:rPr>
          <w:vertAlign w:val="subscript"/>
        </w:rPr>
        <w:t>,</w:t>
      </w:r>
    </w:p>
    <w:p w14:paraId="44B0E6F0" w14:textId="77777777" w:rsidR="008D2636" w:rsidRDefault="008D2636" w:rsidP="008D2636">
      <w:pPr>
        <w:jc w:val="both"/>
      </w:pPr>
    </w:p>
    <w:p w14:paraId="519868FE" w14:textId="77777777" w:rsidR="008D2636" w:rsidRDefault="008D2636" w:rsidP="008D2636">
      <w:pPr>
        <w:jc w:val="both"/>
      </w:pPr>
      <w:r>
        <w:t xml:space="preserve">where </w:t>
      </w:r>
      <w:r w:rsidRPr="00E50FE3">
        <w:rPr>
          <w:i/>
        </w:rPr>
        <w:t xml:space="preserve">T </w:t>
      </w:r>
      <w:r>
        <w:t xml:space="preserve">is the symbol period, </w:t>
      </w:r>
      <w:r w:rsidRPr="00E50FE3">
        <w:rPr>
          <w:i/>
        </w:rPr>
        <w:t>h</w:t>
      </w:r>
      <w:r w:rsidRPr="00E50FE3">
        <w:rPr>
          <w:i/>
          <w:vertAlign w:val="subscript"/>
        </w:rPr>
        <w:t>1</w:t>
      </w:r>
      <w:r>
        <w:t xml:space="preserve"> and </w:t>
      </w:r>
      <w:r w:rsidRPr="00E50FE3">
        <w:rPr>
          <w:i/>
        </w:rPr>
        <w:t>h</w:t>
      </w:r>
      <w:r w:rsidRPr="00E50FE3">
        <w:rPr>
          <w:i/>
          <w:vertAlign w:val="subscript"/>
        </w:rPr>
        <w:t>2</w:t>
      </w:r>
      <w:r>
        <w:t xml:space="preserve"> are the channels paths between the transmit antenna and the receive antenna. Thus, received signals are expressed by</w:t>
      </w:r>
    </w:p>
    <w:p w14:paraId="5F00B003" w14:textId="77777777" w:rsidR="008D2636" w:rsidRDefault="008D2636" w:rsidP="008D2636">
      <w:pPr>
        <w:jc w:val="both"/>
      </w:pPr>
    </w:p>
    <w:p w14:paraId="386D57D4" w14:textId="77777777" w:rsidR="008D2636" w:rsidRDefault="008D2636" w:rsidP="008D2636">
      <w:pPr>
        <w:jc w:val="both"/>
      </w:pPr>
      <w:r>
        <w:t>r</w:t>
      </w:r>
      <w:r w:rsidRPr="0042411E">
        <w:rPr>
          <w:vertAlign w:val="subscript"/>
        </w:rPr>
        <w:t>1</w:t>
      </w:r>
      <w:r>
        <w:t xml:space="preserve"> = h</w:t>
      </w:r>
      <w:r w:rsidRPr="00E50FE3">
        <w:rPr>
          <w:szCs w:val="22"/>
          <w:vertAlign w:val="subscript"/>
        </w:rPr>
        <w:t>1</w:t>
      </w:r>
      <w:r>
        <w:t>s</w:t>
      </w:r>
      <w:r w:rsidRPr="0042411E">
        <w:rPr>
          <w:vertAlign w:val="subscript"/>
        </w:rPr>
        <w:t>1</w:t>
      </w:r>
      <w:r>
        <w:t xml:space="preserve"> + h</w:t>
      </w:r>
      <w:r w:rsidRPr="0042411E">
        <w:rPr>
          <w:vertAlign w:val="subscript"/>
        </w:rPr>
        <w:t>2</w:t>
      </w:r>
      <w:r>
        <w:t>s</w:t>
      </w:r>
      <w:r w:rsidRPr="0042411E">
        <w:rPr>
          <w:vertAlign w:val="subscript"/>
        </w:rPr>
        <w:t>2</w:t>
      </w:r>
      <w:r>
        <w:t xml:space="preserve"> + w</w:t>
      </w:r>
      <w:r w:rsidRPr="0042411E">
        <w:rPr>
          <w:vertAlign w:val="subscript"/>
        </w:rPr>
        <w:t>1</w:t>
      </w:r>
      <w:r>
        <w:t>,</w:t>
      </w:r>
    </w:p>
    <w:p w14:paraId="55CF39B4" w14:textId="3A4DC996" w:rsidR="008D2636" w:rsidRDefault="008D2636" w:rsidP="008D2636">
      <w:pPr>
        <w:jc w:val="both"/>
      </w:pPr>
      <w:r>
        <w:t>r</w:t>
      </w:r>
      <w:r w:rsidRPr="0042411E">
        <w:rPr>
          <w:vertAlign w:val="subscript"/>
        </w:rPr>
        <w:t>2</w:t>
      </w:r>
      <w:r>
        <w:t xml:space="preserve"> = -h</w:t>
      </w:r>
      <w:r w:rsidRPr="0042411E">
        <w:rPr>
          <w:vertAlign w:val="subscript"/>
        </w:rPr>
        <w:t>1</w:t>
      </w:r>
      <w:r>
        <w:t>s</w:t>
      </w:r>
      <w:r w:rsidRPr="0042411E">
        <w:rPr>
          <w:vertAlign w:val="subscript"/>
        </w:rPr>
        <w:t>2</w:t>
      </w:r>
      <w:r w:rsidRPr="008D2636">
        <w:rPr>
          <w:szCs w:val="22"/>
          <w:vertAlign w:val="superscript"/>
        </w:rPr>
        <w:t>*</w:t>
      </w:r>
      <w:r>
        <w:t xml:space="preserve"> + h</w:t>
      </w:r>
      <w:r w:rsidRPr="0042411E">
        <w:rPr>
          <w:vertAlign w:val="subscript"/>
        </w:rPr>
        <w:t>2</w:t>
      </w:r>
      <w:r>
        <w:t>s</w:t>
      </w:r>
      <w:r w:rsidRPr="0042411E">
        <w:rPr>
          <w:vertAlign w:val="subscript"/>
        </w:rPr>
        <w:t>1</w:t>
      </w:r>
      <w:r w:rsidRPr="008D2636">
        <w:rPr>
          <w:szCs w:val="22"/>
          <w:vertAlign w:val="superscript"/>
        </w:rPr>
        <w:t>*</w:t>
      </w:r>
      <w:r>
        <w:t xml:space="preserve"> + w</w:t>
      </w:r>
      <w:r w:rsidRPr="0042411E">
        <w:rPr>
          <w:vertAlign w:val="subscript"/>
        </w:rPr>
        <w:t>2</w:t>
      </w:r>
      <w:r w:rsidR="00DB33CF">
        <w:t>.</w:t>
      </w:r>
    </w:p>
    <w:p w14:paraId="09E5987E" w14:textId="77777777" w:rsidR="008D2636" w:rsidRDefault="008D2636" w:rsidP="008D2636">
      <w:pPr>
        <w:jc w:val="both"/>
      </w:pPr>
    </w:p>
    <w:p w14:paraId="4817D50B" w14:textId="33B8A298" w:rsidR="008D2636" w:rsidRDefault="00DB33CF" w:rsidP="008D2636">
      <w:pPr>
        <w:jc w:val="both"/>
      </w:pPr>
      <w:r>
        <w:t>Here,</w:t>
      </w:r>
      <w:r w:rsidR="008D2636">
        <w:t xml:space="preserve"> w</w:t>
      </w:r>
      <w:r w:rsidR="008D2636" w:rsidRPr="0042411E">
        <w:rPr>
          <w:vertAlign w:val="subscript"/>
        </w:rPr>
        <w:t>1</w:t>
      </w:r>
      <w:r w:rsidR="008D2636">
        <w:t xml:space="preserve"> and w</w:t>
      </w:r>
      <w:r w:rsidR="008D2636" w:rsidRPr="0042411E">
        <w:rPr>
          <w:vertAlign w:val="subscript"/>
        </w:rPr>
        <w:t>2</w:t>
      </w:r>
      <w:r w:rsidR="008D2636">
        <w:t xml:space="preserve"> are zero-mean white complex Gaussian distributed noise values with variance </w:t>
      </w:r>
      <w:r w:rsidR="008D2636">
        <w:sym w:font="Symbol" w:char="F073"/>
      </w:r>
      <w:r w:rsidR="008D2636">
        <w:rPr>
          <w:vertAlign w:val="superscript"/>
        </w:rPr>
        <w:t>2</w:t>
      </w:r>
      <w:r w:rsidR="008D2636" w:rsidRPr="0042411E">
        <w:rPr>
          <w:vertAlign w:val="subscript"/>
        </w:rPr>
        <w:t>w</w:t>
      </w:r>
      <w:r w:rsidR="008D2636">
        <w:t>/2 per dimension.</w:t>
      </w:r>
    </w:p>
    <w:p w14:paraId="5554D479" w14:textId="77777777" w:rsidR="008D2636" w:rsidRDefault="008D2636" w:rsidP="008D2636">
      <w:pPr>
        <w:jc w:val="both"/>
      </w:pPr>
    </w:p>
    <w:p w14:paraId="3267F8C1" w14:textId="6CEA2C0A" w:rsidR="008D2636" w:rsidRDefault="00EF2F9D" w:rsidP="008D2636">
      <w:pPr>
        <w:jc w:val="both"/>
      </w:pPr>
      <w:r>
        <w:t>After p</w:t>
      </w:r>
      <w:r w:rsidR="008D2636">
        <w:t xml:space="preserve">erforming </w:t>
      </w:r>
      <w:r>
        <w:t xml:space="preserve">the </w:t>
      </w:r>
      <w:r w:rsidR="008D2636">
        <w:t>following signal combination at the receiver</w:t>
      </w:r>
      <w:r>
        <w:t>,</w:t>
      </w:r>
    </w:p>
    <w:p w14:paraId="59BED2F0" w14:textId="6EA85BFD" w:rsidR="008D2636" w:rsidRDefault="008D2636" w:rsidP="008D2636">
      <w:pPr>
        <w:jc w:val="both"/>
      </w:pPr>
      <w:r w:rsidRPr="00A2064C">
        <w:rPr>
          <w:position w:val="-10"/>
        </w:rPr>
        <w:object w:dxaOrig="1600" w:dyaOrig="460" w14:anchorId="3DD9A90B">
          <v:shape id="_x0000_i1026" type="#_x0000_t75" style="width:80pt;height:23pt" o:ole="">
            <v:imagedata r:id="rId13" o:title=""/>
          </v:shape>
          <o:OLEObject Type="Embed" ProgID="Equation.3" ShapeID="_x0000_i1026" DrawAspect="Content" ObjectID="_1325670778" r:id="rId14"/>
        </w:object>
      </w:r>
      <w:r>
        <w:br w:type="textWrapping" w:clear="all"/>
      </w:r>
      <w:r w:rsidR="00E50FE3">
        <w:rPr>
          <w:position w:val="-10"/>
        </w:rPr>
        <w:pict w14:anchorId="6236E68F">
          <v:shape id="_x0000_i1027" type="#_x0000_t75" style="width:77pt;height:23pt">
            <v:imagedata r:id="rId15" o:title=""/>
          </v:shape>
        </w:pict>
      </w:r>
      <w:r w:rsidR="00EF2F9D">
        <w:t>,</w:t>
      </w:r>
    </w:p>
    <w:p w14:paraId="08AF1E54" w14:textId="77777777" w:rsidR="008D2636" w:rsidRDefault="008D2636" w:rsidP="008D2636">
      <w:pPr>
        <w:jc w:val="both"/>
      </w:pPr>
    </w:p>
    <w:p w14:paraId="412B2786" w14:textId="77777777" w:rsidR="008D2636" w:rsidRDefault="008D2636" w:rsidP="008D2636">
      <w:pPr>
        <w:jc w:val="both"/>
      </w:pPr>
      <w:r>
        <w:t>the estimated symbols are given by</w:t>
      </w:r>
    </w:p>
    <w:p w14:paraId="2F98238F" w14:textId="77777777" w:rsidR="008D2636" w:rsidRDefault="008D2636" w:rsidP="008D2636">
      <w:pPr>
        <w:jc w:val="both"/>
      </w:pPr>
    </w:p>
    <w:p w14:paraId="7A9903A8" w14:textId="77777777" w:rsidR="008D2636" w:rsidRDefault="00E50FE3" w:rsidP="008D2636">
      <w:pPr>
        <w:jc w:val="both"/>
      </w:pPr>
      <w:r>
        <w:rPr>
          <w:position w:val="-10"/>
        </w:rPr>
        <w:pict w14:anchorId="6F37D470">
          <v:shape id="_x0000_i1028" type="#_x0000_t75" style="width:12pt;height:23pt">
            <v:imagedata r:id="rId16" o:title=""/>
          </v:shape>
        </w:pict>
      </w:r>
      <w:r w:rsidR="008D2636">
        <w:t xml:space="preserve"> = s</w:t>
      </w:r>
      <w:r w:rsidR="008D2636" w:rsidRPr="003506DB">
        <w:rPr>
          <w:vertAlign w:val="subscript"/>
        </w:rPr>
        <w:t>1</w:t>
      </w:r>
      <w:r w:rsidR="008D2636">
        <w:t xml:space="preserve"> (|h</w:t>
      </w:r>
      <w:r w:rsidR="008D2636" w:rsidRPr="003506DB">
        <w:rPr>
          <w:vertAlign w:val="subscript"/>
        </w:rPr>
        <w:t>1</w:t>
      </w:r>
      <w:r w:rsidR="008D2636">
        <w:t>|</w:t>
      </w:r>
      <w:r w:rsidR="008D2636" w:rsidRPr="003506DB">
        <w:rPr>
          <w:vertAlign w:val="superscript"/>
        </w:rPr>
        <w:t>2</w:t>
      </w:r>
      <w:r w:rsidR="008D2636">
        <w:t>+|h</w:t>
      </w:r>
      <w:r w:rsidR="008D2636" w:rsidRPr="00896830">
        <w:rPr>
          <w:vertAlign w:val="subscript"/>
        </w:rPr>
        <w:t>2</w:t>
      </w:r>
      <w:r w:rsidR="008D2636">
        <w:t>|</w:t>
      </w:r>
      <w:r w:rsidR="008D2636" w:rsidRPr="003506DB">
        <w:rPr>
          <w:vertAlign w:val="superscript"/>
        </w:rPr>
        <w:t>2</w:t>
      </w:r>
      <w:r w:rsidR="008D2636">
        <w:t>) + h1</w:t>
      </w:r>
      <w:r w:rsidR="008D2636" w:rsidRPr="008D2636">
        <w:rPr>
          <w:szCs w:val="22"/>
          <w:vertAlign w:val="superscript"/>
        </w:rPr>
        <w:t>*</w:t>
      </w:r>
      <w:r w:rsidR="008D2636">
        <w:t>w</w:t>
      </w:r>
      <w:r w:rsidR="008D2636" w:rsidRPr="003506DB">
        <w:rPr>
          <w:vertAlign w:val="subscript"/>
        </w:rPr>
        <w:t>1</w:t>
      </w:r>
      <w:r w:rsidR="008D2636">
        <w:t xml:space="preserve"> + h</w:t>
      </w:r>
      <w:r w:rsidR="008D2636" w:rsidRPr="003506DB">
        <w:rPr>
          <w:vertAlign w:val="subscript"/>
        </w:rPr>
        <w:t>2</w:t>
      </w:r>
      <w:r w:rsidR="008D2636">
        <w:t>w</w:t>
      </w:r>
      <w:r w:rsidR="008D2636" w:rsidRPr="003506DB">
        <w:rPr>
          <w:vertAlign w:val="subscript"/>
        </w:rPr>
        <w:t>2</w:t>
      </w:r>
      <w:r w:rsidR="008D2636" w:rsidRPr="008D2636">
        <w:rPr>
          <w:szCs w:val="22"/>
          <w:vertAlign w:val="superscript"/>
        </w:rPr>
        <w:t>*</w:t>
      </w:r>
      <w:r w:rsidR="008D2636">
        <w:t>,</w:t>
      </w:r>
    </w:p>
    <w:p w14:paraId="5B2E34A6" w14:textId="0C849E62" w:rsidR="008D2636" w:rsidRPr="008D2636" w:rsidRDefault="00E50FE3" w:rsidP="008D2636">
      <w:pPr>
        <w:jc w:val="both"/>
        <w:rPr>
          <w:szCs w:val="22"/>
          <w:vertAlign w:val="superscript"/>
        </w:rPr>
      </w:pPr>
      <w:r>
        <w:rPr>
          <w:position w:val="-10"/>
        </w:rPr>
        <w:pict w14:anchorId="4BDDBA62">
          <v:shape id="_x0000_i1029" type="#_x0000_t75" style="width:13pt;height:23pt">
            <v:imagedata r:id="rId17" o:title=""/>
          </v:shape>
        </w:pict>
      </w:r>
      <w:r w:rsidR="008D2636">
        <w:t>= s</w:t>
      </w:r>
      <w:r w:rsidR="008D2636" w:rsidRPr="003506DB">
        <w:rPr>
          <w:vertAlign w:val="subscript"/>
        </w:rPr>
        <w:t>2</w:t>
      </w:r>
      <w:r w:rsidR="008D2636">
        <w:t xml:space="preserve"> (|h</w:t>
      </w:r>
      <w:r w:rsidR="008D2636" w:rsidRPr="003506DB">
        <w:rPr>
          <w:vertAlign w:val="subscript"/>
        </w:rPr>
        <w:t>1</w:t>
      </w:r>
      <w:r w:rsidR="008D2636">
        <w:t>|</w:t>
      </w:r>
      <w:r w:rsidR="008D2636" w:rsidRPr="003506DB">
        <w:rPr>
          <w:vertAlign w:val="superscript"/>
        </w:rPr>
        <w:t>2</w:t>
      </w:r>
      <w:r w:rsidR="008D2636">
        <w:t>+|h</w:t>
      </w:r>
      <w:r w:rsidR="008D2636" w:rsidRPr="003506DB">
        <w:rPr>
          <w:vertAlign w:val="subscript"/>
        </w:rPr>
        <w:t>2</w:t>
      </w:r>
      <w:r w:rsidR="008D2636">
        <w:t>|</w:t>
      </w:r>
      <w:r w:rsidR="008D2636" w:rsidRPr="003506DB">
        <w:rPr>
          <w:vertAlign w:val="superscript"/>
        </w:rPr>
        <w:t>2</w:t>
      </w:r>
      <w:r w:rsidR="008D2636">
        <w:t>) - h</w:t>
      </w:r>
      <w:r w:rsidR="008D2636" w:rsidRPr="003506DB">
        <w:rPr>
          <w:vertAlign w:val="subscript"/>
        </w:rPr>
        <w:t>1</w:t>
      </w:r>
      <w:r w:rsidR="008D2636">
        <w:t>w</w:t>
      </w:r>
      <w:r w:rsidR="008D2636" w:rsidRPr="003506DB">
        <w:rPr>
          <w:vertAlign w:val="subscript"/>
        </w:rPr>
        <w:t>2</w:t>
      </w:r>
      <w:r w:rsidR="008D2636" w:rsidRPr="008D2636">
        <w:rPr>
          <w:szCs w:val="22"/>
          <w:vertAlign w:val="superscript"/>
        </w:rPr>
        <w:t>*</w:t>
      </w:r>
      <w:r w:rsidR="008D2636">
        <w:t xml:space="preserve"> + h</w:t>
      </w:r>
      <w:r w:rsidR="008D2636" w:rsidRPr="00896830">
        <w:rPr>
          <w:vertAlign w:val="subscript"/>
        </w:rPr>
        <w:t>2</w:t>
      </w:r>
      <w:r w:rsidR="008D2636" w:rsidRPr="008D2636">
        <w:rPr>
          <w:szCs w:val="22"/>
          <w:vertAlign w:val="superscript"/>
        </w:rPr>
        <w:t>*</w:t>
      </w:r>
      <w:r w:rsidR="008D2636">
        <w:t>w</w:t>
      </w:r>
      <w:r w:rsidR="008D2636" w:rsidRPr="00896830">
        <w:rPr>
          <w:vertAlign w:val="subscript"/>
        </w:rPr>
        <w:t>1</w:t>
      </w:r>
      <w:r w:rsidR="00EF2F9D">
        <w:t>.</w:t>
      </w:r>
    </w:p>
    <w:p w14:paraId="16A69E72" w14:textId="77777777" w:rsidR="008D2636" w:rsidRDefault="008D2636" w:rsidP="008D2636">
      <w:pPr>
        <w:jc w:val="both"/>
      </w:pPr>
    </w:p>
    <w:p w14:paraId="11194299" w14:textId="523DE014" w:rsidR="008D2636" w:rsidRDefault="008D2636" w:rsidP="008D2636">
      <w:pPr>
        <w:jc w:val="both"/>
      </w:pPr>
      <w:r>
        <w:t xml:space="preserve">The diversity order provided by the Alamouti scheme is the same as the one provided by the maximum </w:t>
      </w:r>
      <w:r w:rsidR="00DB33CF">
        <w:t>ratio combining (MR</w:t>
      </w:r>
      <w:r>
        <w:t>C)</w:t>
      </w:r>
      <w:r w:rsidR="00C144AF">
        <w:t xml:space="preserve"> </w:t>
      </w:r>
      <w:r w:rsidR="00DB33CF">
        <w:t>receiver</w:t>
      </w:r>
      <w:r>
        <w:t xml:space="preserve"> with a single transmit antenna</w:t>
      </w:r>
      <w:r w:rsidR="00EF2F9D">
        <w:t xml:space="preserve"> and two receive antennas</w:t>
      </w:r>
      <w:r>
        <w:t>. However, Alamouti scheme benefits from having the complexity transferred to the transmitter premises where device size is not a major constraint.</w:t>
      </w:r>
    </w:p>
    <w:p w14:paraId="111CB07E" w14:textId="77777777" w:rsidR="008D2636" w:rsidRDefault="008D2636" w:rsidP="008D2636">
      <w:pPr>
        <w:jc w:val="both"/>
      </w:pPr>
    </w:p>
    <w:p w14:paraId="662694C2" w14:textId="77777777" w:rsidR="00856896" w:rsidRDefault="00856896"/>
    <w:sectPr w:rsidR="00856896">
      <w:headerReference w:type="even" r:id="rId18"/>
      <w:headerReference w:type="default" r:id="rId19"/>
      <w:footerReference w:type="even" r:id="rId20"/>
      <w:footerReference w:type="default" r:id="rId21"/>
      <w:headerReference w:type="first" r:id="rId22"/>
      <w:footerReference w:type="first" r:id="rId23"/>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40CBD" w14:textId="77777777" w:rsidR="00720B73" w:rsidRDefault="00720B73" w:rsidP="00FD5CAB">
      <w:r>
        <w:separator/>
      </w:r>
    </w:p>
  </w:endnote>
  <w:endnote w:type="continuationSeparator" w:id="0">
    <w:p w14:paraId="6AF977DE" w14:textId="77777777" w:rsidR="00720B73" w:rsidRDefault="00720B73" w:rsidP="00FD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00000003" w:usb1="080E0000" w:usb2="00000016" w:usb3="00000000" w:csb0="00100001"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F361B" w14:textId="77777777" w:rsidR="004728BC" w:rsidRDefault="004728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57677" w14:textId="77777777" w:rsidR="00720B73" w:rsidRPr="0022118D" w:rsidRDefault="00720B73" w:rsidP="00C65587">
    <w:pPr>
      <w:pStyle w:val="Footer"/>
      <w:tabs>
        <w:tab w:val="clear" w:pos="6480"/>
        <w:tab w:val="clear" w:pos="12960"/>
        <w:tab w:val="center" w:pos="4680"/>
        <w:tab w:val="right" w:pos="10080"/>
      </w:tabs>
      <w:rPr>
        <w:rFonts w:eastAsia="ＭＳ 明朝"/>
        <w:lang w:eastAsia="ja-JP"/>
      </w:rPr>
    </w:pPr>
    <w:r>
      <w:tab/>
      <w:t xml:space="preserve">Page </w:t>
    </w:r>
    <w:r>
      <w:fldChar w:fldCharType="begin"/>
    </w:r>
    <w:r>
      <w:instrText xml:space="preserve">page </w:instrText>
    </w:r>
    <w:r>
      <w:fldChar w:fldCharType="separate"/>
    </w:r>
    <w:r w:rsidR="004728BC">
      <w:rPr>
        <w:noProof/>
      </w:rPr>
      <w:t>1</w:t>
    </w:r>
    <w:r>
      <w:fldChar w:fldCharType="end"/>
    </w:r>
    <w:r>
      <w:tab/>
    </w:r>
    <w:r>
      <w:rPr>
        <w:rFonts w:eastAsia="ＭＳ 明朝"/>
        <w:lang w:eastAsia="ja-JP"/>
      </w:rPr>
      <w:t xml:space="preserve">Gabriel VIllardi </w:t>
    </w:r>
    <w:r>
      <w:rPr>
        <w:rFonts w:eastAsia="ＭＳ 明朝" w:hint="eastAsia"/>
        <w:lang w:eastAsia="ja-JP"/>
      </w:rPr>
      <w:t>(NICT)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94707" w14:textId="77777777" w:rsidR="004728BC" w:rsidRDefault="004728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2E8A0" w14:textId="77777777" w:rsidR="00720B73" w:rsidRDefault="00720B73" w:rsidP="00FD5CAB">
      <w:r>
        <w:separator/>
      </w:r>
    </w:p>
  </w:footnote>
  <w:footnote w:type="continuationSeparator" w:id="0">
    <w:p w14:paraId="5CDCC298" w14:textId="77777777" w:rsidR="00720B73" w:rsidRDefault="00720B73" w:rsidP="00FD5C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63660" w14:textId="77777777" w:rsidR="004728BC" w:rsidRDefault="004728B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2130F" w14:textId="536FBA04" w:rsidR="00720B73" w:rsidRDefault="00720B73">
    <w:pPr>
      <w:pStyle w:val="Header"/>
      <w:tabs>
        <w:tab w:val="clear" w:pos="6480"/>
        <w:tab w:val="clear" w:pos="12960"/>
        <w:tab w:val="center" w:pos="4680"/>
        <w:tab w:val="right" w:pos="10080"/>
      </w:tabs>
    </w:pPr>
    <w:r>
      <w:rPr>
        <w:rFonts w:eastAsia="ＭＳ 明朝"/>
        <w:lang w:eastAsia="ja-JP"/>
      </w:rPr>
      <w:t xml:space="preserve">January </w:t>
    </w:r>
    <w:r w:rsidR="004728BC">
      <w:t>2014</w:t>
    </w:r>
    <w:r w:rsidR="004728BC">
      <w:tab/>
    </w:r>
    <w:r w:rsidR="004728BC">
      <w:tab/>
      <w:t>22-14-0021</w:t>
    </w:r>
    <w:r>
      <w:t>-</w:t>
    </w:r>
    <w:r w:rsidR="004728BC">
      <w:t>00</w:t>
    </w:r>
    <w:r w:rsidRPr="00970442">
      <w:t>-000b</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F0FDB" w14:textId="77777777" w:rsidR="004728BC" w:rsidRDefault="004728B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F9E"/>
    <w:multiLevelType w:val="hybridMultilevel"/>
    <w:tmpl w:val="20A0FCE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540451FE"/>
    <w:multiLevelType w:val="hybridMultilevel"/>
    <w:tmpl w:val="065C782E"/>
    <w:lvl w:ilvl="0" w:tplc="04090001">
      <w:start w:val="1"/>
      <w:numFmt w:val="bullet"/>
      <w:lvlText w:val=""/>
      <w:lvlJc w:val="left"/>
      <w:pPr>
        <w:ind w:left="530" w:hanging="480"/>
      </w:pPr>
      <w:rPr>
        <w:rFonts w:ascii="Wingdings" w:hAnsi="Wingdings" w:hint="default"/>
      </w:rPr>
    </w:lvl>
    <w:lvl w:ilvl="1" w:tplc="0409000B" w:tentative="1">
      <w:start w:val="1"/>
      <w:numFmt w:val="bullet"/>
      <w:lvlText w:val=""/>
      <w:lvlJc w:val="left"/>
      <w:pPr>
        <w:ind w:left="1010" w:hanging="480"/>
      </w:pPr>
      <w:rPr>
        <w:rFonts w:ascii="Wingdings" w:hAnsi="Wingdings" w:hint="default"/>
      </w:rPr>
    </w:lvl>
    <w:lvl w:ilvl="2" w:tplc="0409000D"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B" w:tentative="1">
      <w:start w:val="1"/>
      <w:numFmt w:val="bullet"/>
      <w:lvlText w:val=""/>
      <w:lvlJc w:val="left"/>
      <w:pPr>
        <w:ind w:left="2450" w:hanging="480"/>
      </w:pPr>
      <w:rPr>
        <w:rFonts w:ascii="Wingdings" w:hAnsi="Wingdings" w:hint="default"/>
      </w:rPr>
    </w:lvl>
    <w:lvl w:ilvl="5" w:tplc="0409000D"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B" w:tentative="1">
      <w:start w:val="1"/>
      <w:numFmt w:val="bullet"/>
      <w:lvlText w:val=""/>
      <w:lvlJc w:val="left"/>
      <w:pPr>
        <w:ind w:left="3890" w:hanging="480"/>
      </w:pPr>
      <w:rPr>
        <w:rFonts w:ascii="Wingdings" w:hAnsi="Wingdings" w:hint="default"/>
      </w:rPr>
    </w:lvl>
    <w:lvl w:ilvl="8" w:tplc="0409000D" w:tentative="1">
      <w:start w:val="1"/>
      <w:numFmt w:val="bullet"/>
      <w:lvlText w:val=""/>
      <w:lvlJc w:val="left"/>
      <w:pPr>
        <w:ind w:left="4370" w:hanging="480"/>
      </w:pPr>
      <w:rPr>
        <w:rFonts w:ascii="Wingdings" w:hAnsi="Wingdings" w:hint="default"/>
      </w:rPr>
    </w:lvl>
  </w:abstractNum>
  <w:abstractNum w:abstractNumId="2">
    <w:nsid w:val="55003455"/>
    <w:multiLevelType w:val="hybridMultilevel"/>
    <w:tmpl w:val="1398F27A"/>
    <w:lvl w:ilvl="0" w:tplc="04090001">
      <w:start w:val="1"/>
      <w:numFmt w:val="bullet"/>
      <w:lvlText w:val=""/>
      <w:lvlJc w:val="left"/>
      <w:pPr>
        <w:ind w:left="530" w:hanging="480"/>
      </w:pPr>
      <w:rPr>
        <w:rFonts w:ascii="Wingdings" w:hAnsi="Wingdings" w:hint="default"/>
      </w:rPr>
    </w:lvl>
    <w:lvl w:ilvl="1" w:tplc="0409000B" w:tentative="1">
      <w:start w:val="1"/>
      <w:numFmt w:val="bullet"/>
      <w:lvlText w:val=""/>
      <w:lvlJc w:val="left"/>
      <w:pPr>
        <w:ind w:left="1010" w:hanging="480"/>
      </w:pPr>
      <w:rPr>
        <w:rFonts w:ascii="Wingdings" w:hAnsi="Wingdings" w:hint="default"/>
      </w:rPr>
    </w:lvl>
    <w:lvl w:ilvl="2" w:tplc="0409000D"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B" w:tentative="1">
      <w:start w:val="1"/>
      <w:numFmt w:val="bullet"/>
      <w:lvlText w:val=""/>
      <w:lvlJc w:val="left"/>
      <w:pPr>
        <w:ind w:left="2450" w:hanging="480"/>
      </w:pPr>
      <w:rPr>
        <w:rFonts w:ascii="Wingdings" w:hAnsi="Wingdings" w:hint="default"/>
      </w:rPr>
    </w:lvl>
    <w:lvl w:ilvl="5" w:tplc="0409000D"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B" w:tentative="1">
      <w:start w:val="1"/>
      <w:numFmt w:val="bullet"/>
      <w:lvlText w:val=""/>
      <w:lvlJc w:val="left"/>
      <w:pPr>
        <w:ind w:left="3890" w:hanging="480"/>
      </w:pPr>
      <w:rPr>
        <w:rFonts w:ascii="Wingdings" w:hAnsi="Wingdings" w:hint="default"/>
      </w:rPr>
    </w:lvl>
    <w:lvl w:ilvl="8" w:tplc="0409000D" w:tentative="1">
      <w:start w:val="1"/>
      <w:numFmt w:val="bullet"/>
      <w:lvlText w:val=""/>
      <w:lvlJc w:val="left"/>
      <w:pPr>
        <w:ind w:left="437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189"/>
    <w:rsid w:val="000C1082"/>
    <w:rsid w:val="000D3209"/>
    <w:rsid w:val="000E63FA"/>
    <w:rsid w:val="00194608"/>
    <w:rsid w:val="001E24B0"/>
    <w:rsid w:val="00242105"/>
    <w:rsid w:val="002B45F0"/>
    <w:rsid w:val="003456D8"/>
    <w:rsid w:val="003E2209"/>
    <w:rsid w:val="004728BC"/>
    <w:rsid w:val="004B7C4E"/>
    <w:rsid w:val="00560B61"/>
    <w:rsid w:val="005E2084"/>
    <w:rsid w:val="00720B73"/>
    <w:rsid w:val="007C5A37"/>
    <w:rsid w:val="00852C13"/>
    <w:rsid w:val="00856896"/>
    <w:rsid w:val="00876A1A"/>
    <w:rsid w:val="008D2636"/>
    <w:rsid w:val="00A1214F"/>
    <w:rsid w:val="00A437D9"/>
    <w:rsid w:val="00BF7B44"/>
    <w:rsid w:val="00C144AF"/>
    <w:rsid w:val="00C65587"/>
    <w:rsid w:val="00CF2C2A"/>
    <w:rsid w:val="00DB33CF"/>
    <w:rsid w:val="00DD3189"/>
    <w:rsid w:val="00E50FE3"/>
    <w:rsid w:val="00EB6E7E"/>
    <w:rsid w:val="00ED421E"/>
    <w:rsid w:val="00EF2F9D"/>
    <w:rsid w:val="00EF7039"/>
    <w:rsid w:val="00F16D54"/>
    <w:rsid w:val="00F9208B"/>
    <w:rsid w:val="00FD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v:textbox inset="5.85pt,.7pt,5.85pt,.7pt"/>
    </o:shapedefaults>
    <o:shapelayout v:ext="edit">
      <o:idmap v:ext="edit" data="1"/>
    </o:shapelayout>
  </w:shapeDefaults>
  <w:decimalSymbol w:val="."/>
  <w:listSeparator w:val=","/>
  <w14:docId w14:val="103705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89"/>
    <w:rPr>
      <w:rFonts w:ascii="Times New Roman" w:eastAsia="SimSun" w:hAnsi="Times New Roman" w:cs="Times New Roman"/>
      <w:sz w:val="22"/>
      <w:szCs w:val="20"/>
      <w:lang w:val="en-GB"/>
    </w:rPr>
  </w:style>
  <w:style w:type="paragraph" w:styleId="Heading5">
    <w:name w:val="heading 5"/>
    <w:basedOn w:val="Normal"/>
    <w:next w:val="Normal"/>
    <w:link w:val="Heading5Char"/>
    <w:qFormat/>
    <w:rsid w:val="00DD31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D3189"/>
    <w:rPr>
      <w:rFonts w:ascii="Times New Roman" w:eastAsia="SimSun" w:hAnsi="Times New Roman" w:cs="Times New Roman"/>
      <w:b/>
      <w:bCs/>
      <w:i/>
      <w:iCs/>
      <w:sz w:val="26"/>
      <w:szCs w:val="26"/>
      <w:lang w:val="en-GB"/>
    </w:rPr>
  </w:style>
  <w:style w:type="paragraph" w:styleId="Footer">
    <w:name w:val="footer"/>
    <w:basedOn w:val="Normal"/>
    <w:link w:val="FooterChar"/>
    <w:semiHidden/>
    <w:rsid w:val="00DD318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semiHidden/>
    <w:rsid w:val="00DD3189"/>
    <w:rPr>
      <w:rFonts w:ascii="Times New Roman" w:eastAsia="SimSun" w:hAnsi="Times New Roman" w:cs="Times New Roman"/>
      <w:szCs w:val="20"/>
      <w:lang w:val="en-GB"/>
    </w:rPr>
  </w:style>
  <w:style w:type="paragraph" w:styleId="Header">
    <w:name w:val="header"/>
    <w:basedOn w:val="Normal"/>
    <w:link w:val="HeaderChar"/>
    <w:semiHidden/>
    <w:rsid w:val="00DD318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semiHidden/>
    <w:rsid w:val="00DD3189"/>
    <w:rPr>
      <w:rFonts w:ascii="Times New Roman" w:eastAsia="SimSun" w:hAnsi="Times New Roman" w:cs="Times New Roman"/>
      <w:b/>
      <w:sz w:val="28"/>
      <w:szCs w:val="20"/>
      <w:lang w:val="en-GB"/>
    </w:rPr>
  </w:style>
  <w:style w:type="paragraph" w:customStyle="1" w:styleId="T1">
    <w:name w:val="T1"/>
    <w:basedOn w:val="Normal"/>
    <w:rsid w:val="00DD3189"/>
    <w:pPr>
      <w:jc w:val="center"/>
    </w:pPr>
    <w:rPr>
      <w:b/>
      <w:sz w:val="28"/>
    </w:rPr>
  </w:style>
  <w:style w:type="paragraph" w:customStyle="1" w:styleId="T2">
    <w:name w:val="T2"/>
    <w:basedOn w:val="T1"/>
    <w:rsid w:val="00DD3189"/>
    <w:pPr>
      <w:spacing w:after="240"/>
      <w:ind w:left="720" w:right="720"/>
    </w:pPr>
  </w:style>
  <w:style w:type="character" w:styleId="Hyperlink">
    <w:name w:val="Hyperlink"/>
    <w:rsid w:val="00DD3189"/>
    <w:rPr>
      <w:color w:val="0000FF"/>
      <w:u w:val="single"/>
    </w:rPr>
  </w:style>
  <w:style w:type="paragraph" w:styleId="ListParagraph">
    <w:name w:val="List Paragraph"/>
    <w:basedOn w:val="Normal"/>
    <w:uiPriority w:val="72"/>
    <w:qFormat/>
    <w:rsid w:val="00DD3189"/>
    <w:pPr>
      <w:ind w:leftChars="200" w:left="480"/>
    </w:pPr>
  </w:style>
  <w:style w:type="paragraph" w:styleId="BalloonText">
    <w:name w:val="Balloon Text"/>
    <w:basedOn w:val="Normal"/>
    <w:link w:val="BalloonTextChar"/>
    <w:uiPriority w:val="99"/>
    <w:semiHidden/>
    <w:unhideWhenUsed/>
    <w:rsid w:val="00DD31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189"/>
    <w:rPr>
      <w:rFonts w:ascii="Lucida Grande" w:eastAsia="SimSun"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89"/>
    <w:rPr>
      <w:rFonts w:ascii="Times New Roman" w:eastAsia="SimSun" w:hAnsi="Times New Roman" w:cs="Times New Roman"/>
      <w:sz w:val="22"/>
      <w:szCs w:val="20"/>
      <w:lang w:val="en-GB"/>
    </w:rPr>
  </w:style>
  <w:style w:type="paragraph" w:styleId="Heading5">
    <w:name w:val="heading 5"/>
    <w:basedOn w:val="Normal"/>
    <w:next w:val="Normal"/>
    <w:link w:val="Heading5Char"/>
    <w:qFormat/>
    <w:rsid w:val="00DD31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D3189"/>
    <w:rPr>
      <w:rFonts w:ascii="Times New Roman" w:eastAsia="SimSun" w:hAnsi="Times New Roman" w:cs="Times New Roman"/>
      <w:b/>
      <w:bCs/>
      <w:i/>
      <w:iCs/>
      <w:sz w:val="26"/>
      <w:szCs w:val="26"/>
      <w:lang w:val="en-GB"/>
    </w:rPr>
  </w:style>
  <w:style w:type="paragraph" w:styleId="Footer">
    <w:name w:val="footer"/>
    <w:basedOn w:val="Normal"/>
    <w:link w:val="FooterChar"/>
    <w:semiHidden/>
    <w:rsid w:val="00DD318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semiHidden/>
    <w:rsid w:val="00DD3189"/>
    <w:rPr>
      <w:rFonts w:ascii="Times New Roman" w:eastAsia="SimSun" w:hAnsi="Times New Roman" w:cs="Times New Roman"/>
      <w:szCs w:val="20"/>
      <w:lang w:val="en-GB"/>
    </w:rPr>
  </w:style>
  <w:style w:type="paragraph" w:styleId="Header">
    <w:name w:val="header"/>
    <w:basedOn w:val="Normal"/>
    <w:link w:val="HeaderChar"/>
    <w:semiHidden/>
    <w:rsid w:val="00DD318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semiHidden/>
    <w:rsid w:val="00DD3189"/>
    <w:rPr>
      <w:rFonts w:ascii="Times New Roman" w:eastAsia="SimSun" w:hAnsi="Times New Roman" w:cs="Times New Roman"/>
      <w:b/>
      <w:sz w:val="28"/>
      <w:szCs w:val="20"/>
      <w:lang w:val="en-GB"/>
    </w:rPr>
  </w:style>
  <w:style w:type="paragraph" w:customStyle="1" w:styleId="T1">
    <w:name w:val="T1"/>
    <w:basedOn w:val="Normal"/>
    <w:rsid w:val="00DD3189"/>
    <w:pPr>
      <w:jc w:val="center"/>
    </w:pPr>
    <w:rPr>
      <w:b/>
      <w:sz w:val="28"/>
    </w:rPr>
  </w:style>
  <w:style w:type="paragraph" w:customStyle="1" w:styleId="T2">
    <w:name w:val="T2"/>
    <w:basedOn w:val="T1"/>
    <w:rsid w:val="00DD3189"/>
    <w:pPr>
      <w:spacing w:after="240"/>
      <w:ind w:left="720" w:right="720"/>
    </w:pPr>
  </w:style>
  <w:style w:type="character" w:styleId="Hyperlink">
    <w:name w:val="Hyperlink"/>
    <w:rsid w:val="00DD3189"/>
    <w:rPr>
      <w:color w:val="0000FF"/>
      <w:u w:val="single"/>
    </w:rPr>
  </w:style>
  <w:style w:type="paragraph" w:styleId="ListParagraph">
    <w:name w:val="List Paragraph"/>
    <w:basedOn w:val="Normal"/>
    <w:uiPriority w:val="72"/>
    <w:qFormat/>
    <w:rsid w:val="00DD3189"/>
    <w:pPr>
      <w:ind w:leftChars="200" w:left="480"/>
    </w:pPr>
  </w:style>
  <w:style w:type="paragraph" w:styleId="BalloonText">
    <w:name w:val="Balloon Text"/>
    <w:basedOn w:val="Normal"/>
    <w:link w:val="BalloonTextChar"/>
    <w:uiPriority w:val="99"/>
    <w:semiHidden/>
    <w:unhideWhenUsed/>
    <w:rsid w:val="00DD31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189"/>
    <w:rPr>
      <w:rFonts w:ascii="Lucida Grande" w:eastAsia="SimSun"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purva.mody@ieee.org"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tandards.ieee.org/guides/bylaws/sb-bylaws.pdf" TargetMode="External"/><Relationship Id="rId11" Type="http://schemas.openxmlformats.org/officeDocument/2006/relationships/hyperlink" Target="mailto:apurva.mody@ieee.org" TargetMode="External"/><Relationship Id="rId12" Type="http://schemas.openxmlformats.org/officeDocument/2006/relationships/image" Target="media/image1.emf"/><Relationship Id="rId13" Type="http://schemas.openxmlformats.org/officeDocument/2006/relationships/image" Target="media/image2.emf"/><Relationship Id="rId14" Type="http://schemas.openxmlformats.org/officeDocument/2006/relationships/oleObject" Target="embeddings/Microsoft_Equation1.bin"/><Relationship Id="rId15" Type="http://schemas.openxmlformats.org/officeDocument/2006/relationships/image" Target="media/image3.emf"/><Relationship Id="rId16" Type="http://schemas.openxmlformats.org/officeDocument/2006/relationships/image" Target="media/image4.emf"/><Relationship Id="rId17" Type="http://schemas.openxmlformats.org/officeDocument/2006/relationships/image" Target="media/image5.emf"/><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guides/bylaws/sb-bylaw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452</Words>
  <Characters>2583</Characters>
  <Application>Microsoft Macintosh Word</Application>
  <DocSecurity>0</DocSecurity>
  <Lines>21</Lines>
  <Paragraphs>6</Paragraphs>
  <ScaleCrop>false</ScaleCrop>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Gabriel</cp:lastModifiedBy>
  <cp:revision>22</cp:revision>
  <cp:lastPrinted>2014-01-06T12:02:00Z</cp:lastPrinted>
  <dcterms:created xsi:type="dcterms:W3CDTF">2014-01-06T11:45:00Z</dcterms:created>
  <dcterms:modified xsi:type="dcterms:W3CDTF">2014-01-21T21:04:00Z</dcterms:modified>
</cp:coreProperties>
</file>