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6E3928">
            <w:pPr>
              <w:pStyle w:val="T2"/>
              <w:rPr>
                <w:rFonts w:eastAsiaTheme="minorEastAsia"/>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w:t>
            </w:r>
            <w:r w:rsidR="006E3928">
              <w:rPr>
                <w:rFonts w:eastAsiaTheme="minorEastAsia"/>
              </w:rPr>
              <w:t>3</w:t>
            </w:r>
          </w:p>
        </w:tc>
      </w:tr>
      <w:tr w:rsidR="00D9448F" w:rsidRPr="00E64C23">
        <w:trPr>
          <w:trHeight w:val="359"/>
          <w:jc w:val="center"/>
        </w:trPr>
        <w:tc>
          <w:tcPr>
            <w:tcW w:w="9576" w:type="dxa"/>
            <w:gridSpan w:val="5"/>
            <w:vAlign w:val="center"/>
          </w:tcPr>
          <w:p w:rsidR="00D9448F" w:rsidRPr="00E64C23" w:rsidRDefault="00D9448F" w:rsidP="006E3928">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5F093D">
              <w:rPr>
                <w:rFonts w:eastAsiaTheme="minorEastAsia"/>
                <w:b w:val="0"/>
                <w:sz w:val="20"/>
              </w:rPr>
              <w:t>8</w:t>
            </w:r>
            <w:r w:rsidRPr="00E64C23">
              <w:rPr>
                <w:rFonts w:eastAsiaTheme="minorEastAsia"/>
                <w:b w:val="0"/>
                <w:sz w:val="20"/>
              </w:rPr>
              <w:t>-</w:t>
            </w:r>
            <w:r w:rsidR="006E3928">
              <w:rPr>
                <w:rFonts w:eastAsiaTheme="minorEastAsia"/>
                <w:b w:val="0"/>
                <w:sz w:val="20"/>
              </w:rPr>
              <w:t>19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A52B35">
      <w:pPr>
        <w:pStyle w:val="T1"/>
        <w:spacing w:after="120"/>
        <w:rPr>
          <w:sz w:val="22"/>
        </w:rPr>
      </w:pPr>
      <w:r w:rsidRPr="00A52B3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5F093D">
                    <w:rPr>
                      <w:szCs w:val="22"/>
                    </w:rPr>
                    <w:t>study group teleconference-</w:t>
                  </w:r>
                  <w:r w:rsidR="002878A5">
                    <w:rPr>
                      <w:szCs w:val="22"/>
                    </w:rPr>
                    <w:t>3</w:t>
                  </w:r>
                  <w:r w:rsidR="005F093D">
                    <w:rPr>
                      <w:szCs w:val="22"/>
                    </w:rPr>
                    <w:t xml:space="preserve"> </w:t>
                  </w:r>
                  <w:r w:rsidR="000801F4">
                    <w:rPr>
                      <w:szCs w:val="22"/>
                    </w:rPr>
                    <w:t xml:space="preserve">held </w:t>
                  </w:r>
                  <w:r w:rsidR="005F093D">
                    <w:rPr>
                      <w:szCs w:val="22"/>
                    </w:rPr>
                    <w:t>on August 1</w:t>
                  </w:r>
                  <w:r w:rsidR="006E3928">
                    <w:rPr>
                      <w:szCs w:val="22"/>
                    </w:rPr>
                    <w:t>5</w:t>
                  </w:r>
                  <w:r w:rsidR="005F093D">
                    <w:rPr>
                      <w:szCs w:val="22"/>
                    </w:rPr>
                    <w:t>, 2011</w:t>
                  </w:r>
                  <w:r w:rsidR="00385AA2">
                    <w:rPr>
                      <w:szCs w:val="22"/>
                    </w:rPr>
                    <w:t>.</w:t>
                  </w:r>
                </w:p>
              </w:txbxContent>
            </v:textbox>
          </v:shape>
        </w:pict>
      </w:r>
    </w:p>
    <w:p w:rsidR="00385AA2" w:rsidRPr="00385AA2" w:rsidRDefault="00A52B35" w:rsidP="00385AA2">
      <w:pPr>
        <w:rPr>
          <w:b/>
          <w:sz w:val="28"/>
          <w:szCs w:val="28"/>
        </w:rPr>
      </w:pPr>
      <w:r w:rsidRPr="00A52B35">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5F093D">
        <w:rPr>
          <w:b/>
          <w:sz w:val="28"/>
          <w:szCs w:val="28"/>
        </w:rPr>
        <w:t>-</w:t>
      </w:r>
      <w:proofErr w:type="gramStart"/>
      <w:r w:rsidR="006E3928">
        <w:rPr>
          <w:b/>
          <w:sz w:val="28"/>
          <w:szCs w:val="28"/>
        </w:rPr>
        <w:t>3</w:t>
      </w:r>
      <w:r w:rsidR="00385AA2" w:rsidRPr="00385AA2">
        <w:rPr>
          <w:b/>
          <w:sz w:val="28"/>
          <w:szCs w:val="28"/>
        </w:rPr>
        <w:t xml:space="preserve"> </w:t>
      </w:r>
      <w:r w:rsidR="00C47C4F">
        <w:rPr>
          <w:b/>
          <w:sz w:val="28"/>
          <w:szCs w:val="28"/>
        </w:rPr>
        <w:t xml:space="preserve"> </w:t>
      </w:r>
      <w:r w:rsidR="005F093D">
        <w:rPr>
          <w:b/>
          <w:sz w:val="28"/>
          <w:szCs w:val="28"/>
        </w:rPr>
        <w:t>M</w:t>
      </w:r>
      <w:r w:rsidR="00385AA2" w:rsidRPr="00385AA2">
        <w:rPr>
          <w:b/>
          <w:sz w:val="28"/>
          <w:szCs w:val="28"/>
        </w:rPr>
        <w:t>inutes</w:t>
      </w:r>
      <w:proofErr w:type="gramEnd"/>
      <w:r w:rsidR="00385AA2" w:rsidRPr="00385AA2">
        <w:rPr>
          <w:b/>
          <w:sz w:val="28"/>
          <w:szCs w:val="28"/>
        </w:rPr>
        <w:t xml:space="preserve"> </w:t>
      </w:r>
    </w:p>
    <w:p w:rsidR="00385AA2" w:rsidRPr="00385AA2" w:rsidRDefault="005F093D" w:rsidP="00385AA2">
      <w:pPr>
        <w:rPr>
          <w:b/>
          <w:sz w:val="28"/>
          <w:szCs w:val="28"/>
        </w:rPr>
      </w:pPr>
      <w:r>
        <w:rPr>
          <w:b/>
          <w:sz w:val="28"/>
          <w:szCs w:val="28"/>
        </w:rPr>
        <w:t xml:space="preserve">August </w:t>
      </w:r>
      <w:r w:rsidR="00AC40F9">
        <w:rPr>
          <w:b/>
          <w:sz w:val="28"/>
          <w:szCs w:val="28"/>
        </w:rPr>
        <w:t>1</w:t>
      </w:r>
      <w:r w:rsidR="00C47C4F">
        <w:rPr>
          <w:b/>
          <w:sz w:val="28"/>
          <w:szCs w:val="28"/>
        </w:rPr>
        <w:t>5</w:t>
      </w:r>
      <w:r w:rsidR="00385AA2" w:rsidRPr="00385AA2">
        <w:rPr>
          <w:b/>
          <w:sz w:val="28"/>
          <w:szCs w:val="28"/>
        </w:rPr>
        <w:t>, 9-10:30 PM E</w:t>
      </w:r>
      <w:r>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Default="00385AA2" w:rsidP="00385AA2">
      <w:r>
        <w:t xml:space="preserve">Apurva Mody (BAE Systems), </w:t>
      </w:r>
      <w:r w:rsidR="00007713">
        <w:t xml:space="preserve">Gerald Chouinard (CRC), </w:t>
      </w:r>
      <w:r>
        <w:t>Anthony Franklin (ETRI</w:t>
      </w:r>
      <w:r w:rsidRPr="008B7F59">
        <w:t xml:space="preserve">), </w:t>
      </w:r>
      <w:r w:rsidR="008E0365">
        <w:t>Sun</w:t>
      </w:r>
      <w:r w:rsidR="00BB42F8">
        <w:t>g H</w:t>
      </w:r>
      <w:r w:rsidR="008E0365">
        <w:t>yun</w:t>
      </w:r>
      <w:r w:rsidR="00BB42F8">
        <w:t xml:space="preserve"> </w:t>
      </w:r>
      <w:r w:rsidR="008E0365">
        <w:t xml:space="preserve">Hwang (ETRI), </w:t>
      </w:r>
      <w:proofErr w:type="spellStart"/>
      <w:r w:rsidR="008E0365">
        <w:t>Gwangzeen</w:t>
      </w:r>
      <w:proofErr w:type="spellEnd"/>
      <w:r w:rsidR="008E0365">
        <w:t xml:space="preserve"> </w:t>
      </w:r>
      <w:proofErr w:type="spellStart"/>
      <w:r w:rsidR="008E0365">
        <w:t>Ko</w:t>
      </w:r>
      <w:proofErr w:type="spellEnd"/>
      <w:r w:rsidR="008E0365">
        <w:t xml:space="preserve"> (ETRI), </w:t>
      </w:r>
      <w:r w:rsidR="005F093D">
        <w:t xml:space="preserve">Shigenobu Sasaki (Niigata University), </w:t>
      </w:r>
      <w:r w:rsidR="008E0365">
        <w:t xml:space="preserve">Jerry </w:t>
      </w:r>
      <w:proofErr w:type="spellStart"/>
      <w:r w:rsidR="008E0365">
        <w:t>Kalke</w:t>
      </w:r>
      <w:proofErr w:type="spellEnd"/>
      <w:r w:rsidR="008E0365">
        <w:t xml:space="preserve"> (CBS), </w:t>
      </w:r>
      <w:r>
        <w:t xml:space="preserve">Chang Woo Pyo (NICT), Zhang Xin (NICT), M. Azizur Rahman (NICT) </w:t>
      </w:r>
    </w:p>
    <w:p w:rsidR="00385AA2" w:rsidRDefault="00385AA2" w:rsidP="00385AA2"/>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 called to order by M. Azizur Rahman</w:t>
      </w:r>
      <w:r w:rsidR="008A3475">
        <w:t>.</w:t>
      </w:r>
    </w:p>
    <w:p w:rsidR="00F9542D" w:rsidRDefault="00F9542D" w:rsidP="006627EE">
      <w:pPr>
        <w:pStyle w:val="ListParagraph"/>
        <w:numPr>
          <w:ilvl w:val="0"/>
          <w:numId w:val="5"/>
        </w:numPr>
      </w:pPr>
      <w:r>
        <w:t>Attendance taken.</w:t>
      </w:r>
    </w:p>
    <w:p w:rsidR="005F093D" w:rsidRDefault="005F093D" w:rsidP="006627EE">
      <w:pPr>
        <w:pStyle w:val="ListParagraph"/>
        <w:numPr>
          <w:ilvl w:val="0"/>
          <w:numId w:val="5"/>
        </w:numPr>
      </w:pPr>
      <w:r>
        <w:t>Age</w:t>
      </w:r>
      <w:r w:rsidR="009B1905">
        <w:t>n</w:t>
      </w:r>
      <w:r>
        <w:t xml:space="preserve">da </w:t>
      </w:r>
      <w:r w:rsidR="008A3475">
        <w:t>802.</w:t>
      </w:r>
      <w:r w:rsidR="00F9542D">
        <w:t>22-</w:t>
      </w:r>
      <w:r w:rsidR="008A3475">
        <w:t>11-00</w:t>
      </w:r>
      <w:r w:rsidR="00BB42F8">
        <w:t>96</w:t>
      </w:r>
      <w:r w:rsidR="008A3475">
        <w:t>-0</w:t>
      </w:r>
      <w:r w:rsidR="00BB42F8">
        <w:t>0</w:t>
      </w:r>
      <w:r w:rsidR="008A3475">
        <w:t xml:space="preserve">-rasg </w:t>
      </w:r>
      <w:r>
        <w:t xml:space="preserve">presented </w:t>
      </w:r>
      <w:r w:rsidR="008A3475">
        <w:t xml:space="preserve">by chair </w:t>
      </w:r>
      <w:r>
        <w:t>and approved</w:t>
      </w:r>
      <w:r w:rsidR="008A3475">
        <w:t xml:space="preserve"> by the attendees.</w:t>
      </w:r>
    </w:p>
    <w:p w:rsidR="005F093D" w:rsidRDefault="005F093D" w:rsidP="006627EE">
      <w:pPr>
        <w:pStyle w:val="ListParagraph"/>
        <w:numPr>
          <w:ilvl w:val="0"/>
          <w:numId w:val="5"/>
        </w:numPr>
      </w:pPr>
      <w:r>
        <w:t>IEEE patent policy read</w:t>
      </w:r>
      <w:r w:rsidR="008A3475">
        <w:t xml:space="preserve"> by the chair</w:t>
      </w:r>
      <w:r>
        <w:t>.</w:t>
      </w:r>
    </w:p>
    <w:p w:rsidR="00F9542D" w:rsidRDefault="00F9542D" w:rsidP="006627EE">
      <w:pPr>
        <w:pStyle w:val="ListParagraph"/>
        <w:numPr>
          <w:ilvl w:val="0"/>
          <w:numId w:val="5"/>
        </w:numPr>
      </w:pPr>
      <w:r>
        <w:t>PAR and 5C development procedure presented by the chair from 802.22-11-0096-00-rasg. No objection heard.</w:t>
      </w:r>
    </w:p>
    <w:p w:rsidR="00F9542D" w:rsidRDefault="00F9542D" w:rsidP="006627EE">
      <w:pPr>
        <w:pStyle w:val="ListParagraph"/>
        <w:numPr>
          <w:ilvl w:val="0"/>
          <w:numId w:val="5"/>
        </w:numPr>
      </w:pPr>
      <w:r>
        <w:t>Comparative study of alternate PHY and PHY amendment presented by the chair from 802.22-11-0096-00-</w:t>
      </w:r>
      <w:proofErr w:type="gramStart"/>
      <w:r>
        <w:t>rasg  as</w:t>
      </w:r>
      <w:proofErr w:type="gramEnd"/>
      <w:r>
        <w:t xml:space="preserve"> an implication of the present system requirements presented in 93r1.</w:t>
      </w:r>
    </w:p>
    <w:p w:rsidR="00F9542D" w:rsidRDefault="00F9542D" w:rsidP="006627EE">
      <w:pPr>
        <w:pStyle w:val="ListParagraph"/>
        <w:numPr>
          <w:ilvl w:val="0"/>
          <w:numId w:val="5"/>
        </w:numPr>
      </w:pPr>
      <w:r>
        <w:t>Resolution to comments received in last teleconference presented by the chair from 802.22-11-0096-00-rasg</w:t>
      </w:r>
    </w:p>
    <w:p w:rsidR="009B1905" w:rsidRDefault="009B1905" w:rsidP="006627EE">
      <w:pPr>
        <w:pStyle w:val="ListParagraph"/>
        <w:numPr>
          <w:ilvl w:val="0"/>
          <w:numId w:val="5"/>
        </w:numPr>
      </w:pPr>
      <w:r>
        <w:t>Study group tentative plan presented with an objective to submit PAR to EC approval at Nov. 2011. There was no objection on the plan.</w:t>
      </w:r>
    </w:p>
    <w:p w:rsidR="00CB74B1" w:rsidRDefault="00F9542D" w:rsidP="006627EE">
      <w:pPr>
        <w:pStyle w:val="ListParagraph"/>
        <w:numPr>
          <w:ilvl w:val="0"/>
          <w:numId w:val="5"/>
        </w:numPr>
      </w:pPr>
      <w:r>
        <w:t>PAR and 5C presented by the chair from 802.22-11-009</w:t>
      </w:r>
      <w:r w:rsidR="003554F9">
        <w:t>7</w:t>
      </w:r>
      <w:r>
        <w:t>-00-rasg and 802.22-11-009</w:t>
      </w:r>
      <w:r w:rsidR="003554F9">
        <w:t>8</w:t>
      </w:r>
      <w:r>
        <w:t>-00-rasg respectively.</w:t>
      </w:r>
    </w:p>
    <w:p w:rsidR="003554F9" w:rsidRDefault="003554F9" w:rsidP="006627EE">
      <w:pPr>
        <w:pStyle w:val="ListParagraph"/>
        <w:numPr>
          <w:ilvl w:val="0"/>
          <w:numId w:val="5"/>
        </w:numPr>
      </w:pPr>
      <w:r>
        <w:t>The title of the PAR was discussed and no consensus reached. Issues regarding the word service were raised.</w:t>
      </w:r>
    </w:p>
    <w:p w:rsidR="003554F9" w:rsidRDefault="003554F9" w:rsidP="006627EE">
      <w:pPr>
        <w:pStyle w:val="ListParagraph"/>
        <w:numPr>
          <w:ilvl w:val="0"/>
          <w:numId w:val="5"/>
        </w:numPr>
      </w:pPr>
      <w:r>
        <w:t xml:space="preserve">The scope of the PAR was discussed. The change in </w:t>
      </w:r>
      <w:proofErr w:type="spellStart"/>
      <w:r>
        <w:t>datarate</w:t>
      </w:r>
      <w:proofErr w:type="spellEnd"/>
      <w:r>
        <w:t xml:space="preserve"> from 180 Mbps to 35 Mbps received support. However, the issue regarding PHY amendment or alternate PHY remained unresolved </w:t>
      </w:r>
      <w:proofErr w:type="spellStart"/>
      <w:r>
        <w:t>dued</w:t>
      </w:r>
      <w:proofErr w:type="spellEnd"/>
      <w:r>
        <w:t xml:space="preserve"> to supporters in both sides.</w:t>
      </w:r>
    </w:p>
    <w:p w:rsidR="003554F9" w:rsidRDefault="003554F9" w:rsidP="006627EE">
      <w:pPr>
        <w:pStyle w:val="ListParagraph"/>
        <w:numPr>
          <w:ilvl w:val="0"/>
          <w:numId w:val="5"/>
        </w:numPr>
      </w:pPr>
      <w:r>
        <w:t>The need of the project was discussed and some changes were suggested: adding real-time and/or near real time before monitoring.</w:t>
      </w:r>
    </w:p>
    <w:p w:rsidR="003554F9" w:rsidRDefault="003554F9" w:rsidP="006627EE">
      <w:pPr>
        <w:pStyle w:val="ListParagraph"/>
        <w:numPr>
          <w:ilvl w:val="0"/>
          <w:numId w:val="5"/>
        </w:numPr>
      </w:pPr>
      <w:r>
        <w:t>The expected number of participants 40 received support.</w:t>
      </w:r>
    </w:p>
    <w:p w:rsidR="003554F9" w:rsidRDefault="003554F9" w:rsidP="006627EE">
      <w:pPr>
        <w:pStyle w:val="ListParagraph"/>
        <w:numPr>
          <w:ilvl w:val="0"/>
          <w:numId w:val="5"/>
        </w:numPr>
      </w:pPr>
      <w:r>
        <w:t>The 5C was discussed and comments were received on sections 2, 3 c) and 4 c). The comments were trivial.</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91" w:rsidRDefault="00DB3491">
      <w:r>
        <w:separator/>
      </w:r>
    </w:p>
  </w:endnote>
  <w:endnote w:type="continuationSeparator" w:id="0">
    <w:p w:rsidR="00DB3491" w:rsidRDefault="00DB3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52B35">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EC06C5">
        <w:rPr>
          <w:noProof/>
        </w:rPr>
        <w:t>1</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91" w:rsidRDefault="00DB3491">
      <w:r>
        <w:separator/>
      </w:r>
    </w:p>
  </w:footnote>
  <w:footnote w:type="continuationSeparator" w:id="0">
    <w:p w:rsidR="00DB3491" w:rsidRDefault="00DB3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F093D">
    <w:pPr>
      <w:pStyle w:val="Header"/>
      <w:tabs>
        <w:tab w:val="clear" w:pos="6480"/>
        <w:tab w:val="center" w:pos="4680"/>
        <w:tab w:val="right" w:pos="9360"/>
      </w:tabs>
    </w:pPr>
    <w:r>
      <w:t>Aug</w:t>
    </w:r>
    <w:r w:rsidR="00A6607C">
      <w:t>. 2011</w:t>
    </w:r>
    <w:r w:rsidR="00D9448F">
      <w:tab/>
    </w:r>
    <w:r w:rsidR="00D9448F">
      <w:tab/>
    </w:r>
    <w:fldSimple w:instr=" TITLE  \* MERGEFORMAT ">
      <w:r w:rsidR="00A6607C">
        <w:t>doc.: IEEE 802.22-11</w:t>
      </w:r>
      <w:r>
        <w:t>-</w:t>
      </w:r>
      <w:r w:rsidR="00EC06C5">
        <w:t>0101</w:t>
      </w:r>
      <w:r>
        <w:rPr>
          <w:color w:val="000000" w:themeColor="text1"/>
        </w:rPr>
        <w:t>-00-rasg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4514"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3396"/>
    <w:rsid w:val="00055E7D"/>
    <w:rsid w:val="000710EE"/>
    <w:rsid w:val="000801F4"/>
    <w:rsid w:val="00093881"/>
    <w:rsid w:val="000B5CE1"/>
    <w:rsid w:val="000C1F00"/>
    <w:rsid w:val="000E2C44"/>
    <w:rsid w:val="000F61C9"/>
    <w:rsid w:val="00145D55"/>
    <w:rsid w:val="00166290"/>
    <w:rsid w:val="0017198C"/>
    <w:rsid w:val="00182613"/>
    <w:rsid w:val="00185B78"/>
    <w:rsid w:val="0019540B"/>
    <w:rsid w:val="001B0E3D"/>
    <w:rsid w:val="001E21C4"/>
    <w:rsid w:val="001E357B"/>
    <w:rsid w:val="0021597C"/>
    <w:rsid w:val="00215AD9"/>
    <w:rsid w:val="002356FF"/>
    <w:rsid w:val="00242413"/>
    <w:rsid w:val="002434CF"/>
    <w:rsid w:val="0026226D"/>
    <w:rsid w:val="002878A5"/>
    <w:rsid w:val="002B4DB0"/>
    <w:rsid w:val="002B7D20"/>
    <w:rsid w:val="002C06E4"/>
    <w:rsid w:val="002F5922"/>
    <w:rsid w:val="00316CDA"/>
    <w:rsid w:val="003246AE"/>
    <w:rsid w:val="00333EE4"/>
    <w:rsid w:val="003414E6"/>
    <w:rsid w:val="00343966"/>
    <w:rsid w:val="003554F9"/>
    <w:rsid w:val="00370725"/>
    <w:rsid w:val="0037268C"/>
    <w:rsid w:val="00385AA2"/>
    <w:rsid w:val="00387087"/>
    <w:rsid w:val="003D6629"/>
    <w:rsid w:val="003D668C"/>
    <w:rsid w:val="003E0587"/>
    <w:rsid w:val="003E2ABB"/>
    <w:rsid w:val="003E423E"/>
    <w:rsid w:val="00424F2C"/>
    <w:rsid w:val="004768D4"/>
    <w:rsid w:val="004C0704"/>
    <w:rsid w:val="004D7A60"/>
    <w:rsid w:val="004E02A8"/>
    <w:rsid w:val="00510CF2"/>
    <w:rsid w:val="005171A9"/>
    <w:rsid w:val="00532125"/>
    <w:rsid w:val="00562BB5"/>
    <w:rsid w:val="00583B01"/>
    <w:rsid w:val="00583E0D"/>
    <w:rsid w:val="005B42B2"/>
    <w:rsid w:val="005C3A52"/>
    <w:rsid w:val="005F093D"/>
    <w:rsid w:val="0060316C"/>
    <w:rsid w:val="00612163"/>
    <w:rsid w:val="00622FD5"/>
    <w:rsid w:val="00650DD6"/>
    <w:rsid w:val="006627EE"/>
    <w:rsid w:val="00664083"/>
    <w:rsid w:val="006A51DD"/>
    <w:rsid w:val="006B01F5"/>
    <w:rsid w:val="006C7574"/>
    <w:rsid w:val="006D48D5"/>
    <w:rsid w:val="006E3928"/>
    <w:rsid w:val="006E3A19"/>
    <w:rsid w:val="007019C2"/>
    <w:rsid w:val="007162C4"/>
    <w:rsid w:val="00720B67"/>
    <w:rsid w:val="00734DB2"/>
    <w:rsid w:val="00755B7A"/>
    <w:rsid w:val="00790E3F"/>
    <w:rsid w:val="007B00E8"/>
    <w:rsid w:val="007C21DB"/>
    <w:rsid w:val="007C2FA0"/>
    <w:rsid w:val="007C75C4"/>
    <w:rsid w:val="007D2624"/>
    <w:rsid w:val="008204B6"/>
    <w:rsid w:val="00856679"/>
    <w:rsid w:val="00886AA0"/>
    <w:rsid w:val="008A10B1"/>
    <w:rsid w:val="008A3475"/>
    <w:rsid w:val="008B010A"/>
    <w:rsid w:val="008B02EC"/>
    <w:rsid w:val="008B7F59"/>
    <w:rsid w:val="008D747A"/>
    <w:rsid w:val="008E0365"/>
    <w:rsid w:val="008F4D49"/>
    <w:rsid w:val="008F7C57"/>
    <w:rsid w:val="00902216"/>
    <w:rsid w:val="00907880"/>
    <w:rsid w:val="00923C4A"/>
    <w:rsid w:val="0093626D"/>
    <w:rsid w:val="00965CB0"/>
    <w:rsid w:val="00970208"/>
    <w:rsid w:val="009703F6"/>
    <w:rsid w:val="00995967"/>
    <w:rsid w:val="009B1905"/>
    <w:rsid w:val="00A00A4D"/>
    <w:rsid w:val="00A4536F"/>
    <w:rsid w:val="00A52B35"/>
    <w:rsid w:val="00A6607C"/>
    <w:rsid w:val="00A70AB8"/>
    <w:rsid w:val="00A712FD"/>
    <w:rsid w:val="00A978A8"/>
    <w:rsid w:val="00AA5F7D"/>
    <w:rsid w:val="00AB2210"/>
    <w:rsid w:val="00AC40F9"/>
    <w:rsid w:val="00AC76F4"/>
    <w:rsid w:val="00AD4918"/>
    <w:rsid w:val="00AF21FF"/>
    <w:rsid w:val="00AF51BF"/>
    <w:rsid w:val="00B005CB"/>
    <w:rsid w:val="00B27E12"/>
    <w:rsid w:val="00B41ACC"/>
    <w:rsid w:val="00B7569F"/>
    <w:rsid w:val="00B77DA2"/>
    <w:rsid w:val="00B907F0"/>
    <w:rsid w:val="00B96BF2"/>
    <w:rsid w:val="00BB42F8"/>
    <w:rsid w:val="00BE3541"/>
    <w:rsid w:val="00BE7F61"/>
    <w:rsid w:val="00C021B5"/>
    <w:rsid w:val="00C422F5"/>
    <w:rsid w:val="00C47C4F"/>
    <w:rsid w:val="00C60FF0"/>
    <w:rsid w:val="00C6321D"/>
    <w:rsid w:val="00C7466C"/>
    <w:rsid w:val="00C776D3"/>
    <w:rsid w:val="00CB74B1"/>
    <w:rsid w:val="00CD0E4C"/>
    <w:rsid w:val="00CD79C5"/>
    <w:rsid w:val="00CF6E2C"/>
    <w:rsid w:val="00CF7823"/>
    <w:rsid w:val="00D304F3"/>
    <w:rsid w:val="00D3457D"/>
    <w:rsid w:val="00D40585"/>
    <w:rsid w:val="00D430F9"/>
    <w:rsid w:val="00D52489"/>
    <w:rsid w:val="00D76AB2"/>
    <w:rsid w:val="00D9087D"/>
    <w:rsid w:val="00D9448F"/>
    <w:rsid w:val="00D948BF"/>
    <w:rsid w:val="00DB3491"/>
    <w:rsid w:val="00DC4BA4"/>
    <w:rsid w:val="00DC63B1"/>
    <w:rsid w:val="00DD4801"/>
    <w:rsid w:val="00E073B3"/>
    <w:rsid w:val="00E12522"/>
    <w:rsid w:val="00E23782"/>
    <w:rsid w:val="00E64C23"/>
    <w:rsid w:val="00E840D1"/>
    <w:rsid w:val="00E86EE5"/>
    <w:rsid w:val="00E92107"/>
    <w:rsid w:val="00E97200"/>
    <w:rsid w:val="00EA6332"/>
    <w:rsid w:val="00EC06C5"/>
    <w:rsid w:val="00EE2B85"/>
    <w:rsid w:val="00EF22C8"/>
    <w:rsid w:val="00EF7F89"/>
    <w:rsid w:val="00F05018"/>
    <w:rsid w:val="00F05152"/>
    <w:rsid w:val="00F06096"/>
    <w:rsid w:val="00F25029"/>
    <w:rsid w:val="00F25F91"/>
    <w:rsid w:val="00F54117"/>
    <w:rsid w:val="00F80348"/>
    <w:rsid w:val="00F91B14"/>
    <w:rsid w:val="00F94E9B"/>
    <w:rsid w:val="00F9542D"/>
    <w:rsid w:val="00FB0689"/>
    <w:rsid w:val="00FB4448"/>
    <w:rsid w:val="00FB50B1"/>
    <w:rsid w:val="00FC0EA6"/>
    <w:rsid w:val="00FE59E0"/>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18</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2046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9</cp:revision>
  <cp:lastPrinted>1601-01-01T00:00:00Z</cp:lastPrinted>
  <dcterms:created xsi:type="dcterms:W3CDTF">2011-08-19T03:29:00Z</dcterms:created>
  <dcterms:modified xsi:type="dcterms:W3CDTF">2011-08-19T08:17:00Z</dcterms:modified>
</cp:coreProperties>
</file>