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D9448F" w:rsidRPr="00E64C23">
        <w:trPr>
          <w:trHeight w:val="485"/>
          <w:jc w:val="center"/>
        </w:trPr>
        <w:tc>
          <w:tcPr>
            <w:tcW w:w="9576" w:type="dxa"/>
            <w:gridSpan w:val="5"/>
            <w:vAlign w:val="center"/>
          </w:tcPr>
          <w:p w:rsidR="00D9448F" w:rsidRPr="00E64C23" w:rsidRDefault="00385AA2" w:rsidP="003D668C">
            <w:pPr>
              <w:pStyle w:val="T2"/>
              <w:rPr>
                <w:rFonts w:eastAsiaTheme="minorEastAsia"/>
              </w:rPr>
            </w:pPr>
            <w:r>
              <w:rPr>
                <w:rFonts w:eastAsiaTheme="minorEastAsia"/>
              </w:rPr>
              <w:t xml:space="preserve">Minutes of the teleconference on June </w:t>
            </w:r>
            <w:r w:rsidR="003D668C">
              <w:rPr>
                <w:rFonts w:eastAsiaTheme="minorEastAsia"/>
              </w:rPr>
              <w:t>20</w:t>
            </w:r>
            <w:r>
              <w:rPr>
                <w:rFonts w:eastAsiaTheme="minorEastAsia"/>
              </w:rPr>
              <w:t xml:space="preserve">, 2011 on </w:t>
            </w:r>
            <w:r>
              <w:rPr>
                <w:szCs w:val="22"/>
              </w:rPr>
              <w:t>regional area smart grid and critical infrastructure monitoring</w:t>
            </w:r>
          </w:p>
        </w:tc>
      </w:tr>
      <w:tr w:rsidR="00D9448F" w:rsidRPr="00E64C23">
        <w:trPr>
          <w:trHeight w:val="359"/>
          <w:jc w:val="center"/>
        </w:trPr>
        <w:tc>
          <w:tcPr>
            <w:tcW w:w="9576" w:type="dxa"/>
            <w:gridSpan w:val="5"/>
            <w:vAlign w:val="center"/>
          </w:tcPr>
          <w:p w:rsidR="00D9448F" w:rsidRPr="00E64C23" w:rsidRDefault="00D9448F" w:rsidP="003D668C">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r w:rsidR="00385AA2">
              <w:rPr>
                <w:rFonts w:eastAsiaTheme="minorEastAsia"/>
                <w:b w:val="0"/>
                <w:sz w:val="20"/>
              </w:rPr>
              <w:t>06</w:t>
            </w:r>
            <w:r w:rsidRPr="00E64C23">
              <w:rPr>
                <w:rFonts w:eastAsiaTheme="minorEastAsia"/>
                <w:b w:val="0"/>
                <w:sz w:val="20"/>
              </w:rPr>
              <w:t>-</w:t>
            </w:r>
            <w:r w:rsidR="003D668C">
              <w:rPr>
                <w:rFonts w:eastAsiaTheme="minorEastAsia"/>
                <w:b w:val="0"/>
                <w:sz w:val="20"/>
              </w:rPr>
              <w:t>24</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206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81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715"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647"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trPr>
          <w:jc w:val="center"/>
        </w:trPr>
        <w:tc>
          <w:tcPr>
            <w:tcW w:w="1336"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M. Azizur Rahman</w:t>
            </w:r>
          </w:p>
        </w:tc>
        <w:tc>
          <w:tcPr>
            <w:tcW w:w="206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81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 xml:space="preserve">3-4 </w:t>
            </w:r>
            <w:proofErr w:type="spellStart"/>
            <w:r w:rsidRPr="00E64C23">
              <w:rPr>
                <w:rFonts w:eastAsiaTheme="minorEastAsia"/>
                <w:b w:val="0"/>
                <w:sz w:val="20"/>
              </w:rPr>
              <w:t>Hikari</w:t>
            </w:r>
            <w:proofErr w:type="spellEnd"/>
            <w:r w:rsidRPr="00E64C23">
              <w:rPr>
                <w:rFonts w:eastAsiaTheme="minorEastAsia"/>
                <w:b w:val="0"/>
                <w:sz w:val="20"/>
              </w:rPr>
              <w:t xml:space="preserve"> no </w:t>
            </w:r>
            <w:proofErr w:type="spellStart"/>
            <w:r w:rsidRPr="00E64C23">
              <w:rPr>
                <w:rFonts w:eastAsiaTheme="minorEastAsia"/>
                <w:b w:val="0"/>
                <w:sz w:val="20"/>
              </w:rPr>
              <w:t>oka</w:t>
            </w:r>
            <w:proofErr w:type="spellEnd"/>
            <w:r w:rsidRPr="00E64C23">
              <w:rPr>
                <w:rFonts w:eastAsiaTheme="minorEastAsia"/>
                <w:b w:val="0"/>
                <w:sz w:val="20"/>
              </w:rPr>
              <w:t>, Yokosuka, Kanagawa, Japan</w:t>
            </w:r>
          </w:p>
        </w:tc>
        <w:tc>
          <w:tcPr>
            <w:tcW w:w="1715"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+81-46-847-5060</w:t>
            </w:r>
          </w:p>
        </w:tc>
        <w:tc>
          <w:tcPr>
            <w:tcW w:w="1647" w:type="dxa"/>
            <w:vAlign w:val="center"/>
          </w:tcPr>
          <w:p w:rsidR="00D9448F" w:rsidRPr="00E64C23" w:rsidRDefault="00385AA2" w:rsidP="00385AA2">
            <w:pPr>
              <w:pStyle w:val="T2"/>
              <w:spacing w:after="0"/>
              <w:ind w:left="0" w:right="0"/>
              <w:rPr>
                <w:rFonts w:eastAsiaTheme="minorEastAsia"/>
                <w:b w:val="0"/>
                <w:sz w:val="16"/>
              </w:rPr>
            </w:pPr>
            <w:r>
              <w:rPr>
                <w:rFonts w:eastAsiaTheme="minorEastAsia"/>
                <w:b w:val="0"/>
                <w:sz w:val="16"/>
              </w:rPr>
              <w:t>a</w:t>
            </w:r>
            <w:r w:rsidR="004C0704" w:rsidRPr="00E64C23">
              <w:rPr>
                <w:rFonts w:eastAsiaTheme="minorEastAsia"/>
                <w:b w:val="0"/>
                <w:sz w:val="16"/>
              </w:rPr>
              <w:t>ziz</w:t>
            </w:r>
            <w:r>
              <w:rPr>
                <w:rFonts w:eastAsiaTheme="minorEastAsia"/>
                <w:b w:val="0"/>
                <w:sz w:val="16"/>
              </w:rPr>
              <w:t>.jp</w:t>
            </w:r>
            <w:r w:rsidR="004C0704" w:rsidRPr="00E64C23">
              <w:rPr>
                <w:rFonts w:eastAsiaTheme="minorEastAsia"/>
                <w:b w:val="0"/>
                <w:sz w:val="16"/>
              </w:rPr>
              <w:t>@</w:t>
            </w:r>
            <w:r>
              <w:rPr>
                <w:rFonts w:eastAsiaTheme="minorEastAsia"/>
                <w:b w:val="0"/>
                <w:sz w:val="16"/>
              </w:rPr>
              <w:t>ieee.org</w:t>
            </w:r>
          </w:p>
        </w:tc>
      </w:tr>
    </w:tbl>
    <w:p w:rsidR="00D9448F" w:rsidRDefault="008F7C57">
      <w:pPr>
        <w:pStyle w:val="T1"/>
        <w:spacing w:after="120"/>
        <w:rPr>
          <w:sz w:val="22"/>
        </w:rPr>
      </w:pPr>
      <w:r w:rsidRPr="008F7C57">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 xml:space="preserve">the minutes of the teleconference on June </w:t>
                  </w:r>
                  <w:r w:rsidR="003D668C">
                    <w:rPr>
                      <w:szCs w:val="22"/>
                    </w:rPr>
                    <w:t>20</w:t>
                  </w:r>
                  <w:r w:rsidR="00385AA2">
                    <w:rPr>
                      <w:szCs w:val="22"/>
                    </w:rPr>
                    <w:t>, 2011 on regional area smart grid and critical infrastructure monitoring.</w:t>
                  </w:r>
                </w:p>
              </w:txbxContent>
            </v:textbox>
          </v:shape>
        </w:pict>
      </w:r>
    </w:p>
    <w:p w:rsidR="00385AA2" w:rsidRPr="00385AA2" w:rsidRDefault="008F7C57" w:rsidP="00385AA2">
      <w:pPr>
        <w:rPr>
          <w:b/>
          <w:sz w:val="28"/>
          <w:szCs w:val="28"/>
        </w:rPr>
      </w:pPr>
      <w:r w:rsidRPr="008F7C57">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7"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8"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9"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385AA2" w:rsidRPr="00385AA2">
        <w:rPr>
          <w:b/>
          <w:sz w:val="28"/>
          <w:szCs w:val="28"/>
        </w:rPr>
        <w:lastRenderedPageBreak/>
        <w:t xml:space="preserve">WG teleconference meeting minutes </w:t>
      </w:r>
    </w:p>
    <w:p w:rsidR="00385AA2" w:rsidRPr="00385AA2" w:rsidRDefault="00385AA2" w:rsidP="00385AA2">
      <w:pPr>
        <w:rPr>
          <w:b/>
          <w:sz w:val="28"/>
          <w:szCs w:val="28"/>
        </w:rPr>
      </w:pPr>
      <w:r w:rsidRPr="00385AA2">
        <w:rPr>
          <w:b/>
          <w:sz w:val="28"/>
          <w:szCs w:val="28"/>
        </w:rPr>
        <w:t xml:space="preserve">June </w:t>
      </w:r>
      <w:r w:rsidR="003D668C">
        <w:rPr>
          <w:b/>
          <w:sz w:val="28"/>
          <w:szCs w:val="28"/>
        </w:rPr>
        <w:t>20</w:t>
      </w:r>
      <w:r w:rsidRPr="00385AA2">
        <w:rPr>
          <w:b/>
          <w:sz w:val="28"/>
          <w:szCs w:val="28"/>
        </w:rPr>
        <w:t>, 9-10:30 PM ET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385AA2" w:rsidRDefault="00385AA2" w:rsidP="00385AA2">
      <w:r>
        <w:t>Apurva Mody (BAE Systems), Ivan Reede (</w:t>
      </w:r>
      <w:proofErr w:type="spellStart"/>
      <w:r>
        <w:t>AmeriSys</w:t>
      </w:r>
      <w:proofErr w:type="spellEnd"/>
      <w:r>
        <w:t xml:space="preserve">), </w:t>
      </w:r>
      <w:r w:rsidR="003D668C">
        <w:t>Winston</w:t>
      </w:r>
      <w:r w:rsidR="003D668C" w:rsidRPr="003D668C">
        <w:t xml:space="preserve"> Caldwell</w:t>
      </w:r>
      <w:r w:rsidR="003D668C">
        <w:rPr>
          <w:color w:val="FF0000"/>
        </w:rPr>
        <w:t xml:space="preserve"> </w:t>
      </w:r>
      <w:r w:rsidR="003D668C">
        <w:t xml:space="preserve">(Fox), </w:t>
      </w:r>
      <w:r w:rsidR="00902216">
        <w:t xml:space="preserve">Jerry </w:t>
      </w:r>
      <w:proofErr w:type="spellStart"/>
      <w:r w:rsidR="00902216">
        <w:t>Kalke</w:t>
      </w:r>
      <w:proofErr w:type="spellEnd"/>
      <w:r>
        <w:t xml:space="preserve"> (</w:t>
      </w:r>
      <w:r w:rsidR="00902216">
        <w:t>CBS</w:t>
      </w:r>
      <w:r>
        <w:t xml:space="preserve">), </w:t>
      </w:r>
      <w:r w:rsidR="003D668C">
        <w:t xml:space="preserve">Nancy Bravin (Self), </w:t>
      </w:r>
      <w:r>
        <w:t xml:space="preserve">Anthony Franklin (ETRI), Shigenobu Sasaki (Niigata University), Chang Woo Pyo (NICT), Zhang Xin (NICT), </w:t>
      </w:r>
      <w:r w:rsidR="00902216">
        <w:t xml:space="preserve">Chunyi Song (NICT), </w:t>
      </w:r>
      <w:r>
        <w:t xml:space="preserve">M. Azizur Rahman (NICT) </w:t>
      </w:r>
    </w:p>
    <w:p w:rsidR="00385AA2" w:rsidRDefault="00385AA2" w:rsidP="00385AA2"/>
    <w:p w:rsidR="00385AA2" w:rsidRDefault="00385AA2" w:rsidP="00385AA2">
      <w:pPr>
        <w:rPr>
          <w:b/>
          <w:sz w:val="24"/>
          <w:szCs w:val="24"/>
        </w:rPr>
      </w:pPr>
      <w:r w:rsidRPr="00385AA2">
        <w:rPr>
          <w:b/>
          <w:sz w:val="24"/>
          <w:szCs w:val="24"/>
        </w:rPr>
        <w:t>Minutes:</w:t>
      </w:r>
    </w:p>
    <w:p w:rsidR="00385AA2" w:rsidRPr="00385AA2" w:rsidRDefault="00385AA2" w:rsidP="00385AA2">
      <w:pPr>
        <w:rPr>
          <w:b/>
          <w:sz w:val="24"/>
          <w:szCs w:val="24"/>
        </w:rPr>
      </w:pPr>
    </w:p>
    <w:p w:rsidR="00385AA2" w:rsidRDefault="00385AA2" w:rsidP="00385AA2">
      <w:pPr>
        <w:pStyle w:val="ListParagraph"/>
        <w:numPr>
          <w:ilvl w:val="0"/>
          <w:numId w:val="5"/>
        </w:numPr>
      </w:pPr>
      <w:r>
        <w:t>Meeting call to order by Apurva Mody</w:t>
      </w:r>
    </w:p>
    <w:p w:rsidR="00385AA2" w:rsidRPr="00DC63B1" w:rsidRDefault="00C7466C" w:rsidP="00385AA2">
      <w:pPr>
        <w:pStyle w:val="ListParagraph"/>
        <w:numPr>
          <w:ilvl w:val="0"/>
          <w:numId w:val="5"/>
        </w:numPr>
      </w:pPr>
      <w:r>
        <w:t>Chunyi Song</w:t>
      </w:r>
      <w:r w:rsidR="00385AA2">
        <w:t xml:space="preserve"> presented the document 802.22-11-</w:t>
      </w:r>
      <w:r>
        <w:t>70</w:t>
      </w:r>
      <w:r w:rsidR="00385AA2">
        <w:t>r</w:t>
      </w:r>
      <w:r w:rsidR="00902216">
        <w:t>0</w:t>
      </w:r>
      <w:r w:rsidR="00385AA2">
        <w:t xml:space="preserve"> titled </w:t>
      </w:r>
      <w:r w:rsidR="00385AA2" w:rsidRPr="00C7466C">
        <w:rPr>
          <w:rFonts w:asciiTheme="minorHAnsi" w:hAnsiTheme="minorHAnsi"/>
        </w:rPr>
        <w:t>“</w:t>
      </w:r>
      <w:r w:rsidR="00385AA2" w:rsidRPr="00C7466C">
        <w:rPr>
          <w:rFonts w:asciiTheme="minorHAnsi" w:hAnsiTheme="minorHAnsi"/>
          <w:color w:val="000000"/>
        </w:rPr>
        <w:t>Review of 802.</w:t>
      </w:r>
      <w:r w:rsidRPr="00C7466C">
        <w:rPr>
          <w:rFonts w:asciiTheme="minorHAnsi" w:hAnsiTheme="minorHAnsi"/>
          <w:color w:val="000000"/>
        </w:rPr>
        <w:t>11</w:t>
      </w:r>
      <w:r w:rsidR="00902216" w:rsidRPr="00C7466C">
        <w:rPr>
          <w:rFonts w:asciiTheme="minorHAnsi" w:hAnsiTheme="minorHAnsi"/>
          <w:color w:val="000000"/>
        </w:rPr>
        <w:t xml:space="preserve"> </w:t>
      </w:r>
      <w:r w:rsidR="00385AA2" w:rsidRPr="00C7466C">
        <w:rPr>
          <w:rFonts w:asciiTheme="minorHAnsi" w:hAnsiTheme="minorHAnsi"/>
          <w:color w:val="000000"/>
        </w:rPr>
        <w:t>&amp; Comparison with 802.22 Smart Grid and Critical Infrastructure Monitoring</w:t>
      </w:r>
      <w:r w:rsidR="00385AA2" w:rsidRPr="00C7466C">
        <w:rPr>
          <w:rFonts w:asciiTheme="minorHAnsi" w:hAnsiTheme="minorHAnsi"/>
        </w:rPr>
        <w:t xml:space="preserve">” </w:t>
      </w:r>
    </w:p>
    <w:p w:rsidR="00DC63B1" w:rsidRPr="00DC63B1" w:rsidRDefault="00DC63B1" w:rsidP="00385AA2">
      <w:pPr>
        <w:pStyle w:val="ListParagraph"/>
        <w:numPr>
          <w:ilvl w:val="0"/>
          <w:numId w:val="5"/>
        </w:numPr>
      </w:pPr>
      <w:r>
        <w:rPr>
          <w:rFonts w:asciiTheme="minorHAnsi" w:hAnsiTheme="minorHAnsi"/>
        </w:rPr>
        <w:t>The group appreciated the ideas of having CPEs with different capabilities in the proposed use cases. Especially, broadband service require</w:t>
      </w:r>
      <w:r w:rsidR="00E23782">
        <w:rPr>
          <w:rFonts w:asciiTheme="minorHAnsi" w:hAnsiTheme="minorHAnsi"/>
        </w:rPr>
        <w:t>s</w:t>
      </w:r>
      <w:r>
        <w:rPr>
          <w:rFonts w:asciiTheme="minorHAnsi" w:hAnsiTheme="minorHAnsi"/>
        </w:rPr>
        <w:t xml:space="preserve"> CPEs with high capabilities and, in contrary, CPEs used for monitoring purposes could be simpler.</w:t>
      </w:r>
    </w:p>
    <w:p w:rsidR="00DC63B1" w:rsidRDefault="00DC63B1" w:rsidP="00385AA2">
      <w:pPr>
        <w:pStyle w:val="ListParagraph"/>
        <w:numPr>
          <w:ilvl w:val="0"/>
          <w:numId w:val="5"/>
        </w:numPr>
      </w:pPr>
      <w:r>
        <w:t>There was a discussion on improving/extending the broadband service capabilities by increasing the data rate through channel aggregation.</w:t>
      </w:r>
    </w:p>
    <w:p w:rsidR="00E23782" w:rsidRDefault="00E23782" w:rsidP="00E23782">
      <w:pPr>
        <w:pStyle w:val="ListParagraph"/>
        <w:numPr>
          <w:ilvl w:val="0"/>
          <w:numId w:val="5"/>
        </w:numPr>
      </w:pPr>
      <w:r>
        <w:t>There was a discussion on checking if 802.22 can be eligible for FCC waiver for some of the applications. If this is possible, then grabbing market in the US, especially, in those selected applications would be easier.</w:t>
      </w:r>
    </w:p>
    <w:p w:rsidR="00E23782" w:rsidRDefault="00E23782" w:rsidP="00E23782">
      <w:pPr>
        <w:pStyle w:val="ListParagraph"/>
        <w:numPr>
          <w:ilvl w:val="0"/>
          <w:numId w:val="5"/>
        </w:numPr>
      </w:pPr>
      <w:r>
        <w:t>It was suggested that the example application scenario presented should be updated by adding the application areas 802.22 new study group might consider.</w:t>
      </w:r>
    </w:p>
    <w:p w:rsidR="00E23782" w:rsidRDefault="00E23782" w:rsidP="00385AA2">
      <w:pPr>
        <w:pStyle w:val="ListParagraph"/>
        <w:numPr>
          <w:ilvl w:val="0"/>
          <w:numId w:val="5"/>
        </w:numPr>
      </w:pPr>
      <w:r>
        <w:t>The group discussed what we might need to do to assure coexistence within 802 TVWS technologies. The opinion was that the approach should be to produce a coexistence assurance document for all other completed 802 standards in TVWS.</w:t>
      </w:r>
    </w:p>
    <w:p w:rsidR="00E23782" w:rsidRDefault="00E23782" w:rsidP="00385AA2">
      <w:pPr>
        <w:pStyle w:val="ListParagraph"/>
        <w:numPr>
          <w:ilvl w:val="0"/>
          <w:numId w:val="5"/>
        </w:numPr>
      </w:pPr>
      <w:r>
        <w:t>There was an opinion that presently there is no other TVWS standard within 802 except 802.22. Hence, what is the need to discuss distinction with ongoing projects in TVWS? There was also opinion that this is a requirement in 802.</w:t>
      </w:r>
    </w:p>
    <w:p w:rsidR="00385AA2" w:rsidRDefault="00385AA2" w:rsidP="00385AA2">
      <w:pPr>
        <w:pStyle w:val="ListParagraph"/>
        <w:numPr>
          <w:ilvl w:val="0"/>
          <w:numId w:val="5"/>
        </w:numPr>
      </w:pPr>
      <w:r>
        <w:t>Meeting adjourned by Apurva Mody</w:t>
      </w:r>
    </w:p>
    <w:p w:rsidR="00D9448F" w:rsidRDefault="00D9448F" w:rsidP="00385AA2">
      <w:pPr>
        <w:outlineLvl w:val="0"/>
      </w:pPr>
    </w:p>
    <w:sectPr w:rsidR="00D9448F" w:rsidSect="00D9448F">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23E" w:rsidRDefault="003E423E">
      <w:r>
        <w:separator/>
      </w:r>
    </w:p>
  </w:endnote>
  <w:endnote w:type="continuationSeparator" w:id="0">
    <w:p w:rsidR="003E423E" w:rsidRDefault="003E4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8F7C57">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E23782">
        <w:rPr>
          <w:noProof/>
        </w:rPr>
        <w:t>1</w:t>
      </w:r>
    </w:fldSimple>
    <w:r w:rsidR="00D9448F">
      <w:tab/>
    </w:r>
    <w:r w:rsidR="009703F6">
      <w:t xml:space="preserve">M. Azizur Rahman,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23E" w:rsidRDefault="003E423E">
      <w:r>
        <w:separator/>
      </w:r>
    </w:p>
  </w:footnote>
  <w:footnote w:type="continuationSeparator" w:id="0">
    <w:p w:rsidR="003E423E" w:rsidRDefault="003E4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385AA2">
    <w:pPr>
      <w:pStyle w:val="Header"/>
      <w:tabs>
        <w:tab w:val="clear" w:pos="6480"/>
        <w:tab w:val="center" w:pos="4680"/>
        <w:tab w:val="right" w:pos="9360"/>
      </w:tabs>
    </w:pPr>
    <w:r>
      <w:t>Jun</w:t>
    </w:r>
    <w:r w:rsidR="00A6607C">
      <w:t>. 2011</w:t>
    </w:r>
    <w:r w:rsidR="00D9448F">
      <w:tab/>
    </w:r>
    <w:r w:rsidR="00D9448F">
      <w:tab/>
    </w:r>
    <w:fldSimple w:instr=" TITLE  \* MERGEFORMAT ">
      <w:r w:rsidR="00A6607C">
        <w:t>doc.: IEEE 802.22-11</w:t>
      </w:r>
      <w:r w:rsidR="007019C2">
        <w:t>/00</w:t>
      </w:r>
      <w:r w:rsidR="003D668C">
        <w:t>72</w:t>
      </w:r>
      <w:r w:rsidR="004C0704">
        <w:t>r</w:t>
      </w:r>
    </w:fldSimple>
    <w:r w:rsidR="00902216">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3794"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14919"/>
    <w:rsid w:val="00033396"/>
    <w:rsid w:val="00055E7D"/>
    <w:rsid w:val="00093881"/>
    <w:rsid w:val="00145D55"/>
    <w:rsid w:val="00166290"/>
    <w:rsid w:val="00185B78"/>
    <w:rsid w:val="001B0E3D"/>
    <w:rsid w:val="001E21C4"/>
    <w:rsid w:val="001E357B"/>
    <w:rsid w:val="00215AD9"/>
    <w:rsid w:val="002356FF"/>
    <w:rsid w:val="002434CF"/>
    <w:rsid w:val="0026226D"/>
    <w:rsid w:val="002C06E4"/>
    <w:rsid w:val="002F5922"/>
    <w:rsid w:val="00316CDA"/>
    <w:rsid w:val="003246AE"/>
    <w:rsid w:val="003414E6"/>
    <w:rsid w:val="00370725"/>
    <w:rsid w:val="0037268C"/>
    <w:rsid w:val="00385AA2"/>
    <w:rsid w:val="00387087"/>
    <w:rsid w:val="003D6629"/>
    <w:rsid w:val="003D668C"/>
    <w:rsid w:val="003E0587"/>
    <w:rsid w:val="003E423E"/>
    <w:rsid w:val="00424F2C"/>
    <w:rsid w:val="004768D4"/>
    <w:rsid w:val="004C0704"/>
    <w:rsid w:val="004D7A60"/>
    <w:rsid w:val="004E02A8"/>
    <w:rsid w:val="00510CF2"/>
    <w:rsid w:val="005171A9"/>
    <w:rsid w:val="00583B01"/>
    <w:rsid w:val="005B42B2"/>
    <w:rsid w:val="005C3A52"/>
    <w:rsid w:val="0060316C"/>
    <w:rsid w:val="00612163"/>
    <w:rsid w:val="00622FD5"/>
    <w:rsid w:val="00650DD6"/>
    <w:rsid w:val="00664083"/>
    <w:rsid w:val="006A51DD"/>
    <w:rsid w:val="006C7574"/>
    <w:rsid w:val="006D48D5"/>
    <w:rsid w:val="006E3A19"/>
    <w:rsid w:val="007019C2"/>
    <w:rsid w:val="00720B67"/>
    <w:rsid w:val="00755B7A"/>
    <w:rsid w:val="007C21DB"/>
    <w:rsid w:val="007C75C4"/>
    <w:rsid w:val="008204B6"/>
    <w:rsid w:val="00886AA0"/>
    <w:rsid w:val="008A10B1"/>
    <w:rsid w:val="008B010A"/>
    <w:rsid w:val="008F4D49"/>
    <w:rsid w:val="008F7C57"/>
    <w:rsid w:val="00902216"/>
    <w:rsid w:val="00923C4A"/>
    <w:rsid w:val="0093626D"/>
    <w:rsid w:val="00970208"/>
    <w:rsid w:val="009703F6"/>
    <w:rsid w:val="00995967"/>
    <w:rsid w:val="00A00A4D"/>
    <w:rsid w:val="00A4536F"/>
    <w:rsid w:val="00A6607C"/>
    <w:rsid w:val="00A70AB8"/>
    <w:rsid w:val="00A978A8"/>
    <w:rsid w:val="00AB2210"/>
    <w:rsid w:val="00AC76F4"/>
    <w:rsid w:val="00AF51BF"/>
    <w:rsid w:val="00B005CB"/>
    <w:rsid w:val="00B27E12"/>
    <w:rsid w:val="00B41ACC"/>
    <w:rsid w:val="00B7569F"/>
    <w:rsid w:val="00B77DA2"/>
    <w:rsid w:val="00B907F0"/>
    <w:rsid w:val="00BE3541"/>
    <w:rsid w:val="00C021B5"/>
    <w:rsid w:val="00C422F5"/>
    <w:rsid w:val="00C60FF0"/>
    <w:rsid w:val="00C7466C"/>
    <w:rsid w:val="00C776D3"/>
    <w:rsid w:val="00CD0E4C"/>
    <w:rsid w:val="00CD79C5"/>
    <w:rsid w:val="00CF7823"/>
    <w:rsid w:val="00D304F3"/>
    <w:rsid w:val="00D3457D"/>
    <w:rsid w:val="00D52489"/>
    <w:rsid w:val="00D76AB2"/>
    <w:rsid w:val="00D9087D"/>
    <w:rsid w:val="00D9448F"/>
    <w:rsid w:val="00D948BF"/>
    <w:rsid w:val="00DC63B1"/>
    <w:rsid w:val="00E073B3"/>
    <w:rsid w:val="00E12522"/>
    <w:rsid w:val="00E23782"/>
    <w:rsid w:val="00E64C23"/>
    <w:rsid w:val="00E840D1"/>
    <w:rsid w:val="00E86EE5"/>
    <w:rsid w:val="00E97200"/>
    <w:rsid w:val="00EA6332"/>
    <w:rsid w:val="00EE2B85"/>
    <w:rsid w:val="00EF22C8"/>
    <w:rsid w:val="00F05018"/>
    <w:rsid w:val="00F05152"/>
    <w:rsid w:val="00F25029"/>
    <w:rsid w:val="00F25F91"/>
    <w:rsid w:val="00F54117"/>
    <w:rsid w:val="00F80348"/>
    <w:rsid w:val="00F91B14"/>
    <w:rsid w:val="00FB0689"/>
    <w:rsid w:val="00FB4448"/>
    <w:rsid w:val="00FB50B1"/>
    <w:rsid w:val="00FC0EA6"/>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urva.mody@iee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guides/bylaws/sb-bylaw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19</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2089</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aziz</cp:lastModifiedBy>
  <cp:revision>5</cp:revision>
  <cp:lastPrinted>1601-01-01T00:00:00Z</cp:lastPrinted>
  <dcterms:created xsi:type="dcterms:W3CDTF">2011-06-24T01:25:00Z</dcterms:created>
  <dcterms:modified xsi:type="dcterms:W3CDTF">2011-06-24T01:44:00Z</dcterms:modified>
</cp:coreProperties>
</file>