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Pr>
                <w:rFonts w:eastAsia="ＭＳ 明朝"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7" w:history="1">
              <w:r w:rsidRPr="001747DF">
                <w:rPr>
                  <w:rStyle w:val="a8"/>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3415D3">
            <w:pPr>
              <w:pStyle w:val="covertext"/>
              <w:rPr>
                <w:rFonts w:eastAsia="ＭＳ 明朝"/>
                <w:b/>
                <w:lang w:eastAsia="ja-JP"/>
              </w:rPr>
            </w:pPr>
            <w:r>
              <w:rPr>
                <w:rFonts w:eastAsia="ＭＳ 明朝" w:hint="eastAsia"/>
                <w:b/>
                <w:lang w:eastAsia="ja-JP"/>
              </w:rPr>
              <w:t xml:space="preserve">Proposed remedy for </w:t>
            </w:r>
            <w:proofErr w:type="spellStart"/>
            <w:r w:rsidR="008B35A7">
              <w:rPr>
                <w:rFonts w:eastAsia="ＭＳ 明朝"/>
                <w:b/>
                <w:lang w:eastAsia="ja-JP"/>
              </w:rPr>
              <w:t>Cmt</w:t>
            </w:r>
            <w:proofErr w:type="spellEnd"/>
            <w:r w:rsidR="008B35A7">
              <w:rPr>
                <w:rFonts w:eastAsia="ＭＳ 明朝"/>
                <w:b/>
                <w:lang w:eastAsia="ja-JP"/>
              </w:rPr>
              <w:t xml:space="preserve"> i-3 and </w:t>
            </w:r>
            <w:proofErr w:type="spellStart"/>
            <w:r w:rsidR="008B35A7">
              <w:rPr>
                <w:rFonts w:eastAsia="ＭＳ 明朝"/>
                <w:b/>
                <w:lang w:eastAsia="ja-JP"/>
              </w:rPr>
              <w:t>Cmt</w:t>
            </w:r>
            <w:proofErr w:type="spellEnd"/>
            <w:r w:rsidR="008B35A7">
              <w:rPr>
                <w:rFonts w:eastAsia="ＭＳ 明朝"/>
                <w:b/>
                <w:lang w:eastAsia="ja-JP"/>
              </w:rPr>
              <w:t xml:space="preserve"> i-5 in P802.21m SB</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1747DF" w:rsidRDefault="00BA78B3" w:rsidP="00E71E84">
            <w:pPr>
              <w:pStyle w:val="covertext"/>
              <w:rPr>
                <w:b/>
              </w:rPr>
            </w:pPr>
            <w:r w:rsidRPr="001747DF">
              <w:rPr>
                <w:b/>
              </w:rPr>
              <w:t>21-1</w:t>
            </w:r>
            <w:r>
              <w:rPr>
                <w:b/>
              </w:rPr>
              <w:t>6</w:t>
            </w:r>
            <w:r w:rsidRPr="001747DF">
              <w:rPr>
                <w:b/>
              </w:rPr>
              <w:t>-</w:t>
            </w:r>
            <w:r w:rsidR="009B5F15">
              <w:rPr>
                <w:rFonts w:hint="eastAsia"/>
                <w:b/>
              </w:rPr>
              <w:t>0104</w:t>
            </w:r>
            <w:r>
              <w:rPr>
                <w:rFonts w:hint="eastAsia"/>
                <w:b/>
              </w:rPr>
              <w:t>-</w:t>
            </w:r>
            <w:r>
              <w:rPr>
                <w:b/>
              </w:rPr>
              <w:t>0</w:t>
            </w:r>
            <w:r w:rsidR="00635A53">
              <w:rPr>
                <w:b/>
              </w:rPr>
              <w:t>1</w:t>
            </w:r>
            <w:bookmarkStart w:id="2" w:name="_GoBack"/>
            <w:bookmarkEnd w:id="2"/>
            <w:r>
              <w:rPr>
                <w:b/>
              </w:rPr>
              <w:t>-REVP</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A78B3" w:rsidP="003415D3">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ＭＳ 明朝"/>
                <w:lang w:val="en-GB" w:eastAsia="ja-JP"/>
              </w:rPr>
            </w:pPr>
            <w:r>
              <w:rPr>
                <w:rFonts w:eastAsia="ＭＳ 明朝" w:hint="eastAsia"/>
                <w:lang w:val="en-GB" w:eastAsia="ja-JP"/>
              </w:rPr>
              <w:t>Session #7</w:t>
            </w:r>
            <w:r w:rsidR="008B35A7">
              <w:rPr>
                <w:rFonts w:eastAsia="ＭＳ 明朝"/>
                <w:lang w:val="en-GB" w:eastAsia="ja-JP"/>
              </w:rPr>
              <w:t>6</w:t>
            </w:r>
            <w:r>
              <w:rPr>
                <w:rFonts w:eastAsia="ＭＳ 明朝"/>
                <w:lang w:val="en-GB" w:eastAsia="ja-JP"/>
              </w:rPr>
              <w:t xml:space="preserve">, </w:t>
            </w:r>
            <w:r w:rsidR="008B35A7">
              <w:rPr>
                <w:rFonts w:eastAsia="ＭＳ 明朝"/>
                <w:lang w:val="en-GB" w:eastAsia="ja-JP"/>
              </w:rPr>
              <w:t xml:space="preserve">Warsaw, </w:t>
            </w:r>
            <w:r w:rsidR="008B35A7" w:rsidRPr="008B35A7">
              <w:rPr>
                <w:rFonts w:eastAsia="ＭＳ 明朝"/>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Default="00BA78B3" w:rsidP="000458FE">
            <w:r>
              <w:rPr>
                <w:rFonts w:eastAsia="ＭＳ Ｐゴシック"/>
              </w:rPr>
              <w:t xml:space="preserve"> </w:t>
            </w:r>
            <w:r w:rsidR="000458FE">
              <w:t xml:space="preserve">802.21 supports </w:t>
            </w:r>
            <w:r w:rsidR="000458FE">
              <w:rPr>
                <w:sz w:val="20"/>
                <w:szCs w:val="20"/>
              </w:rPr>
              <w:t>organizationally unique identifier (OUI) which is assigned by IEEE-RA.</w:t>
            </w:r>
          </w:p>
          <w:p w:rsidR="00BA78B3" w:rsidRDefault="000458FE" w:rsidP="000458FE">
            <w:r>
              <w:t xml:space="preserve">  “</w:t>
            </w:r>
            <w:proofErr w:type="gramStart"/>
            <w:r>
              <w:t>company</w:t>
            </w:r>
            <w:proofErr w:type="gramEnd"/>
            <w:r>
              <w:t xml:space="preserve"> identifier (CID)” is useful for a vendor who do not need an OUI to generate MAC addresses. But, CID is not allowed in the latest 802.21m draft.</w:t>
            </w:r>
          </w:p>
          <w:p w:rsidR="000458FE" w:rsidRPr="0072128B" w:rsidRDefault="0072128B" w:rsidP="000458FE">
            <w:r>
              <w:rPr>
                <w:rFonts w:hint="eastAsia"/>
              </w:rPr>
              <w:t xml:space="preserve">To support CID, </w:t>
            </w:r>
            <w:r>
              <w:t>Table 10 and Figure 39 in IEEE P802.21m/D04 is modified.</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8B35A7" w:rsidP="003415D3">
            <w:pPr>
              <w:pStyle w:val="covertext"/>
              <w:jc w:val="both"/>
              <w:rPr>
                <w:rFonts w:eastAsia="ＭＳ 明朝"/>
                <w:lang w:eastAsia="ja-JP"/>
              </w:rPr>
            </w:pPr>
            <w:r>
              <w:rPr>
                <w:rFonts w:eastAsia="ＭＳ 明朝" w:hint="eastAsia"/>
                <w:lang w:eastAsia="ja-JP"/>
              </w:rPr>
              <w:t>Proposed</w:t>
            </w:r>
            <w:r w:rsidR="00BA78B3">
              <w:rPr>
                <w:rFonts w:eastAsia="ＭＳ 明朝" w:hint="eastAsia"/>
                <w:lang w:eastAsia="ja-JP"/>
              </w:rPr>
              <w:t xml:space="preserve"> </w:t>
            </w:r>
            <w:r w:rsidR="00BA78B3">
              <w:rPr>
                <w:rFonts w:eastAsia="ＭＳ 明朝"/>
                <w:lang w:eastAsia="ja-JP"/>
              </w:rPr>
              <w:t>remedy</w:t>
            </w:r>
            <w:r w:rsidR="00BA78B3">
              <w:rPr>
                <w:rFonts w:eastAsia="ＭＳ 明朝" w:hint="eastAsia"/>
                <w:lang w:eastAsia="ja-JP"/>
              </w:rPr>
              <w:t xml:space="preserve"> </w:t>
            </w:r>
            <w:r>
              <w:rPr>
                <w:rFonts w:eastAsia="ＭＳ 明朝"/>
                <w:lang w:eastAsia="ja-JP"/>
              </w:rPr>
              <w:t xml:space="preserve">for </w:t>
            </w:r>
            <w:proofErr w:type="spellStart"/>
            <w:r>
              <w:rPr>
                <w:rFonts w:eastAsia="ＭＳ 明朝"/>
                <w:lang w:eastAsia="ja-JP"/>
              </w:rPr>
              <w:t>Cmt</w:t>
            </w:r>
            <w:proofErr w:type="spellEnd"/>
            <w:r>
              <w:rPr>
                <w:rFonts w:eastAsia="ＭＳ 明朝"/>
                <w:lang w:eastAsia="ja-JP"/>
              </w:rPr>
              <w:t xml:space="preserve"> i-3 and </w:t>
            </w:r>
            <w:proofErr w:type="spellStart"/>
            <w:r>
              <w:rPr>
                <w:rFonts w:eastAsia="ＭＳ 明朝"/>
                <w:lang w:eastAsia="ja-JP"/>
              </w:rPr>
              <w:t>Cmt</w:t>
            </w:r>
            <w:proofErr w:type="spellEnd"/>
            <w:r>
              <w:rPr>
                <w:rFonts w:eastAsia="ＭＳ 明朝"/>
                <w:lang w:eastAsia="ja-JP"/>
              </w:rPr>
              <w:t xml:space="preserve"> i-5 in P802.21m SB</w:t>
            </w:r>
            <w:r w:rsidR="00BA78B3">
              <w:rPr>
                <w:rFonts w:eastAsia="ＭＳ 明朝"/>
                <w:lang w:eastAsia="ja-JP"/>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a8"/>
                  <w:sz w:val="20"/>
                </w:rPr>
                <w:t>Section 6 of the IEEE-SA Standards Board bylaws</w:t>
              </w:r>
            </w:hyperlink>
            <w:r w:rsidRPr="001747DF">
              <w:rPr>
                <w:sz w:val="20"/>
              </w:rPr>
              <w:t xml:space="preserve"> &lt;</w:t>
            </w:r>
            <w:hyperlink r:id="rId9" w:tgtFrame="_parent" w:history="1">
              <w:r w:rsidRPr="001747DF">
                <w:rPr>
                  <w:rStyle w:val="a8"/>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a8"/>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Default="00BA78B3" w:rsidP="00BD30BC">
      <w:pPr>
        <w:rPr>
          <w:rFonts w:ascii="Times New Roman" w:hAnsi="Times New Roman" w:cs="Times New Roman"/>
        </w:r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t xml:space="preserve">Comment: </w:t>
      </w:r>
      <w:r w:rsidR="008B35A7" w:rsidRPr="008B35A7">
        <w:rPr>
          <w:rFonts w:ascii="Times New Roman" w:hAnsi="Times New Roman" w:cs="Times New Roman"/>
          <w:b/>
        </w:rPr>
        <w:t>i-3</w:t>
      </w:r>
    </w:p>
    <w:p w:rsidR="008B35A7" w:rsidRP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Vendor specific IEs should allow an OUI or a CID (Company ID). This also applies to Vendor Specific TLVs. in 8.5.</w:t>
      </w:r>
    </w:p>
    <w:p w:rsidR="008B35A7" w:rsidRPr="008B35A7" w:rsidRDefault="008B35A7" w:rsidP="008B35A7">
      <w:pPr>
        <w:rPr>
          <w:rFonts w:ascii="Times New Roman" w:eastAsia="ＭＳ Ｐゴシック" w:hAnsi="Times New Roman" w:cs="Times New Roman"/>
          <w:kern w:val="0"/>
          <w:sz w:val="20"/>
          <w:szCs w:val="20"/>
        </w:rPr>
      </w:pPr>
    </w:p>
    <w:p w:rsidR="00743F9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Vendors who don't need an OUI to generate MAC addresses (or who are low volume vendors that can use a smaller MA-M or MA-S rather than a 2^24 address MA-L block should be able to use a CID rather than consuming OUI space.</w:t>
      </w:r>
    </w:p>
    <w:p w:rsidR="008B35A7" w:rsidRDefault="008B35A7" w:rsidP="008B35A7">
      <w:pPr>
        <w:rPr>
          <w:rFonts w:ascii="Times New Roman" w:eastAsia="ＭＳ Ｐゴシック" w:hAnsi="Times New Roman" w:cs="Times New Roman"/>
          <w:kern w:val="0"/>
          <w:sz w:val="20"/>
          <w:szCs w:val="20"/>
        </w:rPr>
      </w:pPr>
    </w:p>
    <w:p w:rsidR="008B35A7" w:rsidRPr="008B35A7" w:rsidRDefault="008B35A7" w:rsidP="008B35A7">
      <w:pPr>
        <w:rPr>
          <w:rFonts w:ascii="Times New Roman" w:eastAsia="ＭＳ Ｐゴシック" w:hAnsi="Times New Roman" w:cs="Times New Roman"/>
          <w:b/>
          <w:kern w:val="0"/>
          <w:sz w:val="20"/>
          <w:szCs w:val="20"/>
        </w:rPr>
      </w:pPr>
      <w:r w:rsidRPr="008B35A7">
        <w:rPr>
          <w:rFonts w:ascii="Times New Roman" w:eastAsia="ＭＳ Ｐゴシック" w:hAnsi="Times New Roman" w:cs="Times New Roman" w:hint="eastAsia"/>
          <w:b/>
          <w:kern w:val="0"/>
          <w:sz w:val="20"/>
          <w:szCs w:val="20"/>
        </w:rPr>
        <w:t>Comment: i-5</w:t>
      </w:r>
    </w:p>
    <w:p w:rsidR="008B35A7" w:rsidRP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There should be a footnote pointing to the IEEE Registration Authority as the place to get an OUI or CID. The URL for that should be http://standards.ieee.org/regauth since is on the list of durable URLs for IEEE to maintain.</w:t>
      </w:r>
    </w:p>
    <w:p w:rsidR="008B35A7" w:rsidRPr="008B35A7" w:rsidRDefault="008B35A7" w:rsidP="008B35A7">
      <w:pPr>
        <w:rPr>
          <w:rFonts w:ascii="Times New Roman" w:eastAsia="ＭＳ Ｐゴシック" w:hAnsi="Times New Roman" w:cs="Times New Roman"/>
          <w:kern w:val="0"/>
          <w:sz w:val="20"/>
          <w:szCs w:val="20"/>
        </w:rPr>
      </w:pPr>
    </w:p>
    <w:p w:rsid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Comment also applies to 8.5</w:t>
      </w:r>
    </w:p>
    <w:p w:rsidR="008B35A7" w:rsidRPr="00743F97" w:rsidRDefault="008B35A7" w:rsidP="008B35A7">
      <w:pPr>
        <w:rPr>
          <w:rFonts w:ascii="Times New Roman" w:hAnsi="Times New Roman" w:cs="Times New Roman"/>
        </w:rPr>
      </w:pPr>
    </w:p>
    <w:p w:rsidR="00743F97" w:rsidRPr="00743F97" w:rsidRDefault="00743F97" w:rsidP="00BD30BC">
      <w:pPr>
        <w:rPr>
          <w:rFonts w:ascii="Times New Roman" w:hAnsi="Times New Roman" w:cs="Times New Roman"/>
        </w:rPr>
      </w:pPr>
      <w:r w:rsidRPr="00743F97">
        <w:rPr>
          <w:rFonts w:ascii="Times New Roman" w:hAnsi="Times New Roman" w:cs="Times New Roman"/>
        </w:rPr>
        <w:t>Problem:</w:t>
      </w:r>
    </w:p>
    <w:p w:rsidR="00743F97" w:rsidRDefault="008B35A7" w:rsidP="00BD30BC">
      <w:r>
        <w:rPr>
          <w:rFonts w:hint="eastAsia"/>
        </w:rPr>
        <w:t xml:space="preserve">  </w:t>
      </w:r>
      <w:r>
        <w:t xml:space="preserve">802.21 supports </w:t>
      </w:r>
      <w:r>
        <w:rPr>
          <w:sz w:val="20"/>
          <w:szCs w:val="20"/>
        </w:rPr>
        <w:t>organizationally unique identifier (OUI) which is assigned by IEEE-RA.</w:t>
      </w:r>
    </w:p>
    <w:p w:rsidR="008B35A7" w:rsidRPr="008B35A7" w:rsidRDefault="008B35A7" w:rsidP="00BD30BC">
      <w:r>
        <w:t xml:space="preserve">  “</w:t>
      </w:r>
      <w:proofErr w:type="gramStart"/>
      <w:r>
        <w:t>company</w:t>
      </w:r>
      <w:proofErr w:type="gramEnd"/>
      <w:r>
        <w:t xml:space="preserve"> identifier (CID)” is useful for a vendor who do not need an OUI to generate MAC addresses. </w:t>
      </w:r>
      <w:r w:rsidR="000458FE">
        <w:t>Bu</w:t>
      </w:r>
      <w:r>
        <w:t>t</w:t>
      </w:r>
      <w:r w:rsidR="000458FE">
        <w:t>,</w:t>
      </w:r>
      <w:r>
        <w:t xml:space="preserve"> CID is not allowed in the latest 802.21m draft.</w:t>
      </w:r>
    </w:p>
    <w:p w:rsidR="008B35A7" w:rsidRPr="000458FE" w:rsidRDefault="008B35A7" w:rsidP="00BD30BC"/>
    <w:p w:rsidR="00743F97" w:rsidRPr="00743F97" w:rsidRDefault="00743F97" w:rsidP="00BD30BC">
      <w:r>
        <w:t>Suggested remedy:</w:t>
      </w:r>
    </w:p>
    <w:p w:rsidR="000458FE" w:rsidRDefault="000458FE" w:rsidP="00BD30BC">
      <w:pPr>
        <w:pBdr>
          <w:bottom w:val="single" w:sz="6" w:space="1" w:color="auto"/>
        </w:pBdr>
      </w:pPr>
      <w:r>
        <w:rPr>
          <w:rFonts w:hint="eastAsia"/>
        </w:rPr>
        <w:t xml:space="preserve"> Support CID.</w:t>
      </w:r>
    </w:p>
    <w:p w:rsidR="000458FE" w:rsidRDefault="000458FE" w:rsidP="00BD30BC">
      <w:pPr>
        <w:pBdr>
          <w:bottom w:val="single" w:sz="6" w:space="1" w:color="auto"/>
        </w:pBdr>
      </w:pPr>
      <w:r>
        <w:rPr>
          <w:rFonts w:hint="eastAsia"/>
        </w:rPr>
        <w:t xml:space="preserve"> Add an instruction text for IEEE-RA</w:t>
      </w:r>
      <w:r>
        <w:t>.</w:t>
      </w:r>
    </w:p>
    <w:p w:rsidR="000458FE" w:rsidRDefault="000458FE" w:rsidP="00BD30BC">
      <w:pPr>
        <w:pBdr>
          <w:bottom w:val="single" w:sz="6" w:space="1" w:color="auto"/>
        </w:pBdr>
      </w:pPr>
    </w:p>
    <w:p w:rsidR="000458FE" w:rsidRDefault="000458FE" w:rsidP="000458FE">
      <w:pPr>
        <w:pStyle w:val="IEEEStdsLevel1Header"/>
      </w:pPr>
      <w:bookmarkStart w:id="3" w:name="_Toc417565728"/>
      <w:bookmarkStart w:id="4" w:name="_Toc437873382"/>
      <w:bookmarkStart w:id="5" w:name="_Toc445967048"/>
      <w:r>
        <w:t>Abbreviations and acronyms</w:t>
      </w:r>
      <w:bookmarkEnd w:id="3"/>
      <w:bookmarkEnd w:id="4"/>
      <w:bookmarkEnd w:id="5"/>
    </w:p>
    <w:p w:rsidR="000458FE" w:rsidRPr="00635A53" w:rsidRDefault="00635A53" w:rsidP="000458FE">
      <w:pPr>
        <w:rPr>
          <w:color w:val="FF0000"/>
          <w:w w:val="105"/>
        </w:rPr>
      </w:pPr>
      <w:r w:rsidRPr="00635A53">
        <w:rPr>
          <w:color w:val="FF0000"/>
          <w:w w:val="105"/>
        </w:rPr>
        <w:t>CID</w:t>
      </w:r>
      <w:r w:rsidRPr="00635A53">
        <w:rPr>
          <w:color w:val="FF0000"/>
          <w:w w:val="105"/>
        </w:rPr>
        <w:tab/>
        <w:t xml:space="preserve">Company </w:t>
      </w:r>
      <w:r w:rsidRPr="00635A53">
        <w:rPr>
          <w:rFonts w:hint="eastAsia"/>
          <w:color w:val="FF0000"/>
          <w:w w:val="105"/>
        </w:rPr>
        <w:t>ID</w:t>
      </w:r>
    </w:p>
    <w:p w:rsidR="008B35A7" w:rsidRDefault="008B35A7" w:rsidP="00E2708B">
      <w:pPr>
        <w:pStyle w:val="IEEEStdsParagraph"/>
      </w:pPr>
    </w:p>
    <w:p w:rsidR="000458FE" w:rsidRDefault="000458FE" w:rsidP="000458FE">
      <w:pPr>
        <w:pStyle w:val="IEEEStdsLevel3Header"/>
        <w:numPr>
          <w:ilvl w:val="0"/>
          <w:numId w:val="0"/>
        </w:numPr>
      </w:pPr>
      <w:bookmarkStart w:id="6" w:name="_Toc445967139"/>
      <w:r>
        <w:t>6.5.5 Definition of information element namespace</w:t>
      </w:r>
      <w:bookmarkEnd w:id="6"/>
    </w:p>
    <w:p w:rsidR="000458FE" w:rsidRDefault="000458FE" w:rsidP="000458FE">
      <w:pPr>
        <w:pStyle w:val="ae"/>
      </w:pPr>
      <w:bookmarkStart w:id="7" w:name="_Ref435786940"/>
      <w:bookmarkStart w:id="8" w:name="_Toc417567345"/>
      <w:bookmarkStart w:id="9" w:name="_Ref435786936"/>
      <w:bookmarkStart w:id="10" w:name="_Toc437868041"/>
      <w:bookmarkStart w:id="11" w:name="_Toc444181536"/>
      <w:r>
        <w:t xml:space="preserve">Table </w:t>
      </w:r>
      <w:fldSimple w:instr=" SEQ Table \* ARABIC ">
        <w:r>
          <w:rPr>
            <w:noProof/>
          </w:rPr>
          <w:t>10</w:t>
        </w:r>
      </w:fldSimple>
      <w:bookmarkEnd w:id="7"/>
      <w:r>
        <w:t>—Information element namespace</w:t>
      </w:r>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260"/>
        <w:gridCol w:w="3608"/>
      </w:tblGrid>
      <w:tr w:rsidR="000458FE" w:rsidTr="00576952">
        <w:tc>
          <w:tcPr>
            <w:tcW w:w="2801" w:type="dxa"/>
            <w:shd w:val="clear" w:color="auto" w:fill="auto"/>
            <w:vAlign w:val="center"/>
          </w:tcPr>
          <w:p w:rsidR="000458FE" w:rsidRDefault="000458FE" w:rsidP="00576952">
            <w:pPr>
              <w:pStyle w:val="IEEEStdsTableColumnHead"/>
            </w:pPr>
            <w:r w:rsidRPr="002F52D4">
              <w:rPr>
                <w:w w:val="105"/>
              </w:rPr>
              <w:lastRenderedPageBreak/>
              <w:t>Range</w:t>
            </w:r>
          </w:p>
        </w:tc>
        <w:tc>
          <w:tcPr>
            <w:tcW w:w="2409" w:type="dxa"/>
            <w:shd w:val="clear" w:color="auto" w:fill="auto"/>
            <w:vAlign w:val="center"/>
          </w:tcPr>
          <w:p w:rsidR="000458FE" w:rsidRDefault="000458FE" w:rsidP="00576952">
            <w:pPr>
              <w:pStyle w:val="IEEEStdsTableColumnHead"/>
            </w:pPr>
            <w:r w:rsidRPr="002F52D4">
              <w:rPr>
                <w:spacing w:val="-2"/>
                <w:w w:val="105"/>
              </w:rPr>
              <w:t>Description</w:t>
            </w:r>
          </w:p>
        </w:tc>
        <w:tc>
          <w:tcPr>
            <w:tcW w:w="3886" w:type="dxa"/>
            <w:shd w:val="clear" w:color="auto" w:fill="auto"/>
            <w:vAlign w:val="center"/>
          </w:tcPr>
          <w:p w:rsidR="000458FE" w:rsidRDefault="000458FE" w:rsidP="00576952">
            <w:pPr>
              <w:pStyle w:val="IEEEStdsTableColumnHead"/>
            </w:pPr>
            <w:r w:rsidRPr="002F52D4">
              <w:rPr>
                <w:w w:val="105"/>
              </w:rPr>
              <w:t>Comments</w:t>
            </w:r>
          </w:p>
        </w:tc>
      </w:tr>
      <w:tr w:rsidR="000458FE" w:rsidTr="00576952">
        <w:tc>
          <w:tcPr>
            <w:tcW w:w="2801" w:type="dxa"/>
            <w:shd w:val="clear" w:color="auto" w:fill="auto"/>
            <w:vAlign w:val="center"/>
          </w:tcPr>
          <w:p w:rsidR="000458FE" w:rsidRDefault="000458FE" w:rsidP="00576952">
            <w:pPr>
              <w:pStyle w:val="IEEEStdsTableData-Left"/>
            </w:pPr>
            <w:r w:rsidRPr="002F52D4">
              <w:rPr>
                <w:w w:val="110"/>
              </w:rPr>
              <w:t>0x00000000</w:t>
            </w:r>
          </w:p>
        </w:tc>
        <w:tc>
          <w:tcPr>
            <w:tcW w:w="2409" w:type="dxa"/>
            <w:shd w:val="clear" w:color="auto" w:fill="auto"/>
            <w:vAlign w:val="center"/>
          </w:tcPr>
          <w:p w:rsidR="000458FE" w:rsidRDefault="000458FE" w:rsidP="00576952">
            <w:pPr>
              <w:pStyle w:val="IEEEStdsTableData-Left"/>
            </w:pPr>
            <w:r w:rsidRPr="002F52D4">
              <w:rPr>
                <w:w w:val="110"/>
              </w:rPr>
              <w:t>Reserved</w:t>
            </w:r>
          </w:p>
        </w:tc>
        <w:tc>
          <w:tcPr>
            <w:tcW w:w="3886" w:type="dxa"/>
            <w:shd w:val="clear" w:color="auto" w:fill="auto"/>
          </w:tcPr>
          <w:p w:rsidR="000458FE" w:rsidRDefault="000458FE" w:rsidP="00576952">
            <w:pPr>
              <w:pStyle w:val="IEEEStdsTableData-Left"/>
            </w:pPr>
          </w:p>
        </w:tc>
      </w:tr>
      <w:tr w:rsidR="000458FE" w:rsidTr="00576952">
        <w:tc>
          <w:tcPr>
            <w:tcW w:w="2801" w:type="dxa"/>
            <w:shd w:val="clear" w:color="auto" w:fill="auto"/>
          </w:tcPr>
          <w:p w:rsidR="000458FE" w:rsidRDefault="000458FE" w:rsidP="00576952">
            <w:pPr>
              <w:pStyle w:val="IEEEStdsTableData-Left"/>
            </w:pPr>
            <w:r w:rsidRPr="002F52D4">
              <w:rPr>
                <w:w w:val="110"/>
              </w:rPr>
              <w:t>0x00000001–0x1FFFFFFF</w:t>
            </w:r>
          </w:p>
        </w:tc>
        <w:tc>
          <w:tcPr>
            <w:tcW w:w="2409" w:type="dxa"/>
            <w:shd w:val="clear" w:color="auto" w:fill="auto"/>
          </w:tcPr>
          <w:p w:rsidR="000458FE" w:rsidRDefault="000458FE" w:rsidP="00576952">
            <w:pPr>
              <w:pStyle w:val="IEEEStdsTableData-Left"/>
            </w:pPr>
            <w:r w:rsidRPr="002F52D4">
              <w:rPr>
                <w:spacing w:val="-8"/>
                <w:w w:val="110"/>
              </w:rPr>
              <w:t>IEEE 802.21 IEs</w:t>
            </w:r>
          </w:p>
        </w:tc>
        <w:tc>
          <w:tcPr>
            <w:tcW w:w="3886" w:type="dxa"/>
            <w:shd w:val="clear" w:color="auto" w:fill="auto"/>
          </w:tcPr>
          <w:p w:rsidR="000458FE" w:rsidRPr="00F130EA" w:rsidRDefault="000458FE" w:rsidP="00576952">
            <w:pPr>
              <w:pStyle w:val="IEEEStdsTableData-Left"/>
              <w:rPr>
                <w:szCs w:val="18"/>
              </w:rPr>
            </w:pPr>
            <w:r w:rsidRPr="00F130EA">
              <w:rPr>
                <w:w w:val="110"/>
                <w:szCs w:val="18"/>
              </w:rPr>
              <w:t>Used for IEEE 802.21 defined IEs. The cur</w:t>
            </w:r>
            <w:r w:rsidRPr="00F130EA">
              <w:rPr>
                <w:w w:val="110"/>
                <w:szCs w:val="18"/>
              </w:rPr>
              <w:softHyphen/>
              <w:t xml:space="preserve">rently defined IEEE 802.21 IEs are listed in </w:t>
            </w:r>
            <w:r w:rsidRPr="001A3491">
              <w:rPr>
                <w:spacing w:val="-8"/>
                <w:w w:val="105"/>
                <w:szCs w:val="18"/>
              </w:rPr>
              <w:fldChar w:fldCharType="begin"/>
            </w:r>
            <w:r w:rsidRPr="001A3491">
              <w:rPr>
                <w:spacing w:val="-8"/>
                <w:w w:val="105"/>
                <w:szCs w:val="18"/>
              </w:rPr>
              <w:instrText xml:space="preserve"> REF _Ref417558843 \h </w:instrText>
            </w:r>
            <w:r>
              <w:rPr>
                <w:spacing w:val="-8"/>
                <w:w w:val="105"/>
                <w:szCs w:val="18"/>
              </w:rPr>
              <w:instrText xml:space="preserve"> \* MERGEFORMAT </w:instrText>
            </w:r>
            <w:r w:rsidRPr="001A3491">
              <w:rPr>
                <w:spacing w:val="-8"/>
                <w:w w:val="105"/>
                <w:szCs w:val="18"/>
              </w:rPr>
            </w:r>
            <w:r w:rsidRPr="001A3491">
              <w:rPr>
                <w:spacing w:val="-8"/>
                <w:w w:val="105"/>
                <w:szCs w:val="18"/>
              </w:rPr>
              <w:fldChar w:fldCharType="separate"/>
            </w:r>
            <w:r w:rsidRPr="00697BCB">
              <w:rPr>
                <w:szCs w:val="18"/>
              </w:rPr>
              <w:t xml:space="preserve">Table </w:t>
            </w:r>
            <w:r w:rsidRPr="002D5095">
              <w:rPr>
                <w:noProof/>
                <w:szCs w:val="18"/>
              </w:rPr>
              <w:t>F</w:t>
            </w:r>
            <w:r w:rsidRPr="002D5095">
              <w:rPr>
                <w:szCs w:val="18"/>
              </w:rPr>
              <w:t>.</w:t>
            </w:r>
            <w:r w:rsidRPr="002D5095">
              <w:rPr>
                <w:noProof/>
                <w:szCs w:val="18"/>
              </w:rPr>
              <w:t>1</w:t>
            </w:r>
            <w:r w:rsidRPr="001A3491">
              <w:rPr>
                <w:spacing w:val="-8"/>
                <w:w w:val="105"/>
                <w:szCs w:val="18"/>
              </w:rPr>
              <w:fldChar w:fldCharType="end"/>
            </w:r>
            <w:r w:rsidRPr="00F130EA">
              <w:rPr>
                <w:spacing w:val="-8"/>
                <w:w w:val="110"/>
                <w:szCs w:val="18"/>
              </w:rPr>
              <w:t xml:space="preserve"> in </w:t>
            </w:r>
            <w:r w:rsidRPr="00F130EA">
              <w:rPr>
                <w:spacing w:val="-8"/>
                <w:w w:val="110"/>
                <w:szCs w:val="18"/>
              </w:rPr>
              <w:fldChar w:fldCharType="begin"/>
            </w:r>
            <w:r w:rsidRPr="00F130EA">
              <w:rPr>
                <w:spacing w:val="-8"/>
                <w:w w:val="110"/>
                <w:szCs w:val="18"/>
              </w:rPr>
              <w:instrText xml:space="preserve"> REF _Ref435785590 \r \h </w:instrText>
            </w:r>
            <w:r>
              <w:rPr>
                <w:spacing w:val="-8"/>
                <w:w w:val="110"/>
                <w:szCs w:val="18"/>
              </w:rPr>
              <w:instrText xml:space="preserve"> \* MERGEFORMAT </w:instrText>
            </w:r>
            <w:r w:rsidRPr="00F130EA">
              <w:rPr>
                <w:spacing w:val="-8"/>
                <w:w w:val="110"/>
                <w:szCs w:val="18"/>
              </w:rPr>
            </w:r>
            <w:r w:rsidRPr="00F130EA">
              <w:rPr>
                <w:spacing w:val="-8"/>
                <w:w w:val="110"/>
                <w:szCs w:val="18"/>
              </w:rPr>
              <w:fldChar w:fldCharType="separate"/>
            </w:r>
            <w:r>
              <w:rPr>
                <w:spacing w:val="-8"/>
                <w:w w:val="110"/>
                <w:szCs w:val="18"/>
              </w:rPr>
              <w:t>Annex F</w:t>
            </w:r>
            <w:r w:rsidRPr="00F130EA">
              <w:rPr>
                <w:spacing w:val="-8"/>
                <w:w w:val="110"/>
                <w:szCs w:val="18"/>
              </w:rPr>
              <w:fldChar w:fldCharType="end"/>
            </w:r>
            <w:r w:rsidRPr="00F130EA">
              <w:rPr>
                <w:spacing w:val="-8"/>
                <w:w w:val="110"/>
                <w:szCs w:val="18"/>
              </w:rPr>
              <w:t>.</w:t>
            </w:r>
          </w:p>
        </w:tc>
      </w:tr>
      <w:tr w:rsidR="000458FE" w:rsidTr="00576952">
        <w:tc>
          <w:tcPr>
            <w:tcW w:w="2801" w:type="dxa"/>
            <w:shd w:val="clear" w:color="auto" w:fill="auto"/>
          </w:tcPr>
          <w:p w:rsidR="000458FE" w:rsidRDefault="000458FE" w:rsidP="00576952">
            <w:pPr>
              <w:pStyle w:val="IEEEStdsTableData-Left"/>
            </w:pPr>
            <w:r w:rsidRPr="002F52D4">
              <w:rPr>
                <w:w w:val="110"/>
              </w:rPr>
              <w:t>0x20000000–0x7FFFFFFF</w:t>
            </w:r>
          </w:p>
        </w:tc>
        <w:tc>
          <w:tcPr>
            <w:tcW w:w="2409" w:type="dxa"/>
            <w:shd w:val="clear" w:color="auto" w:fill="auto"/>
          </w:tcPr>
          <w:p w:rsidR="000458FE" w:rsidRDefault="000458FE" w:rsidP="00576952">
            <w:pPr>
              <w:pStyle w:val="IEEEStdsTableData-Left"/>
            </w:pPr>
            <w:r w:rsidRPr="002F52D4">
              <w:rPr>
                <w:spacing w:val="-8"/>
                <w:w w:val="110"/>
              </w:rPr>
              <w:t>Vendor specific IEs</w:t>
            </w:r>
          </w:p>
        </w:tc>
        <w:tc>
          <w:tcPr>
            <w:tcW w:w="3886" w:type="dxa"/>
            <w:shd w:val="clear" w:color="auto" w:fill="auto"/>
          </w:tcPr>
          <w:p w:rsidR="000458FE" w:rsidRPr="00F130EA" w:rsidRDefault="000458FE" w:rsidP="00576952">
            <w:pPr>
              <w:pStyle w:val="IEEEStdsTableData-Left"/>
              <w:rPr>
                <w:spacing w:val="-7"/>
                <w:w w:val="110"/>
                <w:szCs w:val="18"/>
              </w:rPr>
            </w:pPr>
            <w:r w:rsidRPr="00F130EA">
              <w:rPr>
                <w:spacing w:val="-7"/>
                <w:w w:val="110"/>
                <w:szCs w:val="18"/>
              </w:rPr>
              <w:t>Used for IEs defined by vendors.</w:t>
            </w:r>
          </w:p>
          <w:p w:rsidR="000458FE" w:rsidRPr="00F130EA" w:rsidRDefault="000458FE" w:rsidP="00635A53">
            <w:pPr>
              <w:pStyle w:val="IEEEStdsTableData-Left"/>
              <w:rPr>
                <w:szCs w:val="18"/>
              </w:rPr>
            </w:pPr>
            <w:r w:rsidRPr="00F130EA">
              <w:rPr>
                <w:spacing w:val="-7"/>
                <w:w w:val="110"/>
                <w:szCs w:val="18"/>
              </w:rPr>
              <w:t xml:space="preserve">To prevent vendor specific IE collisions, the </w:t>
            </w:r>
            <w:r w:rsidRPr="00F130EA">
              <w:rPr>
                <w:spacing w:val="-9"/>
                <w:w w:val="110"/>
                <w:szCs w:val="18"/>
              </w:rPr>
              <w:t xml:space="preserve">2nd, 3rd, and 4th octet are filled with the value </w:t>
            </w:r>
            <w:r w:rsidRPr="00F130EA">
              <w:rPr>
                <w:w w:val="110"/>
                <w:szCs w:val="18"/>
              </w:rPr>
              <w:t xml:space="preserve">of the vendor’s IEEE organizationally unique </w:t>
            </w:r>
            <w:r w:rsidRPr="00F130EA">
              <w:rPr>
                <w:spacing w:val="-7"/>
                <w:w w:val="110"/>
                <w:szCs w:val="18"/>
              </w:rPr>
              <w:t>identifier (</w:t>
            </w:r>
            <w:proofErr w:type="spellStart"/>
            <w:r w:rsidRPr="00F130EA">
              <w:rPr>
                <w:spacing w:val="-7"/>
                <w:w w:val="110"/>
                <w:szCs w:val="18"/>
              </w:rPr>
              <w:t>OUI</w:t>
            </w:r>
            <w:r w:rsidRPr="000458FE">
              <w:rPr>
                <w:color w:val="FF0000"/>
                <w:spacing w:val="-7"/>
                <w:w w:val="110"/>
                <w:szCs w:val="18"/>
                <w:vertAlign w:val="superscript"/>
              </w:rPr>
              <w:t>a</w:t>
            </w:r>
            <w:proofErr w:type="spellEnd"/>
            <w:r w:rsidRPr="00F130EA">
              <w:rPr>
                <w:spacing w:val="-7"/>
                <w:w w:val="110"/>
                <w:szCs w:val="18"/>
              </w:rPr>
              <w:t>)</w:t>
            </w:r>
            <w:r>
              <w:rPr>
                <w:spacing w:val="-7"/>
                <w:w w:val="110"/>
                <w:szCs w:val="18"/>
              </w:rPr>
              <w:t xml:space="preserve"> </w:t>
            </w:r>
            <w:r w:rsidR="00635A53">
              <w:rPr>
                <w:color w:val="FF0000"/>
                <w:spacing w:val="-7"/>
                <w:w w:val="110"/>
                <w:szCs w:val="18"/>
              </w:rPr>
              <w:t>or C</w:t>
            </w:r>
            <w:r w:rsidRPr="000458FE">
              <w:rPr>
                <w:color w:val="FF0000"/>
                <w:spacing w:val="-7"/>
                <w:w w:val="110"/>
                <w:szCs w:val="18"/>
              </w:rPr>
              <w:t xml:space="preserve">ompany </w:t>
            </w:r>
            <w:r w:rsidR="00635A53">
              <w:rPr>
                <w:color w:val="FF0000"/>
                <w:spacing w:val="-7"/>
                <w:w w:val="110"/>
                <w:szCs w:val="18"/>
              </w:rPr>
              <w:t>ID</w:t>
            </w:r>
            <w:r w:rsidRPr="000458FE">
              <w:rPr>
                <w:color w:val="FF0000"/>
                <w:spacing w:val="-7"/>
                <w:w w:val="110"/>
                <w:szCs w:val="18"/>
              </w:rPr>
              <w:t xml:space="preserve"> (</w:t>
            </w:r>
            <w:proofErr w:type="spellStart"/>
            <w:r w:rsidRPr="000458FE">
              <w:rPr>
                <w:color w:val="FF0000"/>
                <w:spacing w:val="-7"/>
                <w:w w:val="110"/>
                <w:szCs w:val="18"/>
              </w:rPr>
              <w:t>CID</w:t>
            </w:r>
            <w:r w:rsidRPr="000458FE">
              <w:rPr>
                <w:color w:val="FF0000"/>
                <w:spacing w:val="-7"/>
                <w:w w:val="110"/>
                <w:szCs w:val="18"/>
                <w:vertAlign w:val="superscript"/>
              </w:rPr>
              <w:t>a</w:t>
            </w:r>
            <w:proofErr w:type="spellEnd"/>
            <w:r w:rsidRPr="000458FE">
              <w:rPr>
                <w:color w:val="FF0000"/>
                <w:spacing w:val="-7"/>
                <w:w w:val="110"/>
                <w:szCs w:val="18"/>
              </w:rPr>
              <w:t>)</w:t>
            </w:r>
            <w:r w:rsidRPr="00F130EA">
              <w:rPr>
                <w:spacing w:val="-7"/>
                <w:w w:val="110"/>
                <w:szCs w:val="18"/>
              </w:rPr>
              <w:t xml:space="preserve">. For example, if a vendor’s </w:t>
            </w:r>
            <w:r w:rsidRPr="00F130EA">
              <w:rPr>
                <w:spacing w:val="-12"/>
                <w:w w:val="110"/>
                <w:szCs w:val="18"/>
              </w:rPr>
              <w:t xml:space="preserve">IEEE OUI is 00-03-3F, then its corresponding </w:t>
            </w:r>
            <w:r w:rsidRPr="00F130EA">
              <w:rPr>
                <w:w w:val="110"/>
                <w:szCs w:val="18"/>
              </w:rPr>
              <w:t>Vendor Specific IE range would be 0x2000033F–0x7F00033F.</w:t>
            </w:r>
          </w:p>
        </w:tc>
      </w:tr>
      <w:tr w:rsidR="000458FE" w:rsidTr="00576952">
        <w:tc>
          <w:tcPr>
            <w:tcW w:w="2801" w:type="dxa"/>
            <w:shd w:val="clear" w:color="auto" w:fill="auto"/>
          </w:tcPr>
          <w:p w:rsidR="000458FE" w:rsidRDefault="000458FE" w:rsidP="00576952">
            <w:pPr>
              <w:pStyle w:val="IEEEStdsTableData-Left"/>
            </w:pPr>
            <w:r w:rsidRPr="002F52D4">
              <w:rPr>
                <w:w w:val="110"/>
              </w:rPr>
              <w:t>0x80000000–0x82FFFFFF</w:t>
            </w:r>
          </w:p>
        </w:tc>
        <w:tc>
          <w:tcPr>
            <w:tcW w:w="2409" w:type="dxa"/>
            <w:shd w:val="clear" w:color="auto" w:fill="auto"/>
          </w:tcPr>
          <w:p w:rsidR="000458FE" w:rsidRDefault="000458FE" w:rsidP="00576952">
            <w:pPr>
              <w:pStyle w:val="IEEEStdsTableData-Left"/>
            </w:pPr>
            <w:r w:rsidRPr="002F52D4">
              <w:rPr>
                <w:spacing w:val="-6"/>
                <w:w w:val="110"/>
              </w:rPr>
              <w:t>Reserved for playpen area.</w:t>
            </w:r>
          </w:p>
        </w:tc>
        <w:tc>
          <w:tcPr>
            <w:tcW w:w="3886" w:type="dxa"/>
            <w:shd w:val="clear" w:color="auto" w:fill="auto"/>
          </w:tcPr>
          <w:p w:rsidR="000458FE" w:rsidRPr="00F130EA" w:rsidRDefault="000458FE" w:rsidP="00576952">
            <w:pPr>
              <w:pStyle w:val="IEEEStdsTableData-Left"/>
              <w:rPr>
                <w:szCs w:val="18"/>
              </w:rPr>
            </w:pPr>
            <w:r w:rsidRPr="00F130EA">
              <w:rPr>
                <w:spacing w:val="-8"/>
                <w:w w:val="110"/>
                <w:szCs w:val="18"/>
              </w:rPr>
              <w:t xml:space="preserve">Used in development and testing. Should not </w:t>
            </w:r>
            <w:r w:rsidRPr="00F130EA">
              <w:rPr>
                <w:spacing w:val="-12"/>
                <w:w w:val="110"/>
                <w:szCs w:val="18"/>
              </w:rPr>
              <w:t xml:space="preserve">be used in released products. Avoids collision </w:t>
            </w:r>
            <w:r w:rsidRPr="00F130EA">
              <w:rPr>
                <w:spacing w:val="-8"/>
                <w:w w:val="110"/>
                <w:szCs w:val="18"/>
              </w:rPr>
              <w:t>during development.</w:t>
            </w:r>
          </w:p>
        </w:tc>
      </w:tr>
      <w:tr w:rsidR="000458FE" w:rsidTr="00576952">
        <w:tc>
          <w:tcPr>
            <w:tcW w:w="2801" w:type="dxa"/>
            <w:shd w:val="clear" w:color="auto" w:fill="auto"/>
            <w:vAlign w:val="center"/>
          </w:tcPr>
          <w:p w:rsidR="000458FE" w:rsidRDefault="000458FE" w:rsidP="00576952">
            <w:pPr>
              <w:pStyle w:val="IEEEStdsTableData-Left"/>
            </w:pPr>
            <w:r w:rsidRPr="002F52D4">
              <w:rPr>
                <w:w w:val="110"/>
              </w:rPr>
              <w:t>0x83000000–0xFFFFFFFF</w:t>
            </w:r>
          </w:p>
        </w:tc>
        <w:tc>
          <w:tcPr>
            <w:tcW w:w="2409" w:type="dxa"/>
            <w:shd w:val="clear" w:color="auto" w:fill="auto"/>
            <w:vAlign w:val="center"/>
          </w:tcPr>
          <w:p w:rsidR="000458FE" w:rsidRDefault="000458FE" w:rsidP="00576952">
            <w:pPr>
              <w:pStyle w:val="IEEEStdsTableData-Left"/>
            </w:pPr>
            <w:r w:rsidRPr="002F52D4">
              <w:rPr>
                <w:w w:val="110"/>
              </w:rPr>
              <w:t>Reserved</w:t>
            </w:r>
          </w:p>
        </w:tc>
        <w:tc>
          <w:tcPr>
            <w:tcW w:w="3886" w:type="dxa"/>
            <w:shd w:val="clear" w:color="auto" w:fill="auto"/>
            <w:vAlign w:val="center"/>
          </w:tcPr>
          <w:p w:rsidR="000458FE" w:rsidRPr="00F130EA" w:rsidRDefault="000458FE" w:rsidP="00576952">
            <w:pPr>
              <w:pStyle w:val="IEEEStdsTableData-Left"/>
              <w:rPr>
                <w:szCs w:val="18"/>
              </w:rPr>
            </w:pPr>
            <w:r w:rsidRPr="00F130EA">
              <w:rPr>
                <w:spacing w:val="-6"/>
                <w:w w:val="110"/>
                <w:szCs w:val="18"/>
              </w:rPr>
              <w:t>For future use.</w:t>
            </w:r>
          </w:p>
        </w:tc>
      </w:tr>
    </w:tbl>
    <w:p w:rsidR="000458FE" w:rsidRPr="000458FE" w:rsidRDefault="000458FE" w:rsidP="000458FE">
      <w:pPr>
        <w:spacing w:line="266" w:lineRule="auto"/>
        <w:ind w:left="144"/>
        <w:rPr>
          <w:color w:val="FF0000"/>
          <w:spacing w:val="-7"/>
          <w:w w:val="110"/>
          <w:sz w:val="18"/>
          <w:szCs w:val="18"/>
        </w:rPr>
      </w:pPr>
      <w:proofErr w:type="spellStart"/>
      <w:proofErr w:type="gramStart"/>
      <w:r w:rsidRPr="000458FE">
        <w:rPr>
          <w:color w:val="FF0000"/>
          <w:spacing w:val="-7"/>
          <w:w w:val="110"/>
          <w:sz w:val="15"/>
          <w:szCs w:val="15"/>
          <w:vertAlign w:val="superscript"/>
        </w:rPr>
        <w:t>a</w:t>
      </w:r>
      <w:proofErr w:type="spellEnd"/>
      <w:proofErr w:type="gramEnd"/>
      <w:r w:rsidRPr="000458FE">
        <w:rPr>
          <w:color w:val="FF0000"/>
        </w:rPr>
        <w:t xml:space="preserve"> </w:t>
      </w:r>
      <w:r w:rsidRPr="000458FE">
        <w:rPr>
          <w:color w:val="FF0000"/>
          <w:spacing w:val="-7"/>
          <w:w w:val="110"/>
          <w:sz w:val="18"/>
          <w:szCs w:val="18"/>
        </w:rPr>
        <w:t>Interested applicants should contact the IEEE Registration Authority,  http://standards.ieee.org/regauth .</w:t>
      </w:r>
    </w:p>
    <w:p w:rsidR="000458FE" w:rsidRDefault="000458FE" w:rsidP="00E2708B">
      <w:pPr>
        <w:pStyle w:val="IEEEStdsParagraph"/>
      </w:pPr>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bookmarkStart w:id="12" w:name="_Toc417468248"/>
      <w:bookmarkStart w:id="13" w:name="_Toc417565756"/>
      <w:bookmarkStart w:id="14" w:name="_Toc437873492"/>
      <w:bookmarkStart w:id="15" w:name="_Toc445967355"/>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rsidR="000458FE" w:rsidRDefault="000458FE" w:rsidP="000458FE">
      <w:pPr>
        <w:pStyle w:val="IEEEStdsLevel2Header"/>
      </w:pPr>
      <w:r>
        <w:t>Message parameter TLV encoding</w:t>
      </w:r>
      <w:bookmarkEnd w:id="12"/>
      <w:bookmarkEnd w:id="13"/>
      <w:bookmarkEnd w:id="14"/>
      <w:bookmarkEnd w:id="15"/>
    </w:p>
    <w:p w:rsidR="000458FE" w:rsidRDefault="000458FE" w:rsidP="000458FE">
      <w:pPr>
        <w:pStyle w:val="IEEEStdsParagraph"/>
      </w:pPr>
      <w:r>
        <w:t xml:space="preserve">The following general TLV encoding shown in </w:t>
      </w:r>
      <w:r>
        <w:fldChar w:fldCharType="begin"/>
      </w:r>
      <w:r>
        <w:instrText xml:space="preserve"> REF _Ref437870383 \h </w:instrText>
      </w:r>
      <w:r>
        <w:fldChar w:fldCharType="separate"/>
      </w:r>
      <w:r>
        <w:t xml:space="preserve">Figure </w:t>
      </w:r>
      <w:r>
        <w:rPr>
          <w:noProof/>
        </w:rPr>
        <w:t>38</w:t>
      </w:r>
      <w:r>
        <w:fldChar w:fldCharType="end"/>
      </w:r>
      <w:r>
        <w:t xml:space="preserve"> shall be used for all parameters in an MIS protocol message.</w:t>
      </w:r>
    </w:p>
    <w:tbl>
      <w:tblPr>
        <w:tblW w:w="0" w:type="auto"/>
        <w:tblInd w:w="817" w:type="dxa"/>
        <w:tblLayout w:type="fixed"/>
        <w:tblCellMar>
          <w:left w:w="0" w:type="dxa"/>
          <w:right w:w="0" w:type="dxa"/>
        </w:tblCellMar>
        <w:tblLook w:val="0000" w:firstRow="0" w:lastRow="0" w:firstColumn="0" w:lastColumn="0" w:noHBand="0" w:noVBand="0"/>
      </w:tblPr>
      <w:tblGrid>
        <w:gridCol w:w="2232"/>
        <w:gridCol w:w="2752"/>
        <w:gridCol w:w="2499"/>
      </w:tblGrid>
      <w:tr w:rsidR="000458FE" w:rsidRPr="00B74797" w:rsidTr="000458FE">
        <w:trPr>
          <w:trHeight w:hRule="exact" w:val="740"/>
        </w:trPr>
        <w:tc>
          <w:tcPr>
            <w:tcW w:w="223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36"/>
              <w:ind w:left="913"/>
              <w:rPr>
                <w:rFonts w:ascii="Arial" w:hAnsi="Arial" w:cs="Arial"/>
                <w:sz w:val="16"/>
                <w:szCs w:val="16"/>
              </w:rPr>
            </w:pPr>
            <w:r w:rsidRPr="00B74797">
              <w:rPr>
                <w:rFonts w:ascii="Arial" w:hAnsi="Arial" w:cs="Arial"/>
                <w:sz w:val="16"/>
                <w:szCs w:val="16"/>
              </w:rPr>
              <w:t>Type</w:t>
            </w:r>
          </w:p>
          <w:p w:rsidR="000458FE" w:rsidRPr="00B74797" w:rsidRDefault="000458FE" w:rsidP="00576952">
            <w:pPr>
              <w:jc w:val="center"/>
              <w:rPr>
                <w:rFonts w:ascii="Arial" w:hAnsi="Arial" w:cs="Arial"/>
                <w:sz w:val="16"/>
                <w:szCs w:val="16"/>
              </w:rPr>
            </w:pPr>
            <w:r w:rsidRPr="00B74797">
              <w:rPr>
                <w:rFonts w:ascii="Arial" w:hAnsi="Arial" w:cs="Arial"/>
                <w:sz w:val="16"/>
                <w:szCs w:val="16"/>
              </w:rPr>
              <w:t>(1 octet)</w:t>
            </w:r>
          </w:p>
        </w:tc>
        <w:tc>
          <w:tcPr>
            <w:tcW w:w="275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36" w:line="290" w:lineRule="auto"/>
              <w:jc w:val="center"/>
              <w:rPr>
                <w:rFonts w:ascii="Arial" w:hAnsi="Arial" w:cs="Arial"/>
                <w:sz w:val="16"/>
                <w:szCs w:val="16"/>
              </w:rPr>
            </w:pPr>
            <w:r w:rsidRPr="00B74797">
              <w:rPr>
                <w:rFonts w:ascii="Arial" w:hAnsi="Arial" w:cs="Arial"/>
                <w:sz w:val="16"/>
                <w:szCs w:val="16"/>
              </w:rPr>
              <w:t>Length</w:t>
            </w:r>
            <w:r w:rsidRPr="00B74797">
              <w:rPr>
                <w:rFonts w:ascii="Arial" w:hAnsi="Arial" w:cs="Arial"/>
                <w:sz w:val="16"/>
                <w:szCs w:val="16"/>
              </w:rPr>
              <w:br/>
              <w:t>(variable octets)</w:t>
            </w:r>
          </w:p>
        </w:tc>
        <w:tc>
          <w:tcPr>
            <w:tcW w:w="2499"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36" w:line="290" w:lineRule="auto"/>
              <w:jc w:val="center"/>
              <w:rPr>
                <w:rFonts w:ascii="Arial" w:hAnsi="Arial" w:cs="Arial"/>
                <w:sz w:val="16"/>
                <w:szCs w:val="16"/>
              </w:rPr>
            </w:pPr>
            <w:r w:rsidRPr="00B74797">
              <w:rPr>
                <w:rFonts w:ascii="Arial" w:hAnsi="Arial" w:cs="Arial"/>
                <w:sz w:val="16"/>
                <w:szCs w:val="16"/>
              </w:rPr>
              <w:t>Value</w:t>
            </w:r>
            <w:r w:rsidRPr="00B74797">
              <w:rPr>
                <w:rFonts w:ascii="Arial" w:hAnsi="Arial" w:cs="Arial"/>
                <w:sz w:val="16"/>
                <w:szCs w:val="16"/>
              </w:rPr>
              <w:br/>
              <w:t>(variable octets)</w:t>
            </w:r>
          </w:p>
        </w:tc>
      </w:tr>
      <w:tr w:rsidR="000458FE" w:rsidRPr="00B74797" w:rsidTr="000458FE">
        <w:trPr>
          <w:trHeight w:hRule="exact" w:val="662"/>
        </w:trPr>
        <w:tc>
          <w:tcPr>
            <w:tcW w:w="223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144"/>
              <w:jc w:val="center"/>
              <w:rPr>
                <w:rFonts w:ascii="Arial" w:hAnsi="Arial" w:cs="Arial"/>
                <w:sz w:val="16"/>
                <w:szCs w:val="16"/>
              </w:rPr>
            </w:pPr>
            <w:r w:rsidRPr="00B74797">
              <w:rPr>
                <w:rFonts w:ascii="Arial" w:hAnsi="Arial" w:cs="Arial"/>
                <w:sz w:val="16"/>
                <w:szCs w:val="16"/>
              </w:rPr>
              <w:t>Type of this parameter</w:t>
            </w:r>
          </w:p>
        </w:tc>
        <w:tc>
          <w:tcPr>
            <w:tcW w:w="2752" w:type="dxa"/>
            <w:tcBorders>
              <w:top w:val="single" w:sz="9" w:space="0" w:color="auto"/>
              <w:left w:val="single" w:sz="9" w:space="0" w:color="auto"/>
              <w:bottom w:val="single" w:sz="9" w:space="0" w:color="auto"/>
              <w:right w:val="single" w:sz="9" w:space="0" w:color="auto"/>
            </w:tcBorders>
          </w:tcPr>
          <w:p w:rsidR="000458FE" w:rsidRPr="00B74797" w:rsidRDefault="000458FE" w:rsidP="00576952">
            <w:pPr>
              <w:spacing w:before="216"/>
              <w:ind w:left="144" w:right="252"/>
              <w:rPr>
                <w:rFonts w:ascii="Arial" w:hAnsi="Arial" w:cs="Arial"/>
                <w:sz w:val="16"/>
                <w:szCs w:val="16"/>
              </w:rPr>
            </w:pPr>
            <w:r w:rsidRPr="00B74797">
              <w:rPr>
                <w:rFonts w:ascii="Arial" w:hAnsi="Arial" w:cs="Arial"/>
                <w:spacing w:val="-2"/>
                <w:sz w:val="16"/>
                <w:szCs w:val="16"/>
              </w:rPr>
              <w:t xml:space="preserve">Length of the </w:t>
            </w:r>
            <w:r w:rsidRPr="00B74797">
              <w:rPr>
                <w:rFonts w:ascii="Arial" w:hAnsi="Arial" w:cs="Arial"/>
                <w:i/>
                <w:iCs/>
                <w:spacing w:val="-2"/>
                <w:w w:val="105"/>
                <w:sz w:val="16"/>
                <w:szCs w:val="16"/>
              </w:rPr>
              <w:t>value</w:t>
            </w:r>
            <w:r w:rsidRPr="00B74797">
              <w:rPr>
                <w:rFonts w:ascii="Arial" w:hAnsi="Arial" w:cs="Arial"/>
                <w:spacing w:val="-2"/>
                <w:sz w:val="16"/>
                <w:szCs w:val="16"/>
              </w:rPr>
              <w:t xml:space="preserve"> field </w:t>
            </w:r>
            <w:r w:rsidRPr="00B74797">
              <w:rPr>
                <w:rFonts w:ascii="Arial" w:hAnsi="Arial" w:cs="Arial"/>
                <w:sz w:val="16"/>
                <w:szCs w:val="16"/>
              </w:rPr>
              <w:t>of this parameter</w:t>
            </w:r>
          </w:p>
        </w:tc>
        <w:tc>
          <w:tcPr>
            <w:tcW w:w="2499" w:type="dxa"/>
            <w:tcBorders>
              <w:top w:val="single" w:sz="9" w:space="0" w:color="auto"/>
              <w:left w:val="single" w:sz="9" w:space="0" w:color="auto"/>
              <w:bottom w:val="single" w:sz="9" w:space="0" w:color="auto"/>
              <w:right w:val="single" w:sz="9" w:space="0" w:color="auto"/>
            </w:tcBorders>
            <w:vAlign w:val="center"/>
          </w:tcPr>
          <w:p w:rsidR="000458FE" w:rsidRPr="00B74797" w:rsidRDefault="000458FE" w:rsidP="00576952">
            <w:pPr>
              <w:ind w:right="849"/>
              <w:jc w:val="right"/>
              <w:rPr>
                <w:rFonts w:ascii="Arial" w:hAnsi="Arial" w:cs="Arial"/>
                <w:sz w:val="16"/>
                <w:szCs w:val="16"/>
              </w:rPr>
            </w:pPr>
            <w:r w:rsidRPr="00B74797">
              <w:rPr>
                <w:rFonts w:ascii="Arial" w:hAnsi="Arial" w:cs="Arial"/>
                <w:sz w:val="16"/>
                <w:szCs w:val="16"/>
              </w:rPr>
              <w:t>Value of this parameter</w:t>
            </w:r>
          </w:p>
        </w:tc>
      </w:tr>
    </w:tbl>
    <w:p w:rsidR="000458FE" w:rsidRDefault="000458FE" w:rsidP="000458FE">
      <w:pPr>
        <w:pStyle w:val="ae"/>
      </w:pPr>
      <w:bookmarkStart w:id="16" w:name="_Ref437870383"/>
      <w:bookmarkStart w:id="17" w:name="_Ref417562500"/>
      <w:bookmarkStart w:id="18" w:name="_Toc417567163"/>
      <w:bookmarkStart w:id="19" w:name="_Toc444181470"/>
      <w:r>
        <w:t xml:space="preserve">Figure </w:t>
      </w:r>
      <w:fldSimple w:instr=" SEQ Figure \* ARABIC ">
        <w:r>
          <w:rPr>
            <w:noProof/>
          </w:rPr>
          <w:t>38</w:t>
        </w:r>
      </w:fldSimple>
      <w:bookmarkEnd w:id="16"/>
      <w:r>
        <w:t>—Message parameter TLV encoding</w:t>
      </w:r>
      <w:bookmarkEnd w:id="17"/>
      <w:bookmarkEnd w:id="18"/>
      <w:bookmarkEnd w:id="19"/>
    </w:p>
    <w:p w:rsidR="000458FE" w:rsidRDefault="000458FE" w:rsidP="000458FE">
      <w:pPr>
        <w:pStyle w:val="IEEEStdsParagraph"/>
        <w:spacing w:before="240"/>
        <w:rPr>
          <w:w w:val="105"/>
        </w:rPr>
      </w:pPr>
      <w:r>
        <w:rPr>
          <w:w w:val="105"/>
        </w:rPr>
        <w:lastRenderedPageBreak/>
        <w:t xml:space="preserve">Specifically, the </w:t>
      </w:r>
      <w:r>
        <w:rPr>
          <w:i/>
          <w:iCs/>
          <w:w w:val="105"/>
        </w:rPr>
        <w:t>Type</w:t>
      </w:r>
      <w:r>
        <w:rPr>
          <w:w w:val="105"/>
        </w:rPr>
        <w:t xml:space="preserve"> field is one octet</w:t>
      </w:r>
      <w:r>
        <w:rPr>
          <w:rStyle w:val="af"/>
          <w:w w:val="105"/>
        </w:rPr>
        <w:footnoteReference w:id="1"/>
      </w:r>
      <w:r>
        <w:rPr>
          <w:w w:val="105"/>
        </w:rPr>
        <w:t xml:space="preserve">, and the </w:t>
      </w:r>
      <w:r>
        <w:rPr>
          <w:i/>
          <w:iCs/>
          <w:w w:val="105"/>
        </w:rPr>
        <w:t>Length</w:t>
      </w:r>
      <w:r>
        <w:rPr>
          <w:w w:val="105"/>
        </w:rPr>
        <w:t xml:space="preserve"> shall be encoded with the rules described in </w:t>
      </w:r>
      <w:r>
        <w:rPr>
          <w:w w:val="105"/>
        </w:rPr>
        <w:fldChar w:fldCharType="begin"/>
      </w:r>
      <w:r>
        <w:rPr>
          <w:w w:val="105"/>
        </w:rPr>
        <w:instrText xml:space="preserve"> REF _Ref416340134 \r \h </w:instrText>
      </w:r>
      <w:r>
        <w:rPr>
          <w:w w:val="105"/>
        </w:rPr>
      </w:r>
      <w:r>
        <w:rPr>
          <w:w w:val="105"/>
        </w:rPr>
        <w:fldChar w:fldCharType="separate"/>
      </w:r>
      <w:r>
        <w:rPr>
          <w:w w:val="105"/>
        </w:rPr>
        <w:t>6.5.6.2</w:t>
      </w:r>
      <w:r>
        <w:rPr>
          <w:w w:val="105"/>
        </w:rPr>
        <w:fldChar w:fldCharType="end"/>
      </w:r>
      <w:r>
        <w:rPr>
          <w:w w:val="105"/>
        </w:rPr>
        <w:t>.</w:t>
      </w:r>
    </w:p>
    <w:p w:rsidR="000458FE" w:rsidRDefault="000458FE" w:rsidP="000458FE">
      <w:pPr>
        <w:pStyle w:val="IEEEStdsParagraph"/>
        <w:rPr>
          <w:spacing w:val="-4"/>
          <w:w w:val="105"/>
        </w:rPr>
      </w:pPr>
      <w:r>
        <w:rPr>
          <w:spacing w:val="-7"/>
          <w:w w:val="105"/>
        </w:rPr>
        <w:t xml:space="preserve">Moreover, TLV </w:t>
      </w:r>
      <w:r>
        <w:rPr>
          <w:i/>
          <w:iCs/>
          <w:spacing w:val="-7"/>
          <w:w w:val="105"/>
        </w:rPr>
        <w:t>Type</w:t>
      </w:r>
      <w:r>
        <w:rPr>
          <w:spacing w:val="-7"/>
          <w:w w:val="105"/>
        </w:rPr>
        <w:t xml:space="preserve"> values shall be unique within the MIS protocol. The TLV encoding starts at 1 and any </w:t>
      </w:r>
      <w:r>
        <w:rPr>
          <w:spacing w:val="-4"/>
          <w:w w:val="105"/>
        </w:rPr>
        <w:t xml:space="preserve">subsequent values are assigned in ascending order (see </w:t>
      </w:r>
      <w:r>
        <w:rPr>
          <w:spacing w:val="-4"/>
          <w:w w:val="105"/>
        </w:rPr>
        <w:fldChar w:fldCharType="begin"/>
      </w:r>
      <w:r>
        <w:rPr>
          <w:spacing w:val="-4"/>
          <w:w w:val="105"/>
        </w:rPr>
        <w:instrText xml:space="preserve"> REF _Ref435797346 \r \h </w:instrText>
      </w:r>
      <w:r>
        <w:rPr>
          <w:spacing w:val="-4"/>
          <w:w w:val="105"/>
        </w:rPr>
      </w:r>
      <w:r>
        <w:rPr>
          <w:spacing w:val="-4"/>
          <w:w w:val="105"/>
        </w:rPr>
        <w:fldChar w:fldCharType="separate"/>
      </w:r>
      <w:r>
        <w:rPr>
          <w:spacing w:val="-4"/>
          <w:w w:val="105"/>
        </w:rPr>
        <w:t>Annex K</w:t>
      </w:r>
      <w:r>
        <w:rPr>
          <w:spacing w:val="-4"/>
          <w:w w:val="105"/>
        </w:rPr>
        <w:fldChar w:fldCharType="end"/>
      </w:r>
      <w:r>
        <w:rPr>
          <w:spacing w:val="-4"/>
          <w:w w:val="105"/>
        </w:rPr>
        <w:t xml:space="preserve">, </w:t>
      </w:r>
      <w:r>
        <w:rPr>
          <w:spacing w:val="-4"/>
          <w:w w:val="105"/>
        </w:rPr>
        <w:fldChar w:fldCharType="begin"/>
      </w:r>
      <w:r>
        <w:rPr>
          <w:spacing w:val="-4"/>
          <w:w w:val="105"/>
        </w:rPr>
        <w:instrText xml:space="preserve"> REF _Ref417562456 \h </w:instrText>
      </w:r>
      <w:r>
        <w:rPr>
          <w:spacing w:val="-4"/>
          <w:w w:val="105"/>
        </w:rPr>
      </w:r>
      <w:r>
        <w:rPr>
          <w:spacing w:val="-4"/>
          <w:w w:val="105"/>
        </w:rPr>
        <w:fldChar w:fldCharType="separate"/>
      </w:r>
      <w:r>
        <w:t xml:space="preserve">Table </w:t>
      </w:r>
      <w:r>
        <w:rPr>
          <w:noProof/>
        </w:rPr>
        <w:t>K</w:t>
      </w:r>
      <w:r>
        <w:t>.</w:t>
      </w:r>
      <w:r>
        <w:rPr>
          <w:noProof/>
        </w:rPr>
        <w:t>2</w:t>
      </w:r>
      <w:r>
        <w:rPr>
          <w:spacing w:val="-4"/>
          <w:w w:val="105"/>
        </w:rPr>
        <w:fldChar w:fldCharType="end"/>
      </w:r>
      <w:r>
        <w:rPr>
          <w:spacing w:val="-4"/>
          <w:w w:val="105"/>
        </w:rPr>
        <w:t>).</w:t>
      </w:r>
    </w:p>
    <w:p w:rsidR="000458FE" w:rsidRDefault="000458FE" w:rsidP="000458FE">
      <w:pPr>
        <w:pStyle w:val="IEEEStdsParagraph"/>
        <w:rPr>
          <w:spacing w:val="-4"/>
          <w:w w:val="105"/>
        </w:rPr>
      </w:pPr>
      <w:r>
        <w:rPr>
          <w:spacing w:val="-4"/>
          <w:w w:val="105"/>
        </w:rPr>
        <w:t xml:space="preserve">The TLV encoding of the vendor specific TLV (type = 111) is shown in </w:t>
      </w:r>
      <w:r>
        <w:rPr>
          <w:spacing w:val="-4"/>
          <w:w w:val="105"/>
        </w:rPr>
        <w:fldChar w:fldCharType="begin"/>
      </w:r>
      <w:r>
        <w:rPr>
          <w:spacing w:val="-4"/>
          <w:w w:val="105"/>
        </w:rPr>
        <w:instrText xml:space="preserve"> REF _Ref437870395 \h </w:instrText>
      </w:r>
      <w:r>
        <w:rPr>
          <w:spacing w:val="-4"/>
          <w:w w:val="105"/>
        </w:rPr>
      </w:r>
      <w:r>
        <w:rPr>
          <w:spacing w:val="-4"/>
          <w:w w:val="105"/>
        </w:rPr>
        <w:fldChar w:fldCharType="separate"/>
      </w:r>
      <w:r>
        <w:t xml:space="preserve">Figure </w:t>
      </w:r>
      <w:r>
        <w:rPr>
          <w:noProof/>
        </w:rPr>
        <w:t>39</w:t>
      </w:r>
      <w:r>
        <w:rPr>
          <w:spacing w:val="-4"/>
          <w:w w:val="105"/>
        </w:rPr>
        <w:fldChar w:fldCharType="end"/>
      </w:r>
      <w:r>
        <w:rPr>
          <w:spacing w:val="-4"/>
          <w:w w:val="105"/>
        </w:rPr>
        <w:t>.</w:t>
      </w:r>
    </w:p>
    <w:bookmarkStart w:id="20" w:name="_MON_1510652261"/>
    <w:bookmarkEnd w:id="20"/>
    <w:p w:rsidR="000458FE" w:rsidRDefault="00635A53" w:rsidP="000458FE">
      <w:pPr>
        <w:pStyle w:val="IEEEStdsImage"/>
      </w:pPr>
      <w:r w:rsidRPr="00635A53">
        <w:object w:dxaOrig="8575"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76pt" o:ole="">
            <v:imagedata r:id="rId11" o:title=""/>
          </v:shape>
          <o:OLEObject Type="Embed" ProgID="Word.Document.12" ShapeID="_x0000_i1025" DrawAspect="Content" ObjectID="_1535295913" r:id="rId12">
            <o:FieldCodes>\s</o:FieldCodes>
          </o:OLEObject>
        </w:object>
      </w:r>
    </w:p>
    <w:p w:rsidR="000458FE" w:rsidRDefault="000458FE" w:rsidP="000458FE">
      <w:pPr>
        <w:pStyle w:val="ae"/>
      </w:pPr>
      <w:bookmarkStart w:id="21" w:name="_Ref437870395"/>
      <w:bookmarkStart w:id="22" w:name="_Ref417287283"/>
      <w:bookmarkStart w:id="23" w:name="_Toc417567164"/>
      <w:bookmarkStart w:id="24" w:name="_Toc444181471"/>
      <w:r>
        <w:t xml:space="preserve">Figure </w:t>
      </w:r>
      <w:fldSimple w:instr=" SEQ Figure \* ARABIC ">
        <w:r>
          <w:rPr>
            <w:noProof/>
          </w:rPr>
          <w:t>39</w:t>
        </w:r>
      </w:fldSimple>
      <w:bookmarkEnd w:id="21"/>
      <w:r>
        <w:t>—The TLV encoding for the vendor specific TLV (Type = 111)</w:t>
      </w:r>
      <w:bookmarkEnd w:id="22"/>
      <w:bookmarkEnd w:id="23"/>
      <w:bookmarkEnd w:id="24"/>
    </w:p>
    <w:p w:rsidR="000458FE" w:rsidRPr="000458FE" w:rsidRDefault="000458FE" w:rsidP="00E2708B">
      <w:pPr>
        <w:pStyle w:val="IEEEStdsParagraph"/>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bookmarkStart w:id="25" w:name="_Ref367098549"/>
      <w:bookmarkStart w:id="26" w:name="_Toc445967389"/>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6"/>
          <w:numId w:val="1"/>
        </w:numPr>
        <w:suppressAutoHyphens/>
        <w:spacing w:before="240" w:after="240"/>
        <w:ind w:leftChars="0"/>
        <w:jc w:val="left"/>
        <w:outlineLvl w:val="6"/>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bookmarkStart w:id="27" w:name="_Ref353985497"/>
      <w:bookmarkStart w:id="28" w:name="_Toc445967309"/>
      <w:bookmarkEnd w:id="25"/>
      <w:bookmarkEnd w:id="26"/>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bookmarkEnd w:id="0"/>
    <w:bookmarkEnd w:id="1"/>
    <w:bookmarkEnd w:id="27"/>
    <w:bookmarkEnd w:id="28"/>
    <w:p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36" w:rsidRDefault="00281E36" w:rsidP="00E2708B">
      <w:r>
        <w:separator/>
      </w:r>
    </w:p>
  </w:endnote>
  <w:endnote w:type="continuationSeparator" w:id="0">
    <w:p w:rsidR="00281E36" w:rsidRDefault="00281E36"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36" w:rsidRDefault="00281E36" w:rsidP="00E2708B">
      <w:r>
        <w:separator/>
      </w:r>
    </w:p>
  </w:footnote>
  <w:footnote w:type="continuationSeparator" w:id="0">
    <w:p w:rsidR="00281E36" w:rsidRDefault="00281E36" w:rsidP="00E2708B">
      <w:r>
        <w:continuationSeparator/>
      </w:r>
    </w:p>
  </w:footnote>
  <w:footnote w:id="1">
    <w:p w:rsidR="000458FE" w:rsidRDefault="000458FE" w:rsidP="000458FE">
      <w:pPr>
        <w:pStyle w:val="IEEEStdsFootnote"/>
      </w:pPr>
      <w:r>
        <w:rPr>
          <w:rStyle w:val="af"/>
        </w:rPr>
        <w:footnoteRef/>
      </w:r>
      <w:r>
        <w:t xml:space="preserve"> The TLV </w:t>
      </w:r>
      <w:r w:rsidRPr="00552FF8">
        <w:rPr>
          <w:i/>
        </w:rPr>
        <w:t>Type</w:t>
      </w:r>
      <w:r>
        <w:t xml:space="preserve"> field length is different than the Information Element </w:t>
      </w:r>
      <w:r w:rsidRPr="00552FF8">
        <w:rPr>
          <w:i/>
        </w:rPr>
        <w:t>Type</w:t>
      </w:r>
      <w:r>
        <w:t xml:space="preserve"> length, which is four </w:t>
      </w:r>
      <w:proofErr w:type="spellStart"/>
      <w:r>
        <w:t>octects</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1E3385"/>
    <w:rsid w:val="0027743F"/>
    <w:rsid w:val="00281E36"/>
    <w:rsid w:val="0030169E"/>
    <w:rsid w:val="00393342"/>
    <w:rsid w:val="003F1AD8"/>
    <w:rsid w:val="00575CB5"/>
    <w:rsid w:val="005D159C"/>
    <w:rsid w:val="00635A53"/>
    <w:rsid w:val="0072128B"/>
    <w:rsid w:val="00743F97"/>
    <w:rsid w:val="008B35A7"/>
    <w:rsid w:val="00903815"/>
    <w:rsid w:val="009B5F15"/>
    <w:rsid w:val="00BA78B3"/>
    <w:rsid w:val="00BD30BC"/>
    <w:rsid w:val="00E2708B"/>
    <w:rsid w:val="00E63807"/>
    <w:rsid w:val="00E71E84"/>
    <w:rsid w:val="00E7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ＭＳ 明朝"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ＭＳ 明朝"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ＭＳ 明朝" w:hAnsi="Arial" w:cs="Times New Roman"/>
      <w:b/>
      <w:kern w:val="0"/>
      <w:sz w:val="20"/>
      <w:szCs w:val="20"/>
    </w:rPr>
  </w:style>
  <w:style w:type="character" w:customStyle="1" w:styleId="IEEEStdsLevel4HeaderChar">
    <w:name w:val="IEEEStds Level 4 Header Char"/>
    <w:link w:val="IEEEStdsLevel4Header"/>
    <w:rsid w:val="00BD30BC"/>
    <w:rPr>
      <w:rFonts w:ascii="Arial" w:eastAsia="ＭＳ 明朝"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ＭＳ 明朝"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a4"/>
    <w:uiPriority w:val="99"/>
    <w:rsid w:val="00BD30BC"/>
    <w:pPr>
      <w:widowControl/>
      <w:jc w:val="left"/>
    </w:pPr>
    <w:rPr>
      <w:rFonts w:ascii="Times New Roman" w:eastAsia="ＭＳ 明朝" w:hAnsi="Times New Roman" w:cs="Times New Roman"/>
      <w:kern w:val="0"/>
      <w:sz w:val="20"/>
      <w:szCs w:val="20"/>
    </w:rPr>
  </w:style>
  <w:style w:type="character" w:customStyle="1" w:styleId="a4">
    <w:name w:val="コメント文字列 (文字)"/>
    <w:basedOn w:val="a0"/>
    <w:link w:val="a3"/>
    <w:uiPriority w:val="99"/>
    <w:rsid w:val="00BD30BC"/>
    <w:rPr>
      <w:rFonts w:ascii="Times New Roman" w:eastAsia="ＭＳ 明朝" w:hAnsi="Times New Roman" w:cs="Times New Roman"/>
      <w:kern w:val="0"/>
      <w:sz w:val="20"/>
      <w:szCs w:val="20"/>
    </w:rPr>
  </w:style>
  <w:style w:type="character" w:styleId="a5">
    <w:name w:val="annotation reference"/>
    <w:uiPriority w:val="99"/>
    <w:rsid w:val="00BD30BC"/>
    <w:rPr>
      <w:sz w:val="16"/>
      <w:szCs w:val="16"/>
    </w:rPr>
  </w:style>
  <w:style w:type="paragraph" w:styleId="a6">
    <w:name w:val="Balloon Text"/>
    <w:basedOn w:val="a"/>
    <w:link w:val="a7"/>
    <w:uiPriority w:val="99"/>
    <w:semiHidden/>
    <w:unhideWhenUsed/>
    <w:rsid w:val="00BD30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30BC"/>
    <w:rPr>
      <w:rFonts w:asciiTheme="majorHAnsi" w:eastAsiaTheme="majorEastAsia" w:hAnsiTheme="majorHAnsi" w:cstheme="majorBidi"/>
      <w:sz w:val="18"/>
      <w:szCs w:val="18"/>
    </w:rPr>
  </w:style>
  <w:style w:type="character" w:styleId="a8">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9">
    <w:name w:val="List Paragraph"/>
    <w:basedOn w:val="a"/>
    <w:uiPriority w:val="34"/>
    <w:qFormat/>
    <w:rsid w:val="00903815"/>
    <w:pPr>
      <w:ind w:leftChars="400" w:left="840"/>
    </w:pPr>
  </w:style>
  <w:style w:type="paragraph" w:styleId="aa">
    <w:name w:val="header"/>
    <w:basedOn w:val="a"/>
    <w:link w:val="ab"/>
    <w:uiPriority w:val="99"/>
    <w:unhideWhenUsed/>
    <w:rsid w:val="00E2708B"/>
    <w:pPr>
      <w:tabs>
        <w:tab w:val="center" w:pos="4252"/>
        <w:tab w:val="right" w:pos="8504"/>
      </w:tabs>
      <w:snapToGrid w:val="0"/>
    </w:pPr>
  </w:style>
  <w:style w:type="character" w:customStyle="1" w:styleId="ab">
    <w:name w:val="ヘッダー (文字)"/>
    <w:basedOn w:val="a0"/>
    <w:link w:val="aa"/>
    <w:uiPriority w:val="99"/>
    <w:rsid w:val="00E2708B"/>
  </w:style>
  <w:style w:type="paragraph" w:styleId="ac">
    <w:name w:val="footer"/>
    <w:basedOn w:val="a"/>
    <w:link w:val="ad"/>
    <w:uiPriority w:val="99"/>
    <w:unhideWhenUsed/>
    <w:rsid w:val="00E2708B"/>
    <w:pPr>
      <w:tabs>
        <w:tab w:val="center" w:pos="4252"/>
        <w:tab w:val="right" w:pos="8504"/>
      </w:tabs>
      <w:snapToGrid w:val="0"/>
    </w:pPr>
  </w:style>
  <w:style w:type="character" w:customStyle="1" w:styleId="ad">
    <w:name w:val="フッター (文字)"/>
    <w:basedOn w:val="a0"/>
    <w:link w:val="ac"/>
    <w:uiPriority w:val="99"/>
    <w:rsid w:val="00E2708B"/>
  </w:style>
  <w:style w:type="character" w:customStyle="1" w:styleId="IEEEStdsLevel1HeaderChar">
    <w:name w:val="IEEEStds Level 1 Header Char"/>
    <w:link w:val="IEEEStdsLevel1Header"/>
    <w:rsid w:val="000458FE"/>
    <w:rPr>
      <w:rFonts w:ascii="Arial" w:eastAsia="ＭＳ 明朝" w:hAnsi="Arial" w:cs="Times New Roman"/>
      <w:b/>
      <w:kern w:val="0"/>
      <w:sz w:val="24"/>
      <w:szCs w:val="20"/>
    </w:rPr>
  </w:style>
  <w:style w:type="paragraph" w:styleId="ae">
    <w:name w:val="caption"/>
    <w:next w:val="IEEEStdsParagraph"/>
    <w:qFormat/>
    <w:rsid w:val="000458FE"/>
    <w:pPr>
      <w:keepLines/>
      <w:suppressAutoHyphens/>
      <w:spacing w:before="120" w:after="120"/>
      <w:jc w:val="center"/>
    </w:pPr>
    <w:rPr>
      <w:rFonts w:ascii="Arial" w:eastAsia="ＭＳ 明朝" w:hAnsi="Arial" w:cs="Times New Roman"/>
      <w:b/>
      <w:kern w:val="0"/>
      <w:sz w:val="20"/>
      <w:szCs w:val="20"/>
    </w:rPr>
  </w:style>
  <w:style w:type="character" w:customStyle="1" w:styleId="IEEEStdsLevel2HeaderChar">
    <w:name w:val="IEEEStds Level 2 Header Char"/>
    <w:link w:val="IEEEStdsLevel2Header"/>
    <w:rsid w:val="000458FE"/>
    <w:rPr>
      <w:rFonts w:ascii="Arial" w:eastAsia="ＭＳ 明朝" w:hAnsi="Arial" w:cs="Times New Roman"/>
      <w:b/>
      <w:kern w:val="0"/>
      <w:sz w:val="22"/>
      <w:szCs w:val="20"/>
    </w:rPr>
  </w:style>
  <w:style w:type="character" w:styleId="af">
    <w:name w:val="footnote reference"/>
    <w:semiHidden/>
    <w:rsid w:val="000458FE"/>
    <w:rPr>
      <w:vertAlign w:val="superscript"/>
    </w:rPr>
  </w:style>
  <w:style w:type="paragraph" w:customStyle="1" w:styleId="IEEEStdsFootnote">
    <w:name w:val="IEEEStds Footnote"/>
    <w:basedOn w:val="af0"/>
    <w:rsid w:val="000458FE"/>
    <w:pPr>
      <w:widowControl/>
      <w:snapToGrid/>
      <w:jc w:val="both"/>
    </w:pPr>
    <w:rPr>
      <w:rFonts w:ascii="Times New Roman" w:eastAsia="ＭＳ 明朝"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f0">
    <w:name w:val="footnote text"/>
    <w:basedOn w:val="a"/>
    <w:link w:val="af1"/>
    <w:uiPriority w:val="99"/>
    <w:semiHidden/>
    <w:unhideWhenUsed/>
    <w:rsid w:val="000458FE"/>
    <w:pPr>
      <w:snapToGrid w:val="0"/>
      <w:jc w:val="left"/>
    </w:pPr>
  </w:style>
  <w:style w:type="character" w:customStyle="1" w:styleId="af1">
    <w:name w:val="脚注文字列 (文字)"/>
    <w:basedOn w:val="a0"/>
    <w:link w:val="af0"/>
    <w:uiPriority w:val="99"/>
    <w:semiHidden/>
    <w:rsid w:val="0004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package" Target="embeddings/Microsoft_Word___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2</cp:revision>
  <dcterms:created xsi:type="dcterms:W3CDTF">2016-09-13T09:19:00Z</dcterms:created>
  <dcterms:modified xsi:type="dcterms:W3CDTF">2016-09-13T09:19:00Z</dcterms:modified>
</cp:coreProperties>
</file>