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1BE7C8C3"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a"/>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1B08CBDA" w:rsidR="00281643" w:rsidRPr="00110490" w:rsidRDefault="00175B90" w:rsidP="00175B90">
            <w:pPr>
              <w:pStyle w:val="covertext"/>
              <w:rPr>
                <w:rFonts w:eastAsia="MS Mincho"/>
                <w:b/>
                <w:lang w:eastAsia="ja-JP"/>
              </w:rPr>
            </w:pPr>
            <w:r>
              <w:rPr>
                <w:rFonts w:eastAsia="MS Mincho"/>
                <w:b/>
                <w:lang w:eastAsia="ja-JP"/>
              </w:rPr>
              <w:t xml:space="preserve">IMT-2020 Specification Report for </w:t>
            </w:r>
            <w:r w:rsidR="001066E3">
              <w:rPr>
                <w:rFonts w:eastAsia="MS Mincho"/>
                <w:b/>
                <w:lang w:eastAsia="ja-JP"/>
              </w:rPr>
              <w:t>New Proposal</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30029116" w:rsidR="00281643" w:rsidRPr="001747DF" w:rsidRDefault="00281643" w:rsidP="00401735">
            <w:pPr>
              <w:pStyle w:val="covertext"/>
              <w:rPr>
                <w:b/>
              </w:rPr>
            </w:pPr>
            <w:r w:rsidRPr="001747DF">
              <w:rPr>
                <w:b/>
              </w:rPr>
              <w:t>21-1</w:t>
            </w:r>
            <w:r w:rsidR="00E3382A">
              <w:rPr>
                <w:rFonts w:eastAsia="MS Mincho" w:hint="eastAsia"/>
                <w:b/>
                <w:lang w:eastAsia="ja-JP"/>
              </w:rPr>
              <w:t>6</w:t>
            </w:r>
            <w:r w:rsidRPr="001747DF">
              <w:rPr>
                <w:b/>
              </w:rPr>
              <w:t>-</w:t>
            </w:r>
            <w:r w:rsidR="00B558AA">
              <w:rPr>
                <w:rFonts w:hint="eastAsia"/>
                <w:b/>
              </w:rPr>
              <w:t>00</w:t>
            </w:r>
            <w:r w:rsidR="00E41AB5">
              <w:rPr>
                <w:b/>
              </w:rPr>
              <w:t>90</w:t>
            </w:r>
            <w:r w:rsidR="00B558AA">
              <w:rPr>
                <w:rFonts w:hint="eastAsia"/>
                <w:b/>
              </w:rPr>
              <w:t>-</w:t>
            </w:r>
            <w:r w:rsidR="00110490">
              <w:rPr>
                <w:b/>
              </w:rPr>
              <w:t>0</w:t>
            </w:r>
            <w:r w:rsidR="0008514F">
              <w:rPr>
                <w:b/>
              </w:rPr>
              <w:t>0</w:t>
            </w:r>
            <w:r w:rsidR="006658C1">
              <w:rPr>
                <w:b/>
              </w:rPr>
              <w:t>-SAUC</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7D0EFAE8" w:rsidR="00281643" w:rsidRPr="001747DF" w:rsidRDefault="00175B90" w:rsidP="00175B90">
            <w:pPr>
              <w:pStyle w:val="covertext"/>
              <w:rPr>
                <w:b/>
              </w:rPr>
            </w:pPr>
            <w:r>
              <w:rPr>
                <w:b/>
              </w:rPr>
              <w:t>July</w:t>
            </w:r>
            <w:r w:rsidR="00B558AA">
              <w:rPr>
                <w:rFonts w:hint="eastAsia"/>
                <w:b/>
              </w:rPr>
              <w:t xml:space="preserve"> </w:t>
            </w:r>
            <w:r w:rsidR="00E41AB5">
              <w:rPr>
                <w:rFonts w:eastAsia="MS Mincho"/>
                <w:b/>
                <w:lang w:eastAsia="ja-JP"/>
              </w:rPr>
              <w:t>25</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C66FC13" w14:textId="77777777" w:rsidR="00641221" w:rsidRDefault="00641221" w:rsidP="001066E3">
            <w:pPr>
              <w:pStyle w:val="covertext"/>
              <w:rPr>
                <w:rFonts w:eastAsia="MS Mincho"/>
                <w:lang w:eastAsia="ja-JP"/>
              </w:rPr>
            </w:pPr>
            <w:proofErr w:type="spellStart"/>
            <w:r>
              <w:rPr>
                <w:rFonts w:eastAsia="MS Mincho"/>
                <w:lang w:eastAsia="ja-JP"/>
              </w:rPr>
              <w:t>Sangkwon</w:t>
            </w:r>
            <w:proofErr w:type="spellEnd"/>
            <w:r>
              <w:rPr>
                <w:rFonts w:eastAsia="MS Mincho"/>
                <w:lang w:eastAsia="ja-JP"/>
              </w:rPr>
              <w:t xml:space="preserve"> Peter </w:t>
            </w:r>
            <w:proofErr w:type="spellStart"/>
            <w:r>
              <w:rPr>
                <w:rFonts w:eastAsia="MS Mincho"/>
                <w:lang w:eastAsia="ja-JP"/>
              </w:rPr>
              <w:t>Jeong</w:t>
            </w:r>
            <w:proofErr w:type="spellEnd"/>
            <w:r>
              <w:rPr>
                <w:rFonts w:eastAsia="MS Mincho"/>
                <w:lang w:eastAsia="ja-JP"/>
              </w:rPr>
              <w:t xml:space="preserve">, </w:t>
            </w:r>
            <w:proofErr w:type="spellStart"/>
            <w:r>
              <w:rPr>
                <w:rFonts w:eastAsia="MS Mincho"/>
                <w:lang w:eastAsia="ja-JP"/>
              </w:rPr>
              <w:t>Gookhwan</w:t>
            </w:r>
            <w:proofErr w:type="spellEnd"/>
            <w:r>
              <w:rPr>
                <w:rFonts w:eastAsia="MS Mincho"/>
                <w:lang w:eastAsia="ja-JP"/>
              </w:rPr>
              <w:t xml:space="preserve"> Lee, </w:t>
            </w:r>
            <w:proofErr w:type="spellStart"/>
            <w:r>
              <w:rPr>
                <w:rFonts w:eastAsia="MS Mincho"/>
                <w:lang w:eastAsia="ja-JP"/>
              </w:rPr>
              <w:t>Hyunsam</w:t>
            </w:r>
            <w:proofErr w:type="spellEnd"/>
            <w:r>
              <w:rPr>
                <w:rFonts w:eastAsia="MS Mincho"/>
                <w:lang w:eastAsia="ja-JP"/>
              </w:rPr>
              <w:t xml:space="preserve"> </w:t>
            </w:r>
            <w:r w:rsidR="00CB0BA0">
              <w:rPr>
                <w:rFonts w:eastAsia="MS Mincho"/>
                <w:lang w:eastAsia="ja-JP"/>
              </w:rPr>
              <w:t>Kang</w:t>
            </w:r>
            <w:r>
              <w:rPr>
                <w:rFonts w:eastAsia="MS Mincho"/>
                <w:lang w:eastAsia="ja-JP"/>
              </w:rPr>
              <w:t xml:space="preserve"> </w:t>
            </w:r>
            <w:r w:rsidR="00B558AA">
              <w:rPr>
                <w:rFonts w:eastAsia="MS Mincho" w:hint="eastAsia"/>
                <w:lang w:eastAsia="ja-JP"/>
              </w:rPr>
              <w:t>(</w:t>
            </w:r>
            <w:proofErr w:type="spellStart"/>
            <w:r>
              <w:rPr>
                <w:rFonts w:eastAsia="MS Mincho"/>
                <w:lang w:eastAsia="ja-JP"/>
              </w:rPr>
              <w:t>JoyFun</w:t>
            </w:r>
            <w:proofErr w:type="spellEnd"/>
            <w:r w:rsidR="00B558AA">
              <w:rPr>
                <w:rFonts w:eastAsia="MS Mincho" w:hint="eastAsia"/>
                <w:lang w:eastAsia="ja-JP"/>
              </w:rPr>
              <w:t>)</w:t>
            </w:r>
          </w:p>
          <w:p w14:paraId="14BB7B58" w14:textId="008A97A5" w:rsidR="00A94336" w:rsidRDefault="00A94336" w:rsidP="001066E3">
            <w:pPr>
              <w:pStyle w:val="covertext"/>
              <w:rPr>
                <w:rFonts w:eastAsia="MS Mincho"/>
                <w:lang w:eastAsia="ja-JP"/>
              </w:rPr>
            </w:pPr>
            <w:proofErr w:type="spellStart"/>
            <w:r>
              <w:rPr>
                <w:rFonts w:eastAsia="MS Mincho"/>
                <w:lang w:eastAsia="ja-JP"/>
              </w:rPr>
              <w:t>Jinho</w:t>
            </w:r>
            <w:proofErr w:type="spellEnd"/>
            <w:r>
              <w:rPr>
                <w:rFonts w:eastAsia="MS Mincho"/>
                <w:lang w:eastAsia="ja-JP"/>
              </w:rPr>
              <w:t xml:space="preserve"> </w:t>
            </w:r>
            <w:proofErr w:type="spellStart"/>
            <w:r>
              <w:rPr>
                <w:rFonts w:eastAsia="MS Mincho"/>
                <w:lang w:eastAsia="ja-JP"/>
              </w:rPr>
              <w:t>Jeong</w:t>
            </w:r>
            <w:proofErr w:type="spellEnd"/>
            <w:r>
              <w:rPr>
                <w:rFonts w:eastAsia="MS Mincho"/>
                <w:lang w:eastAsia="ja-JP"/>
              </w:rPr>
              <w:t xml:space="preserve"> (</w:t>
            </w:r>
            <w:proofErr w:type="spellStart"/>
            <w:r w:rsidR="002A19CC">
              <w:rPr>
                <w:rFonts w:eastAsia="MS Mincho"/>
                <w:lang w:eastAsia="ja-JP"/>
              </w:rPr>
              <w:t>GreenColud</w:t>
            </w:r>
            <w:proofErr w:type="spellEnd"/>
            <w:r w:rsidR="002A19CC">
              <w:rPr>
                <w:rFonts w:eastAsia="MS Mincho"/>
                <w:lang w:eastAsia="ja-JP"/>
              </w:rPr>
              <w:t>)</w:t>
            </w:r>
          </w:p>
          <w:p w14:paraId="649CAD2B" w14:textId="33D330EC" w:rsidR="002A19CC" w:rsidRPr="00B558AA" w:rsidRDefault="002A19CC" w:rsidP="001066E3">
            <w:pPr>
              <w:pStyle w:val="covertext"/>
              <w:rPr>
                <w:rFonts w:eastAsia="MS Mincho"/>
                <w:lang w:eastAsia="ja-JP"/>
              </w:rPr>
            </w:pPr>
            <w:proofErr w:type="spellStart"/>
            <w:r>
              <w:rPr>
                <w:rFonts w:eastAsia="MS Mincho"/>
                <w:lang w:eastAsia="ja-JP"/>
              </w:rPr>
              <w:t>Hyounwoo</w:t>
            </w:r>
            <w:proofErr w:type="spellEnd"/>
            <w:r>
              <w:rPr>
                <w:rFonts w:eastAsia="MS Mincho"/>
                <w:lang w:eastAsia="ja-JP"/>
              </w:rPr>
              <w:t xml:space="preserve"> Nam (</w:t>
            </w:r>
            <w:proofErr w:type="spellStart"/>
            <w:r>
              <w:rPr>
                <w:rFonts w:eastAsia="MS Mincho"/>
                <w:lang w:eastAsia="ja-JP"/>
              </w:rPr>
              <w:t>Dongduk</w:t>
            </w:r>
            <w:proofErr w:type="spellEnd"/>
            <w:r>
              <w:rPr>
                <w:rFonts w:eastAsia="MS Mincho"/>
                <w:lang w:eastAsia="ja-JP"/>
              </w:rPr>
              <w:t xml:space="preserve"> Women’s University)</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56B3A56E" w:rsidR="00281643" w:rsidRPr="00F473D8" w:rsidRDefault="00431E6F" w:rsidP="001A0300">
            <w:pPr>
              <w:pStyle w:val="covertext"/>
              <w:rPr>
                <w:rFonts w:eastAsia="MS Mincho"/>
                <w:lang w:val="en-GB" w:eastAsia="ja-JP"/>
              </w:rPr>
            </w:pPr>
            <w:r>
              <w:rPr>
                <w:rFonts w:eastAsia="MS Mincho" w:hint="eastAsia"/>
                <w:lang w:val="en-GB" w:eastAsia="ja-JP"/>
              </w:rPr>
              <w:t>Session #</w:t>
            </w:r>
            <w:r w:rsidR="00641221">
              <w:rPr>
                <w:rFonts w:eastAsia="MS Mincho" w:hint="eastAsia"/>
                <w:lang w:val="en-GB" w:eastAsia="ja-JP"/>
              </w:rPr>
              <w:t>7</w:t>
            </w:r>
            <w:r w:rsidR="001A0300">
              <w:rPr>
                <w:rFonts w:eastAsia="MS Mincho"/>
                <w:lang w:val="en-GB" w:eastAsia="ja-JP"/>
              </w:rPr>
              <w:t>5</w:t>
            </w:r>
            <w:r>
              <w:rPr>
                <w:rFonts w:eastAsia="MS Mincho"/>
                <w:lang w:val="en-GB" w:eastAsia="ja-JP"/>
              </w:rPr>
              <w:t xml:space="preserve">, </w:t>
            </w:r>
            <w:r w:rsidR="001A0300">
              <w:rPr>
                <w:rFonts w:ascii="맑은 고딕" w:eastAsia="맑은 고딕" w:hAnsi="맑은 고딕" w:cs="맑은 고딕" w:hint="eastAsia"/>
                <w:lang w:val="en-GB"/>
              </w:rPr>
              <w:t xml:space="preserve">san </w:t>
            </w:r>
            <w:r w:rsidR="001A0300">
              <w:rPr>
                <w:rFonts w:ascii="맑은 고딕" w:eastAsia="맑은 고딕" w:hAnsi="맑은 고딕" w:cs="맑은 고딕"/>
                <w:lang w:val="en-GB"/>
              </w:rPr>
              <w:t>Diego</w:t>
            </w:r>
            <w:r w:rsidR="00641221">
              <w:rPr>
                <w:rFonts w:eastAsia="MS Mincho"/>
                <w:lang w:val="en-GB" w:eastAsia="ja-JP"/>
              </w:rPr>
              <w:t>, USA</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16429D9F" w:rsidR="00476CEE" w:rsidRPr="00F473D8" w:rsidRDefault="00175B90" w:rsidP="00B20D08">
            <w:pPr>
              <w:pStyle w:val="covertext"/>
              <w:jc w:val="both"/>
              <w:rPr>
                <w:rFonts w:eastAsia="MS Mincho"/>
              </w:rPr>
            </w:pPr>
            <w:r w:rsidRPr="00175B90">
              <w:rPr>
                <w:rFonts w:eastAsia="MS Mincho"/>
                <w:lang w:eastAsia="ja-JP"/>
              </w:rPr>
              <w:t xml:space="preserve">MIH requirements specification for data transportation between </w:t>
            </w:r>
            <w:r w:rsidR="001A0300" w:rsidRPr="00175B90">
              <w:rPr>
                <w:rFonts w:eastAsia="MS Mincho" w:hint="eastAsia"/>
                <w:lang w:eastAsia="ja-JP"/>
              </w:rPr>
              <w:t>IMT-</w:t>
            </w:r>
            <w:r w:rsidRPr="00175B90">
              <w:rPr>
                <w:rFonts w:eastAsia="MS Mincho"/>
                <w:lang w:eastAsia="ja-JP"/>
              </w:rPr>
              <w:t>2020 and other networks</w:t>
            </w:r>
          </w:p>
        </w:tc>
      </w:tr>
      <w:tr w:rsidR="00281643" w:rsidRPr="001747DF" w14:paraId="53DE8B12" w14:textId="77777777" w:rsidTr="00201002">
        <w:tc>
          <w:tcPr>
            <w:tcW w:w="1350" w:type="dxa"/>
          </w:tcPr>
          <w:p w14:paraId="0D776EFD" w14:textId="4EA26FEF" w:rsidR="00281643" w:rsidRPr="001747DF" w:rsidRDefault="00281643" w:rsidP="00201002">
            <w:pPr>
              <w:pStyle w:val="covertext"/>
            </w:pPr>
            <w:r w:rsidRPr="001747DF">
              <w:t>Purpose</w:t>
            </w:r>
          </w:p>
        </w:tc>
        <w:tc>
          <w:tcPr>
            <w:tcW w:w="9018" w:type="dxa"/>
          </w:tcPr>
          <w:p w14:paraId="39E9A7FE" w14:textId="086ABADB" w:rsidR="00281643" w:rsidRPr="00F473D8" w:rsidRDefault="001066E3" w:rsidP="001066E3">
            <w:pPr>
              <w:pStyle w:val="covertext"/>
              <w:jc w:val="both"/>
              <w:rPr>
                <w:rFonts w:eastAsia="MS Mincho"/>
                <w:lang w:eastAsia="ja-JP"/>
              </w:rPr>
            </w:pPr>
            <w:r>
              <w:rPr>
                <w:rFonts w:eastAsia="MS Mincho"/>
                <w:lang w:eastAsia="ja-JP"/>
              </w:rPr>
              <w:t>P</w:t>
            </w:r>
            <w:r w:rsidR="003748DC">
              <w:rPr>
                <w:rFonts w:eastAsia="MS Mincho"/>
                <w:lang w:eastAsia="ja-JP"/>
              </w:rPr>
              <w:t>ropos</w:t>
            </w:r>
            <w:r>
              <w:rPr>
                <w:rFonts w:eastAsia="MS Mincho"/>
                <w:lang w:eastAsia="ja-JP"/>
              </w:rPr>
              <w:t>e to new use case</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a"/>
                  <w:sz w:val="20"/>
                </w:rPr>
                <w:t>Section 6 of the IEEE-SA Standards Board bylaws</w:t>
              </w:r>
            </w:hyperlink>
            <w:r w:rsidRPr="001747DF">
              <w:rPr>
                <w:sz w:val="20"/>
              </w:rPr>
              <w:t xml:space="preserve"> &lt;</w:t>
            </w:r>
            <w:hyperlink r:id="rId10"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a"/>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FBE5CDD"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bookmarkStart w:id="0" w:name="_Toc445127122"/>
    </w:p>
    <w:p w14:paraId="294FE1C8"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77EC88F"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4F288367"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73FE128B"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C4BB1D6"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57899A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6454E8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53D5F31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3E9956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AEF7A1B"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D2BAF4A"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26791EB8"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5B8BD803" w14:textId="77777777" w:rsidR="00880C48" w:rsidRDefault="00880C48" w:rsidP="00880C48">
      <w:pPr>
        <w:pStyle w:val="a5"/>
        <w:ind w:leftChars="0" w:left="0"/>
        <w:rPr>
          <w:rFonts w:eastAsia="MS Mincho"/>
          <w:sz w:val="44"/>
          <w:szCs w:val="48"/>
          <w:lang w:val="en-US" w:eastAsia="ja-JP"/>
        </w:rPr>
      </w:pPr>
      <w:r>
        <w:rPr>
          <w:rFonts w:eastAsia="MS Mincho"/>
          <w:sz w:val="44"/>
          <w:szCs w:val="48"/>
          <w:lang w:val="en-US" w:eastAsia="ja-JP"/>
        </w:rPr>
        <w:t>&lt;Last Proposal&gt;</w:t>
      </w:r>
    </w:p>
    <w:p w14:paraId="0A6D0197" w14:textId="70E9FC95" w:rsidR="00880C48" w:rsidRPr="00880C48" w:rsidRDefault="00880C48" w:rsidP="00880C48">
      <w:pPr>
        <w:pStyle w:val="a5"/>
        <w:ind w:leftChars="0" w:left="0"/>
        <w:rPr>
          <w:rFonts w:eastAsia="MS Mincho" w:hint="eastAsia"/>
          <w:sz w:val="44"/>
          <w:szCs w:val="48"/>
          <w:lang w:val="en-US" w:eastAsia="ja-JP"/>
        </w:rPr>
      </w:pPr>
      <w:r w:rsidRPr="00B20D08">
        <w:rPr>
          <w:rFonts w:eastAsia="MS Mincho"/>
          <w:sz w:val="44"/>
          <w:szCs w:val="48"/>
          <w:lang w:val="en-US" w:eastAsia="ja-JP"/>
        </w:rPr>
        <w:t xml:space="preserve">VR content streaming service in </w:t>
      </w:r>
      <w:r>
        <w:rPr>
          <w:rFonts w:ascii="맑은 고딕" w:eastAsia="맑은 고딕" w:hAnsi="맑은 고딕" w:cs="맑은 고딕" w:hint="eastAsia"/>
          <w:sz w:val="44"/>
          <w:szCs w:val="48"/>
          <w:lang w:val="en-US"/>
        </w:rPr>
        <w:t>IMT-2020</w:t>
      </w:r>
    </w:p>
    <w:p w14:paraId="12E2BCE0" w14:textId="77777777" w:rsidR="00880C48" w:rsidRPr="0053705F" w:rsidRDefault="00880C48" w:rsidP="00880C48">
      <w:pPr>
        <w:pStyle w:val="IEEEStdsImage"/>
        <w:rPr>
          <w:lang w:eastAsia="zh-CN"/>
        </w:rPr>
      </w:pPr>
      <w:r>
        <w:rPr>
          <w:noProof/>
          <w:lang w:eastAsia="ko-KR"/>
        </w:rPr>
        <w:drawing>
          <wp:inline distT="0" distB="0" distL="0" distR="0" wp14:anchorId="30F78FF3" wp14:editId="245A3BC4">
            <wp:extent cx="5419725" cy="272920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2177" cy="2735473"/>
                    </a:xfrm>
                    <a:prstGeom prst="rect">
                      <a:avLst/>
                    </a:prstGeom>
                    <a:noFill/>
                  </pic:spPr>
                </pic:pic>
              </a:graphicData>
            </a:graphic>
          </wp:inline>
        </w:drawing>
      </w:r>
    </w:p>
    <w:p w14:paraId="1F7487A3" w14:textId="29DA4505" w:rsidR="00880C48" w:rsidRPr="0053705F" w:rsidRDefault="00880C48" w:rsidP="00880C48">
      <w:pPr>
        <w:pStyle w:val="IEEEStdsRegularFigureCaption"/>
        <w:numPr>
          <w:ilvl w:val="0"/>
          <w:numId w:val="41"/>
        </w:numPr>
        <w:ind w:firstLine="0"/>
      </w:pPr>
      <w:bookmarkStart w:id="1" w:name="_Toc445127946"/>
      <w:r>
        <w:t>—</w:t>
      </w:r>
      <w:bookmarkEnd w:id="1"/>
      <w:r>
        <w:t xml:space="preserve">VR Content </w:t>
      </w:r>
      <w:r>
        <w:t>streaming service in IMT-2020</w:t>
      </w:r>
    </w:p>
    <w:p w14:paraId="54843CC6" w14:textId="77777777" w:rsidR="00880C48" w:rsidRDefault="00880C48" w:rsidP="00880C48">
      <w:pPr>
        <w:pStyle w:val="IEEEStdsParagraph"/>
        <w:rPr>
          <w:lang w:eastAsia="zh-CN"/>
        </w:rPr>
      </w:pPr>
    </w:p>
    <w:p w14:paraId="701C597C" w14:textId="2E535057" w:rsidR="00880C48" w:rsidRDefault="00880C48" w:rsidP="00880C48">
      <w:pPr>
        <w:pStyle w:val="IEEEStdsParagraph"/>
        <w:rPr>
          <w:lang w:eastAsia="zh-CN"/>
        </w:rPr>
      </w:pPr>
      <w:r>
        <w:rPr>
          <w:rFonts w:hint="eastAsia"/>
          <w:lang w:eastAsia="ko-KR"/>
        </w:rPr>
        <w:t>R</w:t>
      </w:r>
      <w:r>
        <w:rPr>
          <w:lang w:eastAsia="ko-KR"/>
        </w:rPr>
        <w:t xml:space="preserve">ecently, </w:t>
      </w:r>
      <w:r>
        <w:rPr>
          <w:lang w:eastAsia="zh-CN"/>
        </w:rPr>
        <w:t>IMT-2020</w:t>
      </w:r>
      <w:r>
        <w:rPr>
          <w:lang w:eastAsia="zh-CN"/>
        </w:rPr>
        <w:t xml:space="preserve"> network has attracted attention.</w:t>
      </w:r>
    </w:p>
    <w:p w14:paraId="0AA1D6EC" w14:textId="5E479F70" w:rsidR="00880C48" w:rsidRDefault="00880C48" w:rsidP="00880C48">
      <w:pPr>
        <w:pStyle w:val="IEEEStdsParagraph"/>
        <w:rPr>
          <w:lang w:eastAsia="zh-CN"/>
        </w:rPr>
      </w:pPr>
      <w:r>
        <w:rPr>
          <w:lang w:eastAsia="zh-CN"/>
        </w:rPr>
        <w:t xml:space="preserve">In specially, the need for </w:t>
      </w:r>
      <w:r>
        <w:rPr>
          <w:lang w:eastAsia="zh-CN"/>
        </w:rPr>
        <w:t>IMT-2020</w:t>
      </w:r>
      <w:r>
        <w:rPr>
          <w:lang w:eastAsia="zh-CN"/>
        </w:rPr>
        <w:t xml:space="preserve"> network has been further emphasized while receiving a lot of attention HMD-based VR services.</w:t>
      </w:r>
    </w:p>
    <w:p w14:paraId="7DBECC5C" w14:textId="77777777" w:rsidR="00880C48" w:rsidRDefault="00880C48" w:rsidP="00880C48">
      <w:pPr>
        <w:pStyle w:val="IEEEStdsParagraph"/>
        <w:rPr>
          <w:lang w:eastAsia="zh-CN"/>
        </w:rPr>
      </w:pPr>
      <w:r>
        <w:rPr>
          <w:lang w:eastAsia="zh-CN"/>
        </w:rPr>
        <w:t>According to this trend, it is believed that would not require that the response in IEEE802.21.</w:t>
      </w:r>
    </w:p>
    <w:p w14:paraId="1BB2E135" w14:textId="04A2062C" w:rsidR="00880C48" w:rsidRDefault="00880C48" w:rsidP="00880C48">
      <w:pPr>
        <w:pStyle w:val="IEEEStdsParagraph"/>
        <w:rPr>
          <w:lang w:eastAsia="zh-CN"/>
        </w:rPr>
      </w:pPr>
      <w:r>
        <w:rPr>
          <w:lang w:eastAsia="zh-CN"/>
        </w:rPr>
        <w:t xml:space="preserve">For example, simulate a composed process HMD-based VR services, and what's what things in this process, and, </w:t>
      </w:r>
      <w:r>
        <w:rPr>
          <w:lang w:eastAsia="zh-CN"/>
        </w:rPr>
        <w:t>IMT-2020</w:t>
      </w:r>
      <w:r>
        <w:rPr>
          <w:lang w:eastAsia="zh-CN"/>
        </w:rPr>
        <w:t xml:space="preserve"> and vertical handover is if there are any advantages to be used by MIH and MIS in network environments where occur discussion let's do this.</w:t>
      </w:r>
    </w:p>
    <w:p w14:paraId="3876646E" w14:textId="31459621" w:rsidR="00880C48" w:rsidRDefault="00880C48" w:rsidP="00880C48">
      <w:pPr>
        <w:pStyle w:val="IEEEStdsParagraph"/>
        <w:rPr>
          <w:lang w:eastAsia="zh-CN"/>
        </w:rPr>
      </w:pPr>
      <w:r>
        <w:rPr>
          <w:lang w:eastAsia="zh-CN"/>
        </w:rPr>
        <w:t xml:space="preserve">I think that the proposal to require new standards for the handover to the service from </w:t>
      </w:r>
      <w:r>
        <w:rPr>
          <w:lang w:eastAsia="zh-CN"/>
        </w:rPr>
        <w:t>IMT-2020</w:t>
      </w:r>
      <w:r>
        <w:rPr>
          <w:lang w:eastAsia="zh-CN"/>
        </w:rPr>
        <w:t xml:space="preserve"> environment.</w:t>
      </w:r>
    </w:p>
    <w:p w14:paraId="46D1A984" w14:textId="77777777" w:rsidR="00880C48" w:rsidRPr="00880C48" w:rsidRDefault="00880C48">
      <w:pPr>
        <w:tabs>
          <w:tab w:val="clear" w:pos="284"/>
        </w:tabs>
        <w:spacing w:before="0" w:after="200" w:line="276" w:lineRule="auto"/>
        <w:rPr>
          <w:rFonts w:eastAsia="MS Mincho"/>
          <w:sz w:val="44"/>
          <w:szCs w:val="48"/>
          <w:lang w:val="en-US" w:eastAsia="ja-JP"/>
        </w:rPr>
      </w:pPr>
    </w:p>
    <w:p w14:paraId="2880F61E" w14:textId="03434599" w:rsidR="006658C1" w:rsidRPr="0053705F" w:rsidRDefault="009D1C52" w:rsidP="009D1C52">
      <w:pPr>
        <w:pStyle w:val="a5"/>
        <w:ind w:leftChars="0" w:left="0"/>
      </w:pPr>
      <w:r>
        <w:rPr>
          <w:rFonts w:eastAsia="MS Mincho"/>
          <w:sz w:val="44"/>
          <w:szCs w:val="48"/>
          <w:lang w:val="en-US" w:eastAsia="ja-JP"/>
        </w:rPr>
        <w:t>IMT-2020 Specification</w:t>
      </w:r>
      <w:bookmarkEnd w:id="0"/>
    </w:p>
    <w:p w14:paraId="5B7A5CC3" w14:textId="7D827899" w:rsidR="002B7374" w:rsidRPr="00604258" w:rsidRDefault="002B7374" w:rsidP="006658C1">
      <w:pPr>
        <w:pStyle w:val="IEEEStdsParagraph"/>
        <w:rPr>
          <w:rFonts w:eastAsia="SimSun"/>
          <w:lang w:eastAsia="zh-CN"/>
        </w:rPr>
      </w:pPr>
    </w:p>
    <w:p w14:paraId="4AFCE2B6" w14:textId="18F78DB8" w:rsidR="00604258" w:rsidRDefault="00A91576" w:rsidP="00604258">
      <w:pPr>
        <w:pStyle w:val="IEEEStdsParagraph"/>
        <w:numPr>
          <w:ilvl w:val="0"/>
          <w:numId w:val="42"/>
        </w:numPr>
        <w:rPr>
          <w:lang w:eastAsia="ko-KR"/>
        </w:rPr>
      </w:pPr>
      <w:r>
        <w:rPr>
          <w:lang w:eastAsia="ko-KR"/>
        </w:rPr>
        <w:t>IMT-2020</w:t>
      </w:r>
      <w:r w:rsidR="00604258">
        <w:rPr>
          <w:lang w:eastAsia="ko-KR"/>
        </w:rPr>
        <w:t xml:space="preserve"> Parameters</w:t>
      </w:r>
    </w:p>
    <w:p w14:paraId="5F8A35D7" w14:textId="750E40B4" w:rsidR="00604258" w:rsidRDefault="00604258" w:rsidP="00604258">
      <w:pPr>
        <w:pStyle w:val="IEEEStdsParagraph"/>
        <w:numPr>
          <w:ilvl w:val="1"/>
          <w:numId w:val="42"/>
        </w:numPr>
        <w:rPr>
          <w:lang w:eastAsia="ko-KR"/>
        </w:rPr>
      </w:pPr>
      <w:r>
        <w:rPr>
          <w:lang w:eastAsia="ko-KR"/>
        </w:rPr>
        <w:t>User experienced data rate: 100 Mbps</w:t>
      </w:r>
      <w:r w:rsidR="009D1C52">
        <w:rPr>
          <w:lang w:eastAsia="ko-KR"/>
        </w:rPr>
        <w:t xml:space="preserve"> (urban/suburban), 1Gbps (hotspots)</w:t>
      </w:r>
    </w:p>
    <w:p w14:paraId="3126BDA8" w14:textId="1B438550" w:rsidR="00604258" w:rsidRDefault="00604258" w:rsidP="00604258">
      <w:pPr>
        <w:pStyle w:val="IEEEStdsParagraph"/>
        <w:numPr>
          <w:ilvl w:val="1"/>
          <w:numId w:val="42"/>
        </w:numPr>
        <w:rPr>
          <w:lang w:eastAsia="ko-KR"/>
        </w:rPr>
      </w:pPr>
      <w:r>
        <w:rPr>
          <w:lang w:eastAsia="ko-KR"/>
        </w:rPr>
        <w:t xml:space="preserve">Peak data rate: </w:t>
      </w:r>
      <w:r w:rsidR="009D1C52">
        <w:rPr>
          <w:lang w:eastAsia="ko-KR"/>
        </w:rPr>
        <w:t xml:space="preserve">20 </w:t>
      </w:r>
      <w:proofErr w:type="spellStart"/>
      <w:r w:rsidR="009D1C52">
        <w:rPr>
          <w:lang w:eastAsia="ko-KR"/>
        </w:rPr>
        <w:t>Gbps</w:t>
      </w:r>
      <w:proofErr w:type="spellEnd"/>
    </w:p>
    <w:p w14:paraId="29516868" w14:textId="0173E8A8" w:rsidR="00604258" w:rsidRDefault="00604258" w:rsidP="00604258">
      <w:pPr>
        <w:pStyle w:val="IEEEStdsParagraph"/>
        <w:numPr>
          <w:ilvl w:val="1"/>
          <w:numId w:val="42"/>
        </w:numPr>
        <w:rPr>
          <w:lang w:eastAsia="ko-KR"/>
        </w:rPr>
      </w:pPr>
      <w:r>
        <w:rPr>
          <w:lang w:eastAsia="ko-KR"/>
        </w:rPr>
        <w:t>Mobility</w:t>
      </w:r>
      <w:r w:rsidR="009D1C52">
        <w:rPr>
          <w:lang w:eastAsia="ko-KR"/>
        </w:rPr>
        <w:t>: 500 Km/h</w:t>
      </w:r>
    </w:p>
    <w:p w14:paraId="7EE73CBF" w14:textId="027EE77B" w:rsidR="00604258" w:rsidRDefault="00604258" w:rsidP="00604258">
      <w:pPr>
        <w:pStyle w:val="IEEEStdsParagraph"/>
        <w:numPr>
          <w:ilvl w:val="1"/>
          <w:numId w:val="42"/>
        </w:numPr>
        <w:rPr>
          <w:lang w:eastAsia="ko-KR"/>
        </w:rPr>
      </w:pPr>
      <w:r>
        <w:rPr>
          <w:lang w:eastAsia="ko-KR"/>
        </w:rPr>
        <w:t>Latency</w:t>
      </w:r>
      <w:r w:rsidR="009D1C52">
        <w:rPr>
          <w:lang w:eastAsia="ko-KR"/>
        </w:rPr>
        <w:t xml:space="preserve">: 1 </w:t>
      </w:r>
      <w:proofErr w:type="spellStart"/>
      <w:r w:rsidR="009D1C52">
        <w:rPr>
          <w:lang w:eastAsia="ko-KR"/>
        </w:rPr>
        <w:t>ms</w:t>
      </w:r>
      <w:proofErr w:type="spellEnd"/>
      <w:r w:rsidR="009D1C52">
        <w:rPr>
          <w:lang w:eastAsia="ko-KR"/>
        </w:rPr>
        <w:t xml:space="preserve"> (radio interface)</w:t>
      </w:r>
    </w:p>
    <w:p w14:paraId="6B5CB151" w14:textId="23F3832A" w:rsidR="00604258" w:rsidRDefault="00604258" w:rsidP="00604258">
      <w:pPr>
        <w:pStyle w:val="IEEEStdsParagraph"/>
        <w:numPr>
          <w:ilvl w:val="1"/>
          <w:numId w:val="42"/>
        </w:numPr>
        <w:rPr>
          <w:lang w:eastAsia="ko-KR"/>
        </w:rPr>
      </w:pPr>
      <w:r>
        <w:rPr>
          <w:lang w:eastAsia="ko-KR"/>
        </w:rPr>
        <w:lastRenderedPageBreak/>
        <w:t>Connection density</w:t>
      </w:r>
      <w:r w:rsidR="009D1C52">
        <w:rPr>
          <w:lang w:eastAsia="ko-KR"/>
        </w:rPr>
        <w:t>: 10</w:t>
      </w:r>
      <w:r w:rsidR="009D1C52" w:rsidRPr="009D1C52">
        <w:rPr>
          <w:vertAlign w:val="superscript"/>
          <w:lang w:eastAsia="ko-KR"/>
        </w:rPr>
        <w:t>6</w:t>
      </w:r>
      <w:r w:rsidR="009D1C52">
        <w:rPr>
          <w:lang w:eastAsia="ko-KR"/>
        </w:rPr>
        <w:t>/Km</w:t>
      </w:r>
      <w:r w:rsidR="009D1C52" w:rsidRPr="009D1C52">
        <w:rPr>
          <w:vertAlign w:val="superscript"/>
          <w:lang w:eastAsia="ko-KR"/>
        </w:rPr>
        <w:t>2</w:t>
      </w:r>
    </w:p>
    <w:p w14:paraId="6A0AC150" w14:textId="0C53C55C" w:rsidR="00604258" w:rsidRDefault="00604258" w:rsidP="00604258">
      <w:pPr>
        <w:pStyle w:val="IEEEStdsParagraph"/>
        <w:numPr>
          <w:ilvl w:val="1"/>
          <w:numId w:val="42"/>
        </w:numPr>
        <w:rPr>
          <w:lang w:eastAsia="ko-KR"/>
        </w:rPr>
      </w:pPr>
      <w:r>
        <w:rPr>
          <w:lang w:eastAsia="ko-KR"/>
        </w:rPr>
        <w:t>Energy efficiency</w:t>
      </w:r>
      <w:r w:rsidR="009D1C52">
        <w:rPr>
          <w:lang w:eastAsia="ko-KR"/>
        </w:rPr>
        <w:t>: 100 times vs 4G</w:t>
      </w:r>
    </w:p>
    <w:p w14:paraId="221E59E5" w14:textId="4901C20F" w:rsidR="00604258" w:rsidRDefault="00604258" w:rsidP="00604258">
      <w:pPr>
        <w:pStyle w:val="IEEEStdsParagraph"/>
        <w:numPr>
          <w:ilvl w:val="1"/>
          <w:numId w:val="42"/>
        </w:numPr>
        <w:rPr>
          <w:lang w:eastAsia="ko-KR"/>
        </w:rPr>
      </w:pPr>
      <w:r>
        <w:rPr>
          <w:rFonts w:hint="eastAsia"/>
          <w:lang w:eastAsia="ko-KR"/>
        </w:rPr>
        <w:t>Spectrum efficiency</w:t>
      </w:r>
      <w:r w:rsidR="009D1C52">
        <w:rPr>
          <w:lang w:eastAsia="ko-KR"/>
        </w:rPr>
        <w:t>: 3 times vs 4G</w:t>
      </w:r>
    </w:p>
    <w:p w14:paraId="3860A2A4" w14:textId="03F8E090" w:rsidR="00604258" w:rsidRDefault="00604258" w:rsidP="00604258">
      <w:pPr>
        <w:pStyle w:val="IEEEStdsParagraph"/>
        <w:numPr>
          <w:ilvl w:val="1"/>
          <w:numId w:val="42"/>
        </w:numPr>
        <w:rPr>
          <w:lang w:eastAsia="ko-KR"/>
        </w:rPr>
      </w:pPr>
      <w:r>
        <w:rPr>
          <w:lang w:eastAsia="ko-KR"/>
        </w:rPr>
        <w:t>Area traffic capacity</w:t>
      </w:r>
      <w:r w:rsidR="009D1C52">
        <w:rPr>
          <w:lang w:eastAsia="ko-KR"/>
        </w:rPr>
        <w:t>: 10 Mbps/</w:t>
      </w:r>
      <w:r w:rsidR="009D1C52" w:rsidRPr="009D1C52">
        <w:rPr>
          <w:lang w:eastAsia="ko-KR"/>
        </w:rPr>
        <w:t xml:space="preserve"> </w:t>
      </w:r>
      <w:r w:rsidR="009D1C52">
        <w:rPr>
          <w:lang w:eastAsia="ko-KR"/>
        </w:rPr>
        <w:t>m</w:t>
      </w:r>
      <w:r w:rsidR="009D1C52" w:rsidRPr="009D1C52">
        <w:rPr>
          <w:vertAlign w:val="superscript"/>
          <w:lang w:eastAsia="ko-KR"/>
        </w:rPr>
        <w:t>2</w:t>
      </w:r>
    </w:p>
    <w:p w14:paraId="123760F3" w14:textId="63E54168" w:rsidR="00604258" w:rsidRDefault="00604258" w:rsidP="00977736">
      <w:pPr>
        <w:pStyle w:val="IEEEStdsParagraph"/>
        <w:rPr>
          <w:lang w:eastAsia="ko-KR"/>
        </w:rPr>
      </w:pPr>
    </w:p>
    <w:p w14:paraId="6D0B0FC4" w14:textId="2B68C90C" w:rsidR="00604258" w:rsidRDefault="00A91576" w:rsidP="00604258">
      <w:pPr>
        <w:pStyle w:val="IEEEStdsParagraph"/>
        <w:numPr>
          <w:ilvl w:val="0"/>
          <w:numId w:val="42"/>
        </w:numPr>
        <w:rPr>
          <w:lang w:eastAsia="ko-KR"/>
        </w:rPr>
      </w:pPr>
      <w:r>
        <w:rPr>
          <w:lang w:eastAsia="ko-KR"/>
        </w:rPr>
        <w:t>IMT-2020</w:t>
      </w:r>
      <w:r w:rsidR="00604258">
        <w:rPr>
          <w:lang w:eastAsia="ko-KR"/>
        </w:rPr>
        <w:t xml:space="preserve"> Service scenarios</w:t>
      </w:r>
    </w:p>
    <w:p w14:paraId="2B35DBD0" w14:textId="6FA9BC31" w:rsidR="00604258" w:rsidRDefault="00604258" w:rsidP="00604258">
      <w:pPr>
        <w:pStyle w:val="IEEEStdsParagraph"/>
        <w:numPr>
          <w:ilvl w:val="1"/>
          <w:numId w:val="42"/>
        </w:numPr>
        <w:rPr>
          <w:lang w:eastAsia="ko-KR"/>
        </w:rPr>
      </w:pPr>
      <w:r>
        <w:rPr>
          <w:rFonts w:hint="eastAsia"/>
          <w:lang w:eastAsia="ko-KR"/>
        </w:rPr>
        <w:t>Enha</w:t>
      </w:r>
      <w:r>
        <w:rPr>
          <w:lang w:eastAsia="ko-KR"/>
        </w:rPr>
        <w:t>nced Mobile Broadband</w:t>
      </w:r>
    </w:p>
    <w:p w14:paraId="5DA58E03" w14:textId="60A1C5A7" w:rsidR="00604258" w:rsidRDefault="00604258" w:rsidP="00604258">
      <w:pPr>
        <w:pStyle w:val="IEEEStdsParagraph"/>
        <w:numPr>
          <w:ilvl w:val="1"/>
          <w:numId w:val="42"/>
        </w:numPr>
        <w:rPr>
          <w:lang w:eastAsia="ko-KR"/>
        </w:rPr>
      </w:pPr>
      <w:r>
        <w:rPr>
          <w:lang w:eastAsia="ko-KR"/>
        </w:rPr>
        <w:t>Massive machine type communications</w:t>
      </w:r>
    </w:p>
    <w:p w14:paraId="39287D32" w14:textId="7FF49A1F" w:rsidR="00604258" w:rsidRDefault="00604258" w:rsidP="00604258">
      <w:pPr>
        <w:pStyle w:val="IEEEStdsParagraph"/>
        <w:numPr>
          <w:ilvl w:val="1"/>
          <w:numId w:val="42"/>
        </w:numPr>
        <w:rPr>
          <w:lang w:eastAsia="ko-KR"/>
        </w:rPr>
      </w:pPr>
      <w:r>
        <w:rPr>
          <w:lang w:eastAsia="ko-KR"/>
        </w:rPr>
        <w:t>Ultra-reliable and low latency communications</w:t>
      </w:r>
    </w:p>
    <w:p w14:paraId="5E7A18BC" w14:textId="77777777" w:rsidR="009D1C52" w:rsidRDefault="009D1C52" w:rsidP="009D1C52">
      <w:pPr>
        <w:pStyle w:val="IEEEStdsParagraph"/>
        <w:rPr>
          <w:lang w:eastAsia="ko-KR"/>
        </w:rPr>
      </w:pPr>
    </w:p>
    <w:p w14:paraId="65C9A0E7" w14:textId="0EF786C2" w:rsidR="00604258" w:rsidRDefault="009D1C52" w:rsidP="00604258">
      <w:pPr>
        <w:pStyle w:val="IEEEStdsParagraph"/>
        <w:numPr>
          <w:ilvl w:val="0"/>
          <w:numId w:val="42"/>
        </w:numPr>
        <w:rPr>
          <w:lang w:eastAsia="ko-KR"/>
        </w:rPr>
      </w:pPr>
      <w:r>
        <w:rPr>
          <w:rFonts w:hint="eastAsia"/>
          <w:lang w:eastAsia="ko-KR"/>
        </w:rPr>
        <w:t xml:space="preserve">Compare with </w:t>
      </w:r>
      <w:r w:rsidR="00401735">
        <w:rPr>
          <w:rFonts w:hint="eastAsia"/>
          <w:lang w:eastAsia="ko-KR"/>
        </w:rPr>
        <w:t>IMT-</w:t>
      </w:r>
      <w:r w:rsidR="00401735">
        <w:rPr>
          <w:lang w:eastAsia="ko-KR"/>
        </w:rPr>
        <w:t>Advanced(</w:t>
      </w:r>
      <w:r>
        <w:rPr>
          <w:rFonts w:hint="eastAsia"/>
          <w:lang w:eastAsia="ko-KR"/>
        </w:rPr>
        <w:t>4G</w:t>
      </w:r>
      <w:r w:rsidR="00401735">
        <w:rPr>
          <w:lang w:eastAsia="ko-KR"/>
        </w:rPr>
        <w:t>)</w:t>
      </w:r>
    </w:p>
    <w:p w14:paraId="509D175C" w14:textId="77777777" w:rsidR="009D1C52" w:rsidRDefault="009D1C52" w:rsidP="009D1C52">
      <w:pPr>
        <w:pStyle w:val="IEEEStdsParagraph"/>
        <w:keepNext/>
        <w:jc w:val="center"/>
      </w:pPr>
      <w:r>
        <w:rPr>
          <w:rFonts w:eastAsia="SimSun" w:hint="eastAsia"/>
          <w:noProof/>
          <w:lang w:eastAsia="ko-KR"/>
        </w:rPr>
        <w:drawing>
          <wp:inline distT="0" distB="0" distL="0" distR="0" wp14:anchorId="140592DA" wp14:editId="29320B2E">
            <wp:extent cx="3134139" cy="2621280"/>
            <wp:effectExtent l="0" t="0" r="9525" b="7620"/>
            <wp:docPr id="1" name="그림 1" descr="C:\Users\CEO\AppData\Local\Microsoft\Windows\INetCacheContent.Word\fig1-itu-r 5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O\AppData\Local\Microsoft\Windows\INetCacheContent.Word\fig1-itu-r 5g.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7517" cy="2699378"/>
                    </a:xfrm>
                    <a:prstGeom prst="rect">
                      <a:avLst/>
                    </a:prstGeom>
                    <a:noFill/>
                    <a:ln>
                      <a:noFill/>
                    </a:ln>
                  </pic:spPr>
                </pic:pic>
              </a:graphicData>
            </a:graphic>
          </wp:inline>
        </w:drawing>
      </w:r>
    </w:p>
    <w:p w14:paraId="17C2D4A0" w14:textId="30ED3448" w:rsidR="00604258" w:rsidRDefault="009D1C52" w:rsidP="009D1C52">
      <w:pPr>
        <w:pStyle w:val="af"/>
        <w:rPr>
          <w:lang w:eastAsia="ko-KR"/>
        </w:rPr>
      </w:pPr>
      <w:r>
        <w:t xml:space="preserve">Figure </w:t>
      </w:r>
      <w:r w:rsidR="00880C48">
        <w:t>2</w:t>
      </w:r>
      <w:r>
        <w:t xml:space="preserve"> </w:t>
      </w:r>
      <w:r>
        <w:rPr>
          <w:rFonts w:ascii="맑은 고딕" w:eastAsia="맑은 고딕" w:hAnsi="맑은 고딕" w:cs="Tahoma" w:hint="eastAsia"/>
          <w:color w:val="000000"/>
          <w:sz w:val="21"/>
          <w:szCs w:val="21"/>
        </w:rPr>
        <w:t>Enhancement of key capabilities from IMT-</w:t>
      </w:r>
      <w:proofErr w:type="spellStart"/>
      <w:r>
        <w:rPr>
          <w:rFonts w:ascii="맑은 고딕" w:eastAsia="맑은 고딕" w:hAnsi="맑은 고딕" w:cs="Tahoma" w:hint="eastAsia"/>
          <w:color w:val="000000"/>
          <w:sz w:val="21"/>
          <w:szCs w:val="21"/>
        </w:rPr>
        <w:t>Adv</w:t>
      </w:r>
      <w:proofErr w:type="spellEnd"/>
      <w:r>
        <w:rPr>
          <w:rFonts w:ascii="맑은 고딕" w:eastAsia="맑은 고딕" w:hAnsi="맑은 고딕" w:cs="Tahoma" w:hint="eastAsia"/>
          <w:color w:val="000000"/>
          <w:sz w:val="21"/>
          <w:szCs w:val="21"/>
        </w:rPr>
        <w:t xml:space="preserve"> (4G) to IMT-2020 (5G)</w:t>
      </w:r>
    </w:p>
    <w:p w14:paraId="29D66994" w14:textId="1505FA4A" w:rsidR="009D1C52" w:rsidRDefault="00880C48" w:rsidP="009D1C52">
      <w:pPr>
        <w:pStyle w:val="IEEEStdsParagraph"/>
        <w:keepNext/>
        <w:jc w:val="center"/>
      </w:pPr>
      <w:r>
        <w:rPr>
          <w:lang w:eastAsia="ko-KR"/>
        </w:rPr>
        <w:pict w14:anchorId="7B42A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170.4pt">
            <v:imagedata r:id="rId14" o:title="fig1-itu-r 5g_2"/>
          </v:shape>
        </w:pict>
      </w:r>
    </w:p>
    <w:p w14:paraId="44D7FA04" w14:textId="0DD87858" w:rsidR="009D1C52" w:rsidRDefault="009D1C52" w:rsidP="009D1C52">
      <w:pPr>
        <w:pStyle w:val="af"/>
        <w:rPr>
          <w:rFonts w:ascii="맑은 고딕" w:eastAsia="맑은 고딕" w:hAnsi="맑은 고딕" w:cs="Tahoma"/>
          <w:color w:val="000000"/>
          <w:sz w:val="21"/>
          <w:szCs w:val="21"/>
        </w:rPr>
      </w:pPr>
      <w:r>
        <w:t xml:space="preserve">Figure </w:t>
      </w:r>
      <w:r w:rsidR="00880C48">
        <w:t>3</w:t>
      </w:r>
      <w:r>
        <w:t xml:space="preserve"> </w:t>
      </w:r>
      <w:r>
        <w:rPr>
          <w:rFonts w:ascii="맑은 고딕" w:eastAsia="맑은 고딕" w:hAnsi="맑은 고딕" w:cs="Tahoma" w:hint="eastAsia"/>
          <w:color w:val="000000"/>
          <w:sz w:val="21"/>
          <w:szCs w:val="21"/>
        </w:rPr>
        <w:t>The importance of key capabilities in different usage scenarios</w:t>
      </w:r>
    </w:p>
    <w:p w14:paraId="7596CBBF" w14:textId="2BE03250" w:rsidR="00E96178" w:rsidRDefault="00E96178" w:rsidP="00E96178">
      <w:pPr>
        <w:pStyle w:val="IEEEStdsParagraph"/>
        <w:rPr>
          <w:rFonts w:eastAsia="MS Mincho"/>
        </w:rPr>
      </w:pPr>
    </w:p>
    <w:p w14:paraId="5C4CDE59" w14:textId="57EFA07B" w:rsidR="00401735" w:rsidRDefault="00A86681" w:rsidP="00977736">
      <w:pPr>
        <w:pStyle w:val="IEEEStdsParagraph"/>
        <w:rPr>
          <w:lang w:eastAsia="ko-KR"/>
        </w:rPr>
      </w:pPr>
      <w:r>
        <w:rPr>
          <w:noProof/>
          <w:lang w:eastAsia="ko-KR"/>
        </w:rPr>
        <w:drawing>
          <wp:inline distT="0" distB="0" distL="0" distR="0" wp14:anchorId="43E3EF2C" wp14:editId="4EA59D17">
            <wp:extent cx="5506029" cy="3352165"/>
            <wp:effectExtent l="0" t="0" r="0" b="63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7332" cy="3352958"/>
                    </a:xfrm>
                    <a:prstGeom prst="rect">
                      <a:avLst/>
                    </a:prstGeom>
                    <a:noFill/>
                  </pic:spPr>
                </pic:pic>
              </a:graphicData>
            </a:graphic>
          </wp:inline>
        </w:drawing>
      </w:r>
    </w:p>
    <w:p w14:paraId="6031A7C6" w14:textId="7EB7ECD5" w:rsidR="00A86681" w:rsidRPr="00E96178" w:rsidRDefault="00A86681" w:rsidP="00A86681">
      <w:pPr>
        <w:pStyle w:val="af"/>
        <w:rPr>
          <w:rFonts w:eastAsia="MS Mincho"/>
          <w:lang w:eastAsia="ko-KR"/>
        </w:rPr>
      </w:pPr>
      <w:r>
        <w:t xml:space="preserve">Figure </w:t>
      </w:r>
      <w:r w:rsidR="00880C48">
        <w:t>4</w:t>
      </w:r>
      <w:r>
        <w:t xml:space="preserve"> </w:t>
      </w:r>
      <w:r>
        <w:rPr>
          <w:rFonts w:hint="eastAsia"/>
          <w:lang w:eastAsia="ko-KR"/>
        </w:rPr>
        <w:t xml:space="preserve">usage </w:t>
      </w:r>
      <w:r>
        <w:rPr>
          <w:lang w:eastAsia="ko-KR"/>
        </w:rPr>
        <w:t>Scenarios of IMT for 2020 and beyond.</w:t>
      </w:r>
      <w:r>
        <w:rPr>
          <w:rStyle w:val="af3"/>
          <w:lang w:eastAsia="ko-KR"/>
        </w:rPr>
        <w:footnoteReference w:id="1"/>
      </w:r>
    </w:p>
    <w:p w14:paraId="1EEC63F4" w14:textId="061567E9" w:rsidR="00A86681" w:rsidRDefault="00A86681" w:rsidP="00977736">
      <w:pPr>
        <w:pStyle w:val="IEEEStdsParagraph"/>
        <w:rPr>
          <w:lang w:eastAsia="ko-KR"/>
        </w:rPr>
      </w:pPr>
    </w:p>
    <w:p w14:paraId="7E3FFD94" w14:textId="253355E6" w:rsidR="00A86681" w:rsidRDefault="00880C48" w:rsidP="00977736">
      <w:pPr>
        <w:pStyle w:val="IEEEStdsParagraph"/>
        <w:rPr>
          <w:lang w:eastAsia="ko-KR"/>
        </w:rPr>
      </w:pPr>
      <w:r>
        <w:rPr>
          <w:lang w:eastAsia="ko-KR"/>
        </w:rPr>
        <w:t>VR content based HMD don’t available under IMT-Advance</w:t>
      </w:r>
      <w:r w:rsidR="00A91576">
        <w:rPr>
          <w:lang w:eastAsia="ko-KR"/>
        </w:rPr>
        <w:t>(4G)</w:t>
      </w:r>
      <w:r>
        <w:rPr>
          <w:lang w:eastAsia="ko-KR"/>
        </w:rPr>
        <w:t xml:space="preserve"> speed.</w:t>
      </w:r>
    </w:p>
    <w:p w14:paraId="45684BF5" w14:textId="3765F145" w:rsidR="00A91576" w:rsidRDefault="00A91576" w:rsidP="00977736">
      <w:pPr>
        <w:pStyle w:val="IEEEStdsParagraph"/>
        <w:rPr>
          <w:lang w:eastAsia="ko-KR"/>
        </w:rPr>
      </w:pPr>
      <w:r>
        <w:rPr>
          <w:lang w:eastAsia="ko-KR"/>
        </w:rPr>
        <w:t>Because, VR content need a 4K graphics resource.</w:t>
      </w:r>
    </w:p>
    <w:p w14:paraId="548B4546" w14:textId="3342D921" w:rsidR="00880C48" w:rsidRDefault="00E41AB5" w:rsidP="00977736">
      <w:pPr>
        <w:pStyle w:val="IEEEStdsParagraph"/>
        <w:rPr>
          <w:lang w:eastAsia="ko-KR"/>
        </w:rPr>
      </w:pPr>
      <w:r>
        <w:rPr>
          <w:lang w:eastAsia="ko-KR"/>
        </w:rPr>
        <w:t>Therefore,</w:t>
      </w:r>
      <w:r w:rsidR="00880C48">
        <w:rPr>
          <w:lang w:eastAsia="ko-KR"/>
        </w:rPr>
        <w:t xml:space="preserve"> we don’t have consider to other cases.</w:t>
      </w:r>
    </w:p>
    <w:p w14:paraId="6FDC0AB8" w14:textId="1901F78F" w:rsidR="00880C48" w:rsidRDefault="00880C48" w:rsidP="00977736">
      <w:pPr>
        <w:pStyle w:val="IEEEStdsParagraph"/>
        <w:rPr>
          <w:lang w:eastAsia="ko-KR"/>
        </w:rPr>
      </w:pPr>
      <w:r>
        <w:rPr>
          <w:lang w:eastAsia="ko-KR"/>
        </w:rPr>
        <w:t>We should consider to just 3 cases scenario.</w:t>
      </w:r>
    </w:p>
    <w:p w14:paraId="7B82E291" w14:textId="315312A5" w:rsidR="00880C48" w:rsidRDefault="00880C48" w:rsidP="00880C48">
      <w:pPr>
        <w:pStyle w:val="IEEEStdsParagraph"/>
        <w:numPr>
          <w:ilvl w:val="0"/>
          <w:numId w:val="43"/>
        </w:numPr>
        <w:rPr>
          <w:lang w:eastAsia="ko-KR"/>
        </w:rPr>
      </w:pPr>
      <w:r>
        <w:rPr>
          <w:lang w:eastAsia="ko-KR"/>
        </w:rPr>
        <w:t xml:space="preserve">Between </w:t>
      </w:r>
      <w:r w:rsidR="00E41AB5">
        <w:rPr>
          <w:lang w:eastAsia="ko-KR"/>
        </w:rPr>
        <w:t>IMT-2020 and Wi-Fi.</w:t>
      </w:r>
    </w:p>
    <w:p w14:paraId="5AFF1101" w14:textId="72AFA89F" w:rsidR="00E41AB5" w:rsidRDefault="00E41AB5" w:rsidP="00880C48">
      <w:pPr>
        <w:pStyle w:val="IEEEStdsParagraph"/>
        <w:numPr>
          <w:ilvl w:val="0"/>
          <w:numId w:val="43"/>
        </w:numPr>
        <w:rPr>
          <w:lang w:eastAsia="ko-KR"/>
        </w:rPr>
      </w:pPr>
      <w:r>
        <w:rPr>
          <w:lang w:eastAsia="ko-KR"/>
        </w:rPr>
        <w:t>Between IMT-2020 and</w:t>
      </w:r>
      <w:r>
        <w:rPr>
          <w:lang w:eastAsia="ko-KR"/>
        </w:rPr>
        <w:t xml:space="preserve"> </w:t>
      </w:r>
      <w:r>
        <w:rPr>
          <w:lang w:eastAsia="ko-KR"/>
        </w:rPr>
        <w:t>IMT-Advance</w:t>
      </w:r>
      <w:r>
        <w:rPr>
          <w:lang w:eastAsia="ko-KR"/>
        </w:rPr>
        <w:t>.</w:t>
      </w:r>
    </w:p>
    <w:p w14:paraId="3329B541" w14:textId="1C6BFE87" w:rsidR="00E41AB5" w:rsidRDefault="00E41AB5" w:rsidP="00880C48">
      <w:pPr>
        <w:pStyle w:val="IEEEStdsParagraph"/>
        <w:numPr>
          <w:ilvl w:val="0"/>
          <w:numId w:val="43"/>
        </w:numPr>
        <w:rPr>
          <w:lang w:eastAsia="ko-KR"/>
        </w:rPr>
      </w:pPr>
      <w:r>
        <w:rPr>
          <w:lang w:eastAsia="ko-KR"/>
        </w:rPr>
        <w:t>Between Wi-Fi and IMT-Advance.</w:t>
      </w:r>
    </w:p>
    <w:p w14:paraId="76103EB5" w14:textId="4D43EAC0" w:rsidR="00E41AB5" w:rsidRDefault="00E41AB5" w:rsidP="00E41AB5">
      <w:pPr>
        <w:pStyle w:val="IEEEStdsParagraph"/>
        <w:rPr>
          <w:lang w:eastAsia="ko-KR"/>
        </w:rPr>
      </w:pPr>
      <w:r>
        <w:rPr>
          <w:lang w:eastAsia="ko-KR"/>
        </w:rPr>
        <w:t>These case are very simple.</w:t>
      </w:r>
    </w:p>
    <w:p w14:paraId="4191ACD4" w14:textId="77777777" w:rsidR="00E41AB5" w:rsidRPr="00880C48" w:rsidRDefault="00E41AB5" w:rsidP="00E41AB5">
      <w:pPr>
        <w:pStyle w:val="IEEEStdsParagraph"/>
        <w:rPr>
          <w:lang w:eastAsia="ko-KR"/>
        </w:rPr>
      </w:pPr>
      <w:bookmarkStart w:id="2" w:name="_GoBack"/>
      <w:bookmarkEnd w:id="2"/>
    </w:p>
    <w:sectPr w:rsidR="00E41AB5" w:rsidRPr="00880C48" w:rsidSect="009D1C52">
      <w:footerReference w:type="default" r:id="rId16"/>
      <w:footnotePr>
        <w:numRestart w:val="eachSect"/>
      </w:footnotePr>
      <w:pgSz w:w="12240" w:h="15840"/>
      <w:pgMar w:top="840" w:right="1680" w:bottom="900" w:left="1660" w:header="657" w:footer="1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26164" w14:textId="77777777" w:rsidR="00841311" w:rsidRDefault="00841311" w:rsidP="0010504F">
      <w:pPr>
        <w:spacing w:before="0"/>
      </w:pPr>
      <w:r>
        <w:separator/>
      </w:r>
    </w:p>
  </w:endnote>
  <w:endnote w:type="continuationSeparator" w:id="0">
    <w:p w14:paraId="03DC6122" w14:textId="77777777" w:rsidR="00841311" w:rsidRDefault="00841311"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2CEF1" w14:textId="00E24B96" w:rsidR="00DE6DD3" w:rsidRPr="00711CC4" w:rsidRDefault="00DE6DD3">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A91576" w:rsidRPr="00A91576">
      <w:rPr>
        <w:rFonts w:ascii="Times New Roman" w:hAnsi="Times New Roman"/>
        <w:noProof/>
        <w:lang w:val="ko-KR"/>
      </w:rPr>
      <w:t>3</w:t>
    </w:r>
    <w:r w:rsidRPr="00711CC4">
      <w:rPr>
        <w:rFonts w:ascii="Times New Roman" w:hAnsi="Times New Roman"/>
      </w:rPr>
      <w:fldChar w:fldCharType="end"/>
    </w:r>
  </w:p>
  <w:p w14:paraId="4939DBA0" w14:textId="77777777" w:rsidR="00DE6DD3" w:rsidRPr="00711CC4" w:rsidRDefault="00DE6DD3">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506D2" w14:textId="77777777" w:rsidR="00841311" w:rsidRDefault="00841311" w:rsidP="0010504F">
      <w:pPr>
        <w:spacing w:before="0"/>
      </w:pPr>
      <w:r>
        <w:separator/>
      </w:r>
    </w:p>
  </w:footnote>
  <w:footnote w:type="continuationSeparator" w:id="0">
    <w:p w14:paraId="312BEFB0" w14:textId="77777777" w:rsidR="00841311" w:rsidRDefault="00841311" w:rsidP="0010504F">
      <w:pPr>
        <w:spacing w:before="0"/>
      </w:pPr>
      <w:r>
        <w:continuationSeparator/>
      </w:r>
    </w:p>
  </w:footnote>
  <w:footnote w:id="1">
    <w:p w14:paraId="6BFE3B42" w14:textId="77777777" w:rsidR="00A86681" w:rsidRPr="00E96178" w:rsidRDefault="00A86681" w:rsidP="00A86681">
      <w:pPr>
        <w:pStyle w:val="af2"/>
        <w:jc w:val="both"/>
        <w:rPr>
          <w:rFonts w:eastAsiaTheme="minorEastAsia"/>
        </w:rPr>
      </w:pPr>
      <w:r>
        <w:rPr>
          <w:rStyle w:val="af3"/>
        </w:rPr>
        <w:footnoteRef/>
      </w:r>
      <w:r>
        <w:t xml:space="preserve"> </w:t>
      </w:r>
      <w:r w:rsidRPr="00E96178">
        <w:rPr>
          <w:sz w:val="18"/>
          <w:szCs w:val="18"/>
        </w:rPr>
        <w:t xml:space="preserve">Recommendation ITU-R </w:t>
      </w:r>
      <w:proofErr w:type="gramStart"/>
      <w:r w:rsidRPr="00E96178">
        <w:rPr>
          <w:sz w:val="18"/>
          <w:szCs w:val="18"/>
        </w:rPr>
        <w:t>M.[</w:t>
      </w:r>
      <w:proofErr w:type="spellStart"/>
      <w:proofErr w:type="gramEnd"/>
      <w:r w:rsidRPr="00E96178">
        <w:rPr>
          <w:sz w:val="18"/>
          <w:szCs w:val="18"/>
        </w:rPr>
        <w:t>IMT.Vision</w:t>
      </w:r>
      <w:proofErr w:type="spellEnd"/>
      <w:r w:rsidRPr="00E96178">
        <w:rPr>
          <w:sz w:val="18"/>
          <w:szCs w:val="18"/>
        </w:rPr>
        <w:t>], document 5/199, “Framework and overall objectives of the future development of IMT for 2020 and beyond” [adopted in July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A58348F"/>
    <w:multiLevelType w:val="hybridMultilevel"/>
    <w:tmpl w:val="9A9A9112"/>
    <w:lvl w:ilvl="0" w:tplc="D0A27D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1"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5"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6"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2"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3"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4"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7"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0"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1"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2"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abstractNum w:abstractNumId="33" w15:restartNumberingAfterBreak="0">
    <w:nsid w:val="7F716CDA"/>
    <w:multiLevelType w:val="hybridMultilevel"/>
    <w:tmpl w:val="1C5427B4"/>
    <w:lvl w:ilvl="0" w:tplc="32D6B38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1"/>
  </w:num>
  <w:num w:numId="2">
    <w:abstractNumId w:val="23"/>
  </w:num>
  <w:num w:numId="3">
    <w:abstractNumId w:val="28"/>
  </w:num>
  <w:num w:numId="4">
    <w:abstractNumId w:val="19"/>
  </w:num>
  <w:num w:numId="5">
    <w:abstractNumId w:val="22"/>
  </w:num>
  <w:num w:numId="6">
    <w:abstractNumId w:val="4"/>
  </w:num>
  <w:num w:numId="7">
    <w:abstractNumId w:val="6"/>
  </w:num>
  <w:num w:numId="8">
    <w:abstractNumId w:val="10"/>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7"/>
  </w:num>
  <w:num w:numId="13">
    <w:abstractNumId w:val="21"/>
  </w:num>
  <w:num w:numId="14">
    <w:abstractNumId w:val="30"/>
  </w:num>
  <w:num w:numId="15">
    <w:abstractNumId w:val="2"/>
  </w:num>
  <w:num w:numId="16">
    <w:abstractNumId w:val="5"/>
  </w:num>
  <w:num w:numId="17">
    <w:abstractNumId w:val="3"/>
  </w:num>
  <w:num w:numId="18">
    <w:abstractNumId w:val="24"/>
  </w:num>
  <w:num w:numId="19">
    <w:abstractNumId w:val="1"/>
  </w:num>
  <w:num w:numId="20">
    <w:abstractNumId w:val="12"/>
  </w:num>
  <w:num w:numId="21">
    <w:abstractNumId w:val="8"/>
  </w:num>
  <w:num w:numId="22">
    <w:abstractNumId w:val="1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9"/>
  </w:num>
  <w:num w:numId="27">
    <w:abstractNumId w:val="6"/>
  </w:num>
  <w:num w:numId="28">
    <w:abstractNumId w:val="6"/>
  </w:num>
  <w:num w:numId="29">
    <w:abstractNumId w:val="6"/>
  </w:num>
  <w:num w:numId="30">
    <w:abstractNumId w:val="6"/>
  </w:num>
  <w:num w:numId="31">
    <w:abstractNumId w:val="6"/>
  </w:num>
  <w:num w:numId="32">
    <w:abstractNumId w:val="14"/>
  </w:num>
  <w:num w:numId="33">
    <w:abstractNumId w:val="26"/>
  </w:num>
  <w:num w:numId="34">
    <w:abstractNumId w:val="15"/>
  </w:num>
  <w:num w:numId="35">
    <w:abstractNumId w:val="27"/>
  </w:num>
  <w:num w:numId="36">
    <w:abstractNumId w:val="0"/>
  </w:num>
  <w:num w:numId="37">
    <w:abstractNumId w:val="13"/>
  </w:num>
  <w:num w:numId="38">
    <w:abstractNumId w:val="11"/>
  </w:num>
  <w:num w:numId="39">
    <w:abstractNumId w:val="18"/>
  </w:num>
  <w:num w:numId="40">
    <w:abstractNumId w:val="25"/>
  </w:num>
  <w:num w:numId="41">
    <w:abstractNumId w:val="20"/>
  </w:num>
  <w:num w:numId="42">
    <w:abstractNumId w:val="33"/>
  </w:num>
  <w:num w:numId="4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oNotTrackFormatting/>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1073D"/>
    <w:rsid w:val="00015A83"/>
    <w:rsid w:val="000166D3"/>
    <w:rsid w:val="00017543"/>
    <w:rsid w:val="00023699"/>
    <w:rsid w:val="00023EDF"/>
    <w:rsid w:val="00025138"/>
    <w:rsid w:val="00026D33"/>
    <w:rsid w:val="00031A30"/>
    <w:rsid w:val="00033398"/>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14F"/>
    <w:rsid w:val="00085937"/>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166"/>
    <w:rsid w:val="000D1C00"/>
    <w:rsid w:val="000D50CE"/>
    <w:rsid w:val="000D70A0"/>
    <w:rsid w:val="000D7CB7"/>
    <w:rsid w:val="000E0069"/>
    <w:rsid w:val="000E2582"/>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BD6"/>
    <w:rsid w:val="00103EAE"/>
    <w:rsid w:val="0010500E"/>
    <w:rsid w:val="0010504F"/>
    <w:rsid w:val="0010584C"/>
    <w:rsid w:val="00105A4B"/>
    <w:rsid w:val="00106085"/>
    <w:rsid w:val="001066E3"/>
    <w:rsid w:val="00110490"/>
    <w:rsid w:val="00110A1D"/>
    <w:rsid w:val="0011253A"/>
    <w:rsid w:val="0011311E"/>
    <w:rsid w:val="00114DDA"/>
    <w:rsid w:val="0011537D"/>
    <w:rsid w:val="00120A12"/>
    <w:rsid w:val="00120C0D"/>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4F14"/>
    <w:rsid w:val="00146911"/>
    <w:rsid w:val="00146E76"/>
    <w:rsid w:val="00146E7C"/>
    <w:rsid w:val="001500A2"/>
    <w:rsid w:val="00162454"/>
    <w:rsid w:val="00163220"/>
    <w:rsid w:val="0016729F"/>
    <w:rsid w:val="00170BBB"/>
    <w:rsid w:val="00171D01"/>
    <w:rsid w:val="00171DBC"/>
    <w:rsid w:val="0017273A"/>
    <w:rsid w:val="001747DF"/>
    <w:rsid w:val="00175713"/>
    <w:rsid w:val="00175B90"/>
    <w:rsid w:val="00180CAC"/>
    <w:rsid w:val="001840BE"/>
    <w:rsid w:val="00186F30"/>
    <w:rsid w:val="00190BD6"/>
    <w:rsid w:val="00192A00"/>
    <w:rsid w:val="00194103"/>
    <w:rsid w:val="00194C73"/>
    <w:rsid w:val="00194F1F"/>
    <w:rsid w:val="0019510C"/>
    <w:rsid w:val="00197391"/>
    <w:rsid w:val="001A0300"/>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3A86"/>
    <w:rsid w:val="0022582B"/>
    <w:rsid w:val="002259F3"/>
    <w:rsid w:val="00226790"/>
    <w:rsid w:val="002302AC"/>
    <w:rsid w:val="002331AA"/>
    <w:rsid w:val="002366D9"/>
    <w:rsid w:val="002372C5"/>
    <w:rsid w:val="00237E4A"/>
    <w:rsid w:val="00242301"/>
    <w:rsid w:val="002444F4"/>
    <w:rsid w:val="00244575"/>
    <w:rsid w:val="00244918"/>
    <w:rsid w:val="0024623F"/>
    <w:rsid w:val="00247140"/>
    <w:rsid w:val="002471AF"/>
    <w:rsid w:val="00250076"/>
    <w:rsid w:val="00254B1C"/>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9CC"/>
    <w:rsid w:val="002A1AAE"/>
    <w:rsid w:val="002A27D7"/>
    <w:rsid w:val="002A3E69"/>
    <w:rsid w:val="002A5BE9"/>
    <w:rsid w:val="002A7F8C"/>
    <w:rsid w:val="002B1B70"/>
    <w:rsid w:val="002B27BC"/>
    <w:rsid w:val="002B5677"/>
    <w:rsid w:val="002B6232"/>
    <w:rsid w:val="002B6927"/>
    <w:rsid w:val="002B712A"/>
    <w:rsid w:val="002B7374"/>
    <w:rsid w:val="002C1C62"/>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33B8"/>
    <w:rsid w:val="00357070"/>
    <w:rsid w:val="00361A15"/>
    <w:rsid w:val="0036203D"/>
    <w:rsid w:val="0036309F"/>
    <w:rsid w:val="00363849"/>
    <w:rsid w:val="00364432"/>
    <w:rsid w:val="0037263C"/>
    <w:rsid w:val="0037291C"/>
    <w:rsid w:val="003748DC"/>
    <w:rsid w:val="003754FB"/>
    <w:rsid w:val="00376193"/>
    <w:rsid w:val="0037653F"/>
    <w:rsid w:val="003807AA"/>
    <w:rsid w:val="0038278B"/>
    <w:rsid w:val="00387A52"/>
    <w:rsid w:val="00390F1E"/>
    <w:rsid w:val="00392ED7"/>
    <w:rsid w:val="0039411B"/>
    <w:rsid w:val="00396013"/>
    <w:rsid w:val="0039697F"/>
    <w:rsid w:val="00397D4A"/>
    <w:rsid w:val="003A3A90"/>
    <w:rsid w:val="003A5BBB"/>
    <w:rsid w:val="003A5FC2"/>
    <w:rsid w:val="003A6F3E"/>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1735"/>
    <w:rsid w:val="004029DB"/>
    <w:rsid w:val="004153AA"/>
    <w:rsid w:val="0041690B"/>
    <w:rsid w:val="00417DC0"/>
    <w:rsid w:val="004252E5"/>
    <w:rsid w:val="00425614"/>
    <w:rsid w:val="004260D1"/>
    <w:rsid w:val="004279CA"/>
    <w:rsid w:val="004306E0"/>
    <w:rsid w:val="00431E6F"/>
    <w:rsid w:val="0043359F"/>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CEE"/>
    <w:rsid w:val="00476FDD"/>
    <w:rsid w:val="00477C8F"/>
    <w:rsid w:val="004802A5"/>
    <w:rsid w:val="0048072F"/>
    <w:rsid w:val="004813EC"/>
    <w:rsid w:val="004821B2"/>
    <w:rsid w:val="004827FE"/>
    <w:rsid w:val="0048315A"/>
    <w:rsid w:val="004836DD"/>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1CE7"/>
    <w:rsid w:val="00512DB8"/>
    <w:rsid w:val="00515805"/>
    <w:rsid w:val="00520243"/>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2DEF"/>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4258"/>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221"/>
    <w:rsid w:val="00641347"/>
    <w:rsid w:val="0064383D"/>
    <w:rsid w:val="00643B98"/>
    <w:rsid w:val="00644C8D"/>
    <w:rsid w:val="00644F43"/>
    <w:rsid w:val="00646956"/>
    <w:rsid w:val="00646A2B"/>
    <w:rsid w:val="00650E94"/>
    <w:rsid w:val="0065130E"/>
    <w:rsid w:val="00652A78"/>
    <w:rsid w:val="006534CF"/>
    <w:rsid w:val="00653A78"/>
    <w:rsid w:val="006555E0"/>
    <w:rsid w:val="0065612B"/>
    <w:rsid w:val="00656AB7"/>
    <w:rsid w:val="0065752F"/>
    <w:rsid w:val="00662D8E"/>
    <w:rsid w:val="00663E9D"/>
    <w:rsid w:val="00664492"/>
    <w:rsid w:val="0066455E"/>
    <w:rsid w:val="006658C1"/>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A7E50"/>
    <w:rsid w:val="006B0D10"/>
    <w:rsid w:val="006B1B5E"/>
    <w:rsid w:val="006B2A64"/>
    <w:rsid w:val="006B62DF"/>
    <w:rsid w:val="006C0101"/>
    <w:rsid w:val="006C7322"/>
    <w:rsid w:val="006D28EA"/>
    <w:rsid w:val="006D2903"/>
    <w:rsid w:val="006D5DB0"/>
    <w:rsid w:val="006D7A0E"/>
    <w:rsid w:val="006E1993"/>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051"/>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2B8"/>
    <w:rsid w:val="00803930"/>
    <w:rsid w:val="0080561B"/>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311"/>
    <w:rsid w:val="0084148C"/>
    <w:rsid w:val="008427F1"/>
    <w:rsid w:val="00844876"/>
    <w:rsid w:val="00844F84"/>
    <w:rsid w:val="008475A7"/>
    <w:rsid w:val="008501AB"/>
    <w:rsid w:val="008506F7"/>
    <w:rsid w:val="008512D8"/>
    <w:rsid w:val="00856EC0"/>
    <w:rsid w:val="008571EF"/>
    <w:rsid w:val="00857682"/>
    <w:rsid w:val="00860101"/>
    <w:rsid w:val="008626E5"/>
    <w:rsid w:val="008647B1"/>
    <w:rsid w:val="00864F00"/>
    <w:rsid w:val="00864F29"/>
    <w:rsid w:val="00865A76"/>
    <w:rsid w:val="00866991"/>
    <w:rsid w:val="00866A75"/>
    <w:rsid w:val="00870141"/>
    <w:rsid w:val="0087018D"/>
    <w:rsid w:val="0087104C"/>
    <w:rsid w:val="00871128"/>
    <w:rsid w:val="008725C3"/>
    <w:rsid w:val="00873358"/>
    <w:rsid w:val="00874FC5"/>
    <w:rsid w:val="00880805"/>
    <w:rsid w:val="00880C48"/>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77736"/>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C52"/>
    <w:rsid w:val="009D1F09"/>
    <w:rsid w:val="009D1F61"/>
    <w:rsid w:val="009D239C"/>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02DB"/>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681"/>
    <w:rsid w:val="00A86963"/>
    <w:rsid w:val="00A86A79"/>
    <w:rsid w:val="00A907F3"/>
    <w:rsid w:val="00A9135F"/>
    <w:rsid w:val="00A91576"/>
    <w:rsid w:val="00A9205B"/>
    <w:rsid w:val="00A94336"/>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3065"/>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274A"/>
    <w:rsid w:val="00B038F1"/>
    <w:rsid w:val="00B03A74"/>
    <w:rsid w:val="00B03DC6"/>
    <w:rsid w:val="00B050B7"/>
    <w:rsid w:val="00B0537B"/>
    <w:rsid w:val="00B0739E"/>
    <w:rsid w:val="00B109B8"/>
    <w:rsid w:val="00B112C7"/>
    <w:rsid w:val="00B1164F"/>
    <w:rsid w:val="00B11923"/>
    <w:rsid w:val="00B12F11"/>
    <w:rsid w:val="00B17FB6"/>
    <w:rsid w:val="00B20D08"/>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650AD"/>
    <w:rsid w:val="00B73495"/>
    <w:rsid w:val="00B757B0"/>
    <w:rsid w:val="00B7636E"/>
    <w:rsid w:val="00B803ED"/>
    <w:rsid w:val="00B8131A"/>
    <w:rsid w:val="00B8159E"/>
    <w:rsid w:val="00B857BE"/>
    <w:rsid w:val="00B86198"/>
    <w:rsid w:val="00B9010C"/>
    <w:rsid w:val="00B90796"/>
    <w:rsid w:val="00B95615"/>
    <w:rsid w:val="00B957E6"/>
    <w:rsid w:val="00B9649C"/>
    <w:rsid w:val="00B96EC6"/>
    <w:rsid w:val="00B96FE6"/>
    <w:rsid w:val="00BA0522"/>
    <w:rsid w:val="00BA09AD"/>
    <w:rsid w:val="00BA2166"/>
    <w:rsid w:val="00BA5001"/>
    <w:rsid w:val="00BA7166"/>
    <w:rsid w:val="00BB44D8"/>
    <w:rsid w:val="00BB4971"/>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303E"/>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0BA0"/>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0D56"/>
    <w:rsid w:val="00CE62E6"/>
    <w:rsid w:val="00CE6829"/>
    <w:rsid w:val="00CE6FE4"/>
    <w:rsid w:val="00CF3450"/>
    <w:rsid w:val="00CF3DDB"/>
    <w:rsid w:val="00CF5BB5"/>
    <w:rsid w:val="00CF6D84"/>
    <w:rsid w:val="00CF6DF3"/>
    <w:rsid w:val="00CF7B76"/>
    <w:rsid w:val="00CF7CEE"/>
    <w:rsid w:val="00D003B7"/>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6DD3"/>
    <w:rsid w:val="00DE7124"/>
    <w:rsid w:val="00DE773D"/>
    <w:rsid w:val="00DE79D9"/>
    <w:rsid w:val="00DF1BFF"/>
    <w:rsid w:val="00DF434A"/>
    <w:rsid w:val="00DF6D72"/>
    <w:rsid w:val="00DF6E1F"/>
    <w:rsid w:val="00DF73B3"/>
    <w:rsid w:val="00DF7F93"/>
    <w:rsid w:val="00E00549"/>
    <w:rsid w:val="00E00DF6"/>
    <w:rsid w:val="00E01E59"/>
    <w:rsid w:val="00E046A1"/>
    <w:rsid w:val="00E05232"/>
    <w:rsid w:val="00E055E3"/>
    <w:rsid w:val="00E07B4F"/>
    <w:rsid w:val="00E11608"/>
    <w:rsid w:val="00E11C47"/>
    <w:rsid w:val="00E14096"/>
    <w:rsid w:val="00E150ED"/>
    <w:rsid w:val="00E15277"/>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AB5"/>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140"/>
    <w:rsid w:val="00E73FA3"/>
    <w:rsid w:val="00E764EC"/>
    <w:rsid w:val="00E81511"/>
    <w:rsid w:val="00E81FEB"/>
    <w:rsid w:val="00E82ECD"/>
    <w:rsid w:val="00E833F5"/>
    <w:rsid w:val="00E837D6"/>
    <w:rsid w:val="00E8671B"/>
    <w:rsid w:val="00E871EA"/>
    <w:rsid w:val="00E90B6C"/>
    <w:rsid w:val="00E92068"/>
    <w:rsid w:val="00E93EDB"/>
    <w:rsid w:val="00E95BC1"/>
    <w:rsid w:val="00E96178"/>
    <w:rsid w:val="00E96994"/>
    <w:rsid w:val="00EA122D"/>
    <w:rsid w:val="00EA6BC1"/>
    <w:rsid w:val="00EB05DC"/>
    <w:rsid w:val="00EB0F9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9D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A9F"/>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1560"/>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E5CA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2CFCA346-B727-4FFA-9F2F-22560AE3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MS Mincho" w:hAnsi="Times New Roman"/>
      <w:sz w:val="18"/>
      <w:szCs w:val="20"/>
      <w:lang w:val="en-US" w:eastAsia="ja-JP"/>
    </w:rPr>
  </w:style>
  <w:style w:type="character" w:customStyle="1" w:styleId="IEEEStdsLevel3HeaderChar">
    <w:name w:val="IEEEStds Level 3 Header Char"/>
    <w:link w:val="IEEEStdsLevel3Header"/>
    <w:rsid w:val="006658C1"/>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6658C1"/>
    <w:rPr>
      <w:rFonts w:ascii="Arial" w:eastAsia="맑은 고딕" w:hAnsi="Arial" w:cs="Times New Roman"/>
      <w:b/>
      <w:sz w:val="20"/>
      <w:szCs w:val="20"/>
      <w:lang w:eastAsia="ja-JP"/>
    </w:rPr>
  </w:style>
  <w:style w:type="paragraph" w:customStyle="1" w:styleId="IEEEStdsImage">
    <w:name w:val="IEEEStds Image"/>
    <w:basedOn w:val="IEEEStdsParagraph"/>
    <w:next w:val="IEEEStdsParagraph"/>
    <w:rsid w:val="006658C1"/>
    <w:pPr>
      <w:keepNext/>
      <w:keepLines/>
      <w:spacing w:before="240" w:after="0"/>
      <w:jc w:val="center"/>
    </w:pPr>
    <w:rPr>
      <w:rFonts w:eastAsia="맑은 고딕"/>
    </w:rPr>
  </w:style>
  <w:style w:type="paragraph" w:customStyle="1" w:styleId="IEEEStdsTableColumnHead">
    <w:name w:val="IEEEStds Table Column Head"/>
    <w:basedOn w:val="IEEEStdsParagraph"/>
    <w:rsid w:val="00244918"/>
    <w:pPr>
      <w:keepNext/>
      <w:keepLines/>
      <w:spacing w:after="0"/>
      <w:jc w:val="center"/>
    </w:pPr>
    <w:rPr>
      <w:rFonts w:eastAsia="맑은 고딕"/>
      <w:b/>
      <w:sz w:val="18"/>
    </w:rPr>
  </w:style>
  <w:style w:type="paragraph" w:customStyle="1" w:styleId="IEEEStdsTableData-Left">
    <w:name w:val="IEEEStds Table Data - Left"/>
    <w:basedOn w:val="IEEEStdsParagraph"/>
    <w:rsid w:val="00244918"/>
    <w:pPr>
      <w:keepNext/>
      <w:keepLines/>
      <w:spacing w:after="0"/>
      <w:jc w:val="left"/>
    </w:pPr>
    <w:rPr>
      <w:rFonts w:eastAsia="맑은 고딕"/>
      <w:sz w:val="18"/>
    </w:rPr>
  </w:style>
  <w:style w:type="paragraph" w:styleId="af0">
    <w:name w:val="endnote text"/>
    <w:basedOn w:val="a"/>
    <w:link w:val="Char4"/>
    <w:uiPriority w:val="99"/>
    <w:semiHidden/>
    <w:unhideWhenUsed/>
    <w:rsid w:val="00E96178"/>
    <w:pPr>
      <w:snapToGrid w:val="0"/>
    </w:pPr>
  </w:style>
  <w:style w:type="character" w:customStyle="1" w:styleId="Char4">
    <w:name w:val="미주 텍스트 Char"/>
    <w:basedOn w:val="a0"/>
    <w:link w:val="af0"/>
    <w:uiPriority w:val="99"/>
    <w:semiHidden/>
    <w:rsid w:val="00E96178"/>
    <w:rPr>
      <w:rFonts w:ascii="Myriad Pro" w:eastAsia="Calibri" w:hAnsi="Myriad Pro" w:cs="Times New Roman"/>
      <w:sz w:val="24"/>
      <w:szCs w:val="24"/>
      <w:lang w:val="en-GB"/>
    </w:rPr>
  </w:style>
  <w:style w:type="character" w:styleId="af1">
    <w:name w:val="endnote reference"/>
    <w:basedOn w:val="a0"/>
    <w:uiPriority w:val="99"/>
    <w:semiHidden/>
    <w:unhideWhenUsed/>
    <w:rsid w:val="00E96178"/>
    <w:rPr>
      <w:vertAlign w:val="superscript"/>
    </w:rPr>
  </w:style>
  <w:style w:type="paragraph" w:styleId="af2">
    <w:name w:val="footnote text"/>
    <w:basedOn w:val="a"/>
    <w:link w:val="Char5"/>
    <w:uiPriority w:val="99"/>
    <w:semiHidden/>
    <w:unhideWhenUsed/>
    <w:rsid w:val="00E96178"/>
    <w:pPr>
      <w:snapToGrid w:val="0"/>
    </w:pPr>
  </w:style>
  <w:style w:type="character" w:customStyle="1" w:styleId="Char5">
    <w:name w:val="각주 텍스트 Char"/>
    <w:basedOn w:val="a0"/>
    <w:link w:val="af2"/>
    <w:uiPriority w:val="99"/>
    <w:semiHidden/>
    <w:rsid w:val="00E96178"/>
    <w:rPr>
      <w:rFonts w:ascii="Myriad Pro" w:eastAsia="Calibri" w:hAnsi="Myriad Pro" w:cs="Times New Roman"/>
      <w:sz w:val="24"/>
      <w:szCs w:val="24"/>
      <w:lang w:val="en-GB"/>
    </w:rPr>
  </w:style>
  <w:style w:type="character" w:styleId="af3">
    <w:name w:val="footnote reference"/>
    <w:basedOn w:val="a0"/>
    <w:uiPriority w:val="99"/>
    <w:semiHidden/>
    <w:unhideWhenUsed/>
    <w:rsid w:val="00E96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D503-DAA7-478D-8012-9F691B1D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574</Words>
  <Characters>3276</Characters>
  <Application>Microsoft Office Word</Application>
  <DocSecurity>0</DocSecurity>
  <Lines>27</Lines>
  <Paragraphs>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ohba yoshihiro(大場 義洋 ＴＥＡ Advanced Technical Marketing Department)</dc:creator>
  <cp:keywords/>
  <dc:description/>
  <cp:lastModifiedBy>MANNERKING</cp:lastModifiedBy>
  <cp:revision>3</cp:revision>
  <cp:lastPrinted>2014-10-31T02:19:00Z</cp:lastPrinted>
  <dcterms:created xsi:type="dcterms:W3CDTF">2016-07-25T10:18:00Z</dcterms:created>
  <dcterms:modified xsi:type="dcterms:W3CDTF">2016-07-25T11:16:00Z</dcterms:modified>
</cp:coreProperties>
</file>