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0977D0" w:rsidRPr="001747DF" w:rsidTr="002201E9">
        <w:tc>
          <w:tcPr>
            <w:tcW w:w="1350" w:type="dxa"/>
          </w:tcPr>
          <w:p w:rsidR="000977D0" w:rsidRPr="001747DF" w:rsidRDefault="000977D0" w:rsidP="002201E9">
            <w:pPr>
              <w:pStyle w:val="covertext"/>
            </w:pPr>
            <w:r w:rsidRPr="001747DF">
              <w:t>Project</w:t>
            </w:r>
          </w:p>
        </w:tc>
        <w:tc>
          <w:tcPr>
            <w:tcW w:w="9018" w:type="dxa"/>
          </w:tcPr>
          <w:p w:rsidR="000977D0" w:rsidRPr="001747DF" w:rsidRDefault="000977D0" w:rsidP="002201E9">
            <w:pPr>
              <w:pStyle w:val="covertext"/>
              <w:rPr>
                <w:b/>
              </w:rPr>
            </w:pPr>
            <w:r w:rsidRPr="001747DF">
              <w:rPr>
                <w:b/>
              </w:rPr>
              <w:t>IEEE 802.21.1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0977D0" w:rsidRPr="001747DF" w:rsidRDefault="000977D0" w:rsidP="002201E9">
            <w:pPr>
              <w:pStyle w:val="covertext"/>
              <w:rPr>
                <w:b/>
              </w:rPr>
            </w:pPr>
            <w:r w:rsidRPr="001747DF">
              <w:rPr>
                <w:b/>
              </w:rPr>
              <w:t>&lt;</w:t>
            </w:r>
            <w:hyperlink r:id="rId7" w:history="1">
              <w:r w:rsidRPr="001747DF">
                <w:rPr>
                  <w:rStyle w:val="a9"/>
                  <w:b/>
                  <w:lang w:bidi="ar-SA"/>
                </w:rPr>
                <w:t>http://www.ieee802.org/21/</w:t>
              </w:r>
            </w:hyperlink>
            <w:r w:rsidRPr="001747DF">
              <w:rPr>
                <w:b/>
              </w:rPr>
              <w:t>&gt;</w:t>
            </w:r>
          </w:p>
        </w:tc>
      </w:tr>
      <w:tr w:rsidR="000977D0" w:rsidRPr="00C92280" w:rsidTr="002201E9">
        <w:tc>
          <w:tcPr>
            <w:tcW w:w="1350" w:type="dxa"/>
          </w:tcPr>
          <w:p w:rsidR="000977D0" w:rsidRPr="001747DF" w:rsidRDefault="000977D0" w:rsidP="002201E9">
            <w:pPr>
              <w:pStyle w:val="covertext"/>
            </w:pPr>
            <w:r w:rsidRPr="001747DF">
              <w:t>Title</w:t>
            </w:r>
          </w:p>
        </w:tc>
        <w:tc>
          <w:tcPr>
            <w:tcW w:w="9018" w:type="dxa"/>
          </w:tcPr>
          <w:p w:rsidR="000977D0" w:rsidRPr="00110490" w:rsidRDefault="000977D0" w:rsidP="002201E9">
            <w:pPr>
              <w:pStyle w:val="covertext"/>
              <w:rPr>
                <w:rFonts w:eastAsia="ＭＳ 明朝"/>
                <w:b/>
                <w:lang w:eastAsia="ja-JP"/>
              </w:rPr>
            </w:pPr>
            <w:r>
              <w:rPr>
                <w:rFonts w:eastAsia="ＭＳ 明朝" w:hint="eastAsia"/>
                <w:b/>
                <w:lang w:eastAsia="ja-JP"/>
              </w:rPr>
              <w:t xml:space="preserve">Proposed remedy for </w:t>
            </w:r>
            <w:r>
              <w:rPr>
                <w:rFonts w:eastAsia="ＭＳ 明朝"/>
                <w:b/>
                <w:lang w:eastAsia="ja-JP"/>
              </w:rPr>
              <w:t>Cmt #</w:t>
            </w:r>
            <w:r>
              <w:rPr>
                <w:rFonts w:eastAsia="ＭＳ 明朝" w:hint="eastAsia"/>
                <w:b/>
                <w:lang w:eastAsia="ja-JP"/>
              </w:rPr>
              <w:t>4 of LB</w:t>
            </w:r>
            <w:r>
              <w:rPr>
                <w:rFonts w:eastAsia="ＭＳ 明朝"/>
                <w:b/>
                <w:lang w:eastAsia="ja-JP"/>
              </w:rPr>
              <w:t>11</w:t>
            </w:r>
          </w:p>
        </w:tc>
      </w:tr>
      <w:tr w:rsidR="000977D0" w:rsidRPr="001747DF" w:rsidTr="002201E9">
        <w:tc>
          <w:tcPr>
            <w:tcW w:w="1350" w:type="dxa"/>
          </w:tcPr>
          <w:p w:rsidR="000977D0" w:rsidRPr="001747DF" w:rsidRDefault="000977D0" w:rsidP="002201E9">
            <w:pPr>
              <w:pStyle w:val="covertext"/>
            </w:pPr>
            <w:r w:rsidRPr="001747DF">
              <w:t>DCN</w:t>
            </w:r>
          </w:p>
        </w:tc>
        <w:tc>
          <w:tcPr>
            <w:tcW w:w="9018" w:type="dxa"/>
          </w:tcPr>
          <w:p w:rsidR="000977D0" w:rsidRPr="001747DF" w:rsidRDefault="000977D0" w:rsidP="002201E9">
            <w:pPr>
              <w:pStyle w:val="covertext"/>
              <w:rPr>
                <w:b/>
              </w:rPr>
            </w:pPr>
            <w:r w:rsidRPr="001747DF">
              <w:rPr>
                <w:b/>
              </w:rPr>
              <w:t>21-1</w:t>
            </w:r>
            <w:r>
              <w:rPr>
                <w:b/>
              </w:rPr>
              <w:t>6</w:t>
            </w:r>
            <w:r w:rsidRPr="001747DF">
              <w:rPr>
                <w:b/>
              </w:rPr>
              <w:t>-</w:t>
            </w:r>
            <w:r>
              <w:rPr>
                <w:rFonts w:hint="eastAsia"/>
                <w:b/>
              </w:rPr>
              <w:t>00</w:t>
            </w:r>
            <w:r w:rsidR="006C5F6C">
              <w:rPr>
                <w:rFonts w:hint="eastAsia"/>
                <w:b/>
                <w:lang w:eastAsia="ja-JP"/>
              </w:rPr>
              <w:t>74</w:t>
            </w:r>
            <w:r>
              <w:rPr>
                <w:rFonts w:hint="eastAsia"/>
                <w:b/>
              </w:rPr>
              <w:t>-</w:t>
            </w:r>
            <w:r w:rsidR="00990540">
              <w:rPr>
                <w:b/>
              </w:rPr>
              <w:t>0</w:t>
            </w:r>
            <w:r w:rsidR="00990540">
              <w:rPr>
                <w:rFonts w:hint="eastAsia"/>
                <w:b/>
                <w:lang w:eastAsia="ja-JP"/>
              </w:rPr>
              <w:t>1</w:t>
            </w:r>
            <w:r>
              <w:rPr>
                <w:b/>
              </w:rPr>
              <w:t>-SAUC</w:t>
            </w:r>
          </w:p>
        </w:tc>
      </w:tr>
      <w:tr w:rsidR="000977D0" w:rsidRPr="001747DF" w:rsidTr="002201E9">
        <w:tc>
          <w:tcPr>
            <w:tcW w:w="1350" w:type="dxa"/>
          </w:tcPr>
          <w:p w:rsidR="000977D0" w:rsidRPr="001747DF" w:rsidRDefault="000977D0" w:rsidP="002201E9">
            <w:pPr>
              <w:pStyle w:val="covertext"/>
            </w:pPr>
            <w:r w:rsidRPr="001747DF">
              <w:t>Date Submitted</w:t>
            </w:r>
          </w:p>
        </w:tc>
        <w:tc>
          <w:tcPr>
            <w:tcW w:w="9018" w:type="dxa"/>
          </w:tcPr>
          <w:p w:rsidR="000977D0" w:rsidRPr="001747DF" w:rsidRDefault="000977D0" w:rsidP="002201E9">
            <w:pPr>
              <w:pStyle w:val="covertext"/>
              <w:rPr>
                <w:b/>
              </w:rPr>
            </w:pPr>
            <w:r>
              <w:rPr>
                <w:b/>
              </w:rPr>
              <w:t>May 16</w:t>
            </w:r>
            <w:r>
              <w:rPr>
                <w:rFonts w:hint="eastAsia"/>
                <w:b/>
              </w:rPr>
              <w:t>, 201</w:t>
            </w:r>
            <w:r>
              <w:rPr>
                <w:b/>
              </w:rPr>
              <w:t>6</w:t>
            </w:r>
          </w:p>
        </w:tc>
      </w:tr>
      <w:tr w:rsidR="000977D0" w:rsidRPr="001747DF" w:rsidTr="002201E9">
        <w:tc>
          <w:tcPr>
            <w:tcW w:w="1350" w:type="dxa"/>
          </w:tcPr>
          <w:p w:rsidR="000977D0" w:rsidRPr="001747DF" w:rsidRDefault="000977D0" w:rsidP="002201E9">
            <w:pPr>
              <w:pStyle w:val="covertext"/>
            </w:pPr>
            <w:r w:rsidRPr="001747DF">
              <w:t>Source(s)</w:t>
            </w:r>
          </w:p>
        </w:tc>
        <w:tc>
          <w:tcPr>
            <w:tcW w:w="9018" w:type="dxa"/>
          </w:tcPr>
          <w:p w:rsidR="000977D0" w:rsidRPr="00B558AA" w:rsidRDefault="000977D0" w:rsidP="002201E9">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0977D0" w:rsidRPr="001747DF" w:rsidTr="002201E9">
        <w:tc>
          <w:tcPr>
            <w:tcW w:w="1350" w:type="dxa"/>
          </w:tcPr>
          <w:p w:rsidR="000977D0" w:rsidRPr="001747DF" w:rsidRDefault="000977D0" w:rsidP="002201E9">
            <w:pPr>
              <w:pStyle w:val="covertext"/>
            </w:pPr>
            <w:r w:rsidRPr="001747DF">
              <w:t>Re:</w:t>
            </w:r>
          </w:p>
        </w:tc>
        <w:tc>
          <w:tcPr>
            <w:tcW w:w="9018" w:type="dxa"/>
          </w:tcPr>
          <w:p w:rsidR="000977D0" w:rsidRPr="00F473D8" w:rsidRDefault="000977D0" w:rsidP="002201E9">
            <w:pPr>
              <w:pStyle w:val="covertext"/>
              <w:rPr>
                <w:rFonts w:eastAsia="ＭＳ 明朝"/>
                <w:lang w:val="en-GB" w:eastAsia="ja-JP"/>
              </w:rPr>
            </w:pPr>
            <w:r>
              <w:rPr>
                <w:rFonts w:eastAsia="ＭＳ 明朝" w:hint="eastAsia"/>
                <w:lang w:val="en-GB" w:eastAsia="ja-JP"/>
              </w:rPr>
              <w:t>Session #7</w:t>
            </w:r>
            <w:r>
              <w:rPr>
                <w:rFonts w:eastAsia="ＭＳ 明朝"/>
                <w:lang w:val="en-GB" w:eastAsia="ja-JP"/>
              </w:rPr>
              <w:t xml:space="preserve">4, </w:t>
            </w:r>
            <w:r w:rsidRPr="002939E0">
              <w:rPr>
                <w:rFonts w:eastAsia="ＭＳ 明朝"/>
                <w:lang w:val="en-GB" w:eastAsia="ja-JP"/>
              </w:rPr>
              <w:t>Big Island, HI, USA</w:t>
            </w:r>
          </w:p>
        </w:tc>
      </w:tr>
      <w:tr w:rsidR="000977D0" w:rsidRPr="00441EBF" w:rsidTr="002201E9">
        <w:tc>
          <w:tcPr>
            <w:tcW w:w="1350" w:type="dxa"/>
          </w:tcPr>
          <w:p w:rsidR="000977D0" w:rsidRPr="001747DF" w:rsidRDefault="000977D0" w:rsidP="002201E9">
            <w:pPr>
              <w:pStyle w:val="covertext"/>
            </w:pPr>
            <w:r w:rsidRPr="001747DF">
              <w:t>Abstract</w:t>
            </w:r>
          </w:p>
        </w:tc>
        <w:tc>
          <w:tcPr>
            <w:tcW w:w="9018" w:type="dxa"/>
          </w:tcPr>
          <w:p w:rsidR="000977D0" w:rsidRPr="00F473D8" w:rsidRDefault="000977D0" w:rsidP="002201E9">
            <w:pPr>
              <w:pStyle w:val="covertext"/>
              <w:jc w:val="both"/>
              <w:rPr>
                <w:rFonts w:eastAsia="ＭＳ 明朝"/>
                <w:lang w:eastAsia="ja-JP"/>
              </w:rPr>
            </w:pPr>
            <w:r>
              <w:rPr>
                <w:rFonts w:eastAsia="ＭＳ 明朝"/>
                <w:lang w:eastAsia="ja-JP"/>
              </w:rPr>
              <w:t xml:space="preserve">Figure 2 in 21.1 draft describes a general model of </w:t>
            </w:r>
            <w:r w:rsidRPr="000977D0">
              <w:rPr>
                <w:rFonts w:eastAsia="ＭＳ 明朝"/>
                <w:lang w:eastAsia="ja-JP"/>
              </w:rPr>
              <w:t>Single radio handover functional model</w:t>
            </w:r>
            <w:r>
              <w:rPr>
                <w:rFonts w:eastAsia="ＭＳ 明朝"/>
                <w:lang w:eastAsia="ja-JP"/>
              </w:rPr>
              <w:t>. To solve Cmt #4, this contribution proposes to add an explanation text for a special case.</w:t>
            </w:r>
          </w:p>
        </w:tc>
      </w:tr>
      <w:tr w:rsidR="000977D0" w:rsidRPr="001747DF" w:rsidTr="002201E9">
        <w:tc>
          <w:tcPr>
            <w:tcW w:w="1350" w:type="dxa"/>
          </w:tcPr>
          <w:p w:rsidR="000977D0" w:rsidRPr="001747DF" w:rsidRDefault="000977D0" w:rsidP="002201E9">
            <w:pPr>
              <w:pStyle w:val="covertext"/>
            </w:pPr>
            <w:r w:rsidRPr="001747DF">
              <w:t>Purpose</w:t>
            </w:r>
          </w:p>
        </w:tc>
        <w:tc>
          <w:tcPr>
            <w:tcW w:w="9018" w:type="dxa"/>
          </w:tcPr>
          <w:p w:rsidR="000977D0" w:rsidRPr="00F473D8" w:rsidRDefault="000977D0" w:rsidP="002201E9">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#4 in LB11.</w:t>
            </w:r>
          </w:p>
        </w:tc>
      </w:tr>
      <w:tr w:rsidR="000977D0" w:rsidRPr="001747DF" w:rsidTr="002201E9">
        <w:trPr>
          <w:trHeight w:val="840"/>
        </w:trPr>
        <w:tc>
          <w:tcPr>
            <w:tcW w:w="1350" w:type="dxa"/>
          </w:tcPr>
          <w:p w:rsidR="000977D0" w:rsidRPr="001747DF" w:rsidRDefault="000977D0" w:rsidP="002201E9">
            <w:pPr>
              <w:pStyle w:val="covertext"/>
            </w:pPr>
            <w:r w:rsidRPr="001747DF">
              <w:t>Notice</w:t>
            </w:r>
          </w:p>
        </w:tc>
        <w:tc>
          <w:tcPr>
            <w:tcW w:w="9018" w:type="dxa"/>
          </w:tcPr>
          <w:p w:rsidR="000977D0" w:rsidRPr="001747DF" w:rsidRDefault="000977D0" w:rsidP="002201E9">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77D0" w:rsidRPr="001747DF" w:rsidTr="002201E9">
        <w:trPr>
          <w:trHeight w:val="1439"/>
        </w:trPr>
        <w:tc>
          <w:tcPr>
            <w:tcW w:w="1350" w:type="dxa"/>
          </w:tcPr>
          <w:p w:rsidR="000977D0" w:rsidRPr="001747DF" w:rsidRDefault="000977D0" w:rsidP="002201E9">
            <w:pPr>
              <w:pStyle w:val="covertext"/>
            </w:pPr>
            <w:r w:rsidRPr="001747DF">
              <w:t>Release</w:t>
            </w:r>
          </w:p>
        </w:tc>
        <w:tc>
          <w:tcPr>
            <w:tcW w:w="9018" w:type="dxa"/>
          </w:tcPr>
          <w:p w:rsidR="000977D0" w:rsidRPr="001747DF" w:rsidRDefault="000977D0" w:rsidP="002201E9">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977D0" w:rsidRPr="001747DF" w:rsidTr="002201E9">
        <w:trPr>
          <w:trHeight w:val="70"/>
        </w:trPr>
        <w:tc>
          <w:tcPr>
            <w:tcW w:w="1350" w:type="dxa"/>
          </w:tcPr>
          <w:p w:rsidR="000977D0" w:rsidRPr="001747DF" w:rsidRDefault="000977D0" w:rsidP="002201E9">
            <w:pPr>
              <w:pStyle w:val="covertext"/>
            </w:pPr>
            <w:r w:rsidRPr="001747DF">
              <w:t>Patent Policy</w:t>
            </w:r>
          </w:p>
        </w:tc>
        <w:tc>
          <w:tcPr>
            <w:tcW w:w="9018" w:type="dxa"/>
          </w:tcPr>
          <w:p w:rsidR="000977D0" w:rsidRPr="001747DF" w:rsidRDefault="000977D0" w:rsidP="002201E9">
            <w:r w:rsidRPr="001747DF">
              <w:rPr>
                <w:sz w:val="20"/>
              </w:rPr>
              <w:t xml:space="preserve">The contributor is familiar with IEEE patent policy, as stated in </w:t>
            </w:r>
            <w:hyperlink r:id="rId8" w:anchor="6.3" w:tgtFrame="_parent" w:history="1">
              <w:r w:rsidRPr="001747DF">
                <w:rPr>
                  <w:rStyle w:val="a9"/>
                  <w:sz w:val="20"/>
                </w:rPr>
                <w:t>Section 6 of the IEEE-SA Standards Board bylaws</w:t>
              </w:r>
            </w:hyperlink>
            <w:r w:rsidRPr="001747DF">
              <w:rPr>
                <w:sz w:val="20"/>
              </w:rPr>
              <w:t xml:space="preserve"> &lt;</w:t>
            </w:r>
            <w:hyperlink r:id="rId9" w:tgtFrame="_parent" w:history="1">
              <w:r w:rsidRPr="001747DF">
                <w:rPr>
                  <w:rStyle w:val="a9"/>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9"/>
                  <w:sz w:val="20"/>
                </w:rPr>
                <w:t>http://standards.ieee.org/board/pat/faq.pdf</w:t>
              </w:r>
            </w:hyperlink>
          </w:p>
        </w:tc>
      </w:tr>
    </w:tbl>
    <w:p w:rsidR="000977D0" w:rsidRPr="0091711B" w:rsidRDefault="000977D0" w:rsidP="000977D0">
      <w:pPr>
        <w:rPr>
          <w:rFonts w:ascii="Times New Roman" w:hAnsi="Times New Roman"/>
          <w:b/>
          <w:sz w:val="32"/>
        </w:rPr>
        <w:sectPr w:rsidR="000977D0"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911E80" w:rsidRPr="00911E80" w:rsidRDefault="00911E80" w:rsidP="00911E80">
      <w:pPr>
        <w:widowControl/>
        <w:rPr>
          <w:rFonts w:ascii="Arial" w:eastAsia="ＭＳ Ｐゴシック" w:hAnsi="Arial" w:cs="Arial"/>
          <w:kern w:val="0"/>
          <w:sz w:val="20"/>
          <w:szCs w:val="20"/>
        </w:rPr>
      </w:pPr>
      <w:r>
        <w:rPr>
          <w:rFonts w:hint="eastAsia"/>
        </w:rPr>
        <w:lastRenderedPageBreak/>
        <w:t xml:space="preserve">Comment: </w:t>
      </w:r>
      <w:r w:rsidRPr="00911E80">
        <w:rPr>
          <w:rFonts w:ascii="Arial" w:eastAsia="ＭＳ Ｐゴシック" w:hAnsi="Arial" w:cs="Arial"/>
          <w:kern w:val="0"/>
          <w:sz w:val="20"/>
          <w:szCs w:val="20"/>
        </w:rPr>
        <w:t xml:space="preserve">The terminologies of "source network" PoS and "target network" PoS imply when an MN handovers from the source network to a target network, it essentially needs to handover the service. Is it possible that when an MN handovers from a source network PoA to a target network PoA, the same PoS can be used for such handover? </w:t>
      </w:r>
    </w:p>
    <w:p w:rsidR="00931B8B" w:rsidRPr="00911E80" w:rsidRDefault="00931B8B" w:rsidP="00911E80"/>
    <w:p w:rsidR="00990540" w:rsidRDefault="00911E80" w:rsidP="00911E80">
      <w:pPr>
        <w:rPr>
          <w:rFonts w:hint="eastAsia"/>
        </w:rPr>
      </w:pPr>
      <w:r>
        <w:rPr>
          <w:rFonts w:hint="eastAsia"/>
        </w:rPr>
        <w:t>Suggested remedy:</w:t>
      </w:r>
      <w:bookmarkStart w:id="0" w:name="_GoBack"/>
      <w:bookmarkEnd w:id="0"/>
    </w:p>
    <w:p w:rsidR="00990540" w:rsidRDefault="00990540" w:rsidP="00911E80">
      <w:pPr>
        <w:rPr>
          <w:rFonts w:hint="eastAsia"/>
        </w:rPr>
      </w:pPr>
    </w:p>
    <w:p w:rsidR="00990540" w:rsidRPr="001F6EBE" w:rsidRDefault="00990540" w:rsidP="00990540">
      <w:pPr>
        <w:pStyle w:val="IEEEStdsParagraph"/>
      </w:pPr>
      <w:r w:rsidRPr="00745B6C">
        <w:rPr>
          <w:noProof/>
        </w:rPr>
        <w:drawing>
          <wp:inline distT="0" distB="0" distL="0" distR="0">
            <wp:extent cx="5753100" cy="44862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486275"/>
                    </a:xfrm>
                    <a:prstGeom prst="rect">
                      <a:avLst/>
                    </a:prstGeom>
                    <a:noFill/>
                    <a:ln>
                      <a:noFill/>
                    </a:ln>
                  </pic:spPr>
                </pic:pic>
              </a:graphicData>
            </a:graphic>
          </wp:inline>
        </w:drawing>
      </w:r>
    </w:p>
    <w:p w:rsidR="00990540" w:rsidRDefault="00990540" w:rsidP="00990540">
      <w:pPr>
        <w:pStyle w:val="IEEEStdsRegularFigureCaption"/>
        <w:tabs>
          <w:tab w:val="clear" w:pos="360"/>
        </w:tabs>
      </w:pPr>
      <w:bookmarkStart w:id="1" w:name="_Ref416255282"/>
      <w:bookmarkStart w:id="2" w:name="_Toc416357306"/>
      <w:bookmarkStart w:id="3" w:name="_Toc417567124"/>
      <w:bookmarkStart w:id="4" w:name="_Toc445887723"/>
      <w:r>
        <w:t>—Example of network model with MIS services</w:t>
      </w:r>
      <w:bookmarkEnd w:id="1"/>
      <w:bookmarkEnd w:id="2"/>
      <w:bookmarkEnd w:id="3"/>
      <w:bookmarkEnd w:id="4"/>
    </w:p>
    <w:p w:rsidR="00990540" w:rsidRPr="00990540" w:rsidRDefault="00990540" w:rsidP="00911E80"/>
    <w:p w:rsidR="00911E80" w:rsidRPr="00911E80" w:rsidRDefault="00911E80" w:rsidP="00911E80">
      <w:pPr>
        <w:keepNext/>
        <w:keepLines/>
        <w:widowControl/>
        <w:numPr>
          <w:ilvl w:val="2"/>
          <w:numId w:val="0"/>
        </w:numPr>
        <w:suppressAutoHyphens/>
        <w:spacing w:before="240" w:after="240"/>
        <w:jc w:val="left"/>
        <w:outlineLvl w:val="2"/>
        <w:rPr>
          <w:rFonts w:ascii="Arial" w:eastAsia="Malgun Gothic" w:hAnsi="Arial" w:cs="Times New Roman"/>
          <w:b/>
          <w:kern w:val="0"/>
          <w:sz w:val="20"/>
          <w:szCs w:val="20"/>
          <w:lang w:eastAsia="ko-KR"/>
        </w:rPr>
      </w:pPr>
      <w:bookmarkStart w:id="5" w:name="_Toc430175551"/>
      <w:bookmarkStart w:id="6" w:name="_Toc437360215"/>
      <w:bookmarkStart w:id="7" w:name="_Ref443031811"/>
      <w:bookmarkStart w:id="8" w:name="_Toc445127095"/>
      <w:r>
        <w:rPr>
          <w:rFonts w:ascii="Arial" w:eastAsia="Malgun Gothic" w:hAnsi="Arial" w:cs="Times New Roman"/>
          <w:b/>
          <w:kern w:val="0"/>
          <w:sz w:val="20"/>
          <w:szCs w:val="20"/>
        </w:rPr>
        <w:t xml:space="preserve">5.5.3 </w:t>
      </w:r>
      <w:r w:rsidRPr="00911E80">
        <w:rPr>
          <w:rFonts w:ascii="Arial" w:eastAsia="Malgun Gothic" w:hAnsi="Arial" w:cs="Times New Roman"/>
          <w:b/>
          <w:kern w:val="0"/>
          <w:sz w:val="20"/>
          <w:szCs w:val="20"/>
        </w:rPr>
        <w:t>Single radio handover functional model and signal</w:t>
      </w:r>
      <w:r w:rsidRPr="00911E80">
        <w:rPr>
          <w:rFonts w:ascii="Arial" w:eastAsia="Malgun Gothic" w:hAnsi="Arial" w:cs="Times New Roman" w:hint="eastAsia"/>
          <w:b/>
          <w:kern w:val="0"/>
          <w:sz w:val="20"/>
          <w:szCs w:val="20"/>
          <w:lang w:eastAsia="ko-KR"/>
        </w:rPr>
        <w:t>ing</w:t>
      </w:r>
      <w:r w:rsidRPr="00911E80">
        <w:rPr>
          <w:rFonts w:ascii="Arial" w:eastAsia="Malgun Gothic" w:hAnsi="Arial" w:cs="Times New Roman"/>
          <w:b/>
          <w:kern w:val="0"/>
          <w:sz w:val="20"/>
          <w:szCs w:val="20"/>
        </w:rPr>
        <w:t xml:space="preserve"> flow</w:t>
      </w:r>
      <w:bookmarkEnd w:id="5"/>
      <w:bookmarkEnd w:id="6"/>
      <w:bookmarkEnd w:id="7"/>
      <w:bookmarkEnd w:id="8"/>
    </w:p>
    <w:p w:rsidR="00911E80" w:rsidRPr="00911E80" w:rsidRDefault="00911E80" w:rsidP="00911E80">
      <w:pPr>
        <w:widowControl/>
        <w:spacing w:after="240"/>
        <w:rPr>
          <w:rFonts w:ascii="Times New Roman" w:eastAsia="Malgun Gothic" w:hAnsi="Times New Roman" w:cs="Times New Roman"/>
          <w:kern w:val="0"/>
          <w:sz w:val="20"/>
          <w:szCs w:val="20"/>
        </w:rPr>
      </w:pPr>
      <w:r w:rsidRPr="00911E80">
        <w:rPr>
          <w:rFonts w:ascii="Times New Roman" w:eastAsia="Malgun Gothic" w:hAnsi="Times New Roman" w:cs="Times New Roman" w:hint="eastAsia"/>
          <w:kern w:val="0"/>
          <w:sz w:val="20"/>
          <w:szCs w:val="20"/>
        </w:rPr>
        <w:t xml:space="preserve">The </w:t>
      </w:r>
      <w:r w:rsidRPr="00911E80">
        <w:rPr>
          <w:rFonts w:ascii="Times New Roman" w:eastAsia="Malgun Gothic" w:hAnsi="Times New Roman" w:cs="Times New Roman"/>
          <w:kern w:val="0"/>
          <w:sz w:val="20"/>
          <w:szCs w:val="20"/>
        </w:rPr>
        <w:t>functional</w:t>
      </w:r>
      <w:r w:rsidRPr="00911E80">
        <w:rPr>
          <w:rFonts w:ascii="Times New Roman" w:eastAsia="Malgun Gothic" w:hAnsi="Times New Roman" w:cs="Times New Roman" w:hint="eastAsia"/>
          <w:kern w:val="0"/>
          <w:sz w:val="20"/>
          <w:szCs w:val="20"/>
        </w:rPr>
        <w:t xml:space="preserve"> model for single radio handover is shown in</w:t>
      </w:r>
      <w:r w:rsidRPr="00911E80">
        <w:rPr>
          <w:rFonts w:ascii="Times New Roman" w:eastAsia="Malgun Gothic" w:hAnsi="Times New Roman" w:cs="Times New Roman"/>
          <w:kern w:val="0"/>
          <w:sz w:val="20"/>
          <w:szCs w:val="20"/>
        </w:rPr>
        <w:t xml:space="preserve"> </w:t>
      </w:r>
      <w:r w:rsidRPr="00911E80">
        <w:rPr>
          <w:rFonts w:ascii="Times New Roman" w:eastAsia="Malgun Gothic" w:hAnsi="Times New Roman" w:cs="Times New Roman"/>
          <w:kern w:val="0"/>
          <w:sz w:val="20"/>
          <w:szCs w:val="20"/>
        </w:rPr>
        <w:fldChar w:fldCharType="begin"/>
      </w:r>
      <w:r w:rsidRPr="00911E80">
        <w:rPr>
          <w:rFonts w:ascii="Times New Roman" w:eastAsia="Malgun Gothic" w:hAnsi="Times New Roman" w:cs="Times New Roman"/>
          <w:kern w:val="0"/>
          <w:sz w:val="20"/>
          <w:szCs w:val="20"/>
        </w:rPr>
        <w:instrText xml:space="preserve"> REF _Ref414880859 \r \h </w:instrText>
      </w:r>
      <w:r w:rsidRPr="00911E80">
        <w:rPr>
          <w:rFonts w:ascii="Times New Roman" w:eastAsia="Malgun Gothic" w:hAnsi="Times New Roman" w:cs="Times New Roman"/>
          <w:kern w:val="0"/>
          <w:sz w:val="20"/>
          <w:szCs w:val="20"/>
        </w:rPr>
      </w:r>
      <w:r w:rsidRPr="00911E80">
        <w:rPr>
          <w:rFonts w:ascii="Times New Roman" w:eastAsia="Malgun Gothic" w:hAnsi="Times New Roman" w:cs="Times New Roman"/>
          <w:kern w:val="0"/>
          <w:sz w:val="20"/>
          <w:szCs w:val="20"/>
        </w:rPr>
        <w:fldChar w:fldCharType="separate"/>
      </w:r>
      <w:r w:rsidRPr="00911E80">
        <w:rPr>
          <w:rFonts w:ascii="Times New Roman" w:eastAsia="Malgun Gothic" w:hAnsi="Times New Roman" w:cs="Times New Roman"/>
          <w:kern w:val="0"/>
          <w:sz w:val="20"/>
          <w:szCs w:val="20"/>
        </w:rPr>
        <w:t>Figure 2</w:t>
      </w:r>
      <w:r w:rsidRPr="00911E80">
        <w:rPr>
          <w:rFonts w:ascii="Times New Roman" w:eastAsia="Malgun Gothic" w:hAnsi="Times New Roman" w:cs="Times New Roman"/>
          <w:kern w:val="0"/>
          <w:sz w:val="20"/>
          <w:szCs w:val="20"/>
        </w:rPr>
        <w:fldChar w:fldCharType="end"/>
      </w:r>
      <w:r w:rsidRPr="00911E80">
        <w:rPr>
          <w:rFonts w:ascii="Times New Roman" w:eastAsia="Malgun Gothic" w:hAnsi="Times New Roman" w:cs="Times New Roman"/>
          <w:kern w:val="0"/>
          <w:sz w:val="20"/>
          <w:szCs w:val="20"/>
        </w:rPr>
        <w:t>.</w:t>
      </w:r>
    </w:p>
    <w:p w:rsidR="00911E80" w:rsidRPr="00911E80" w:rsidRDefault="00911E80" w:rsidP="00911E80">
      <w:pPr>
        <w:widowControl/>
        <w:spacing w:after="240"/>
        <w:rPr>
          <w:rFonts w:ascii="Times New Roman" w:eastAsia="Malgun Gothic" w:hAnsi="Times New Roman" w:cs="Times New Roman"/>
          <w:kern w:val="0"/>
          <w:sz w:val="20"/>
          <w:szCs w:val="20"/>
        </w:rPr>
      </w:pPr>
      <w:r w:rsidRPr="00911E80">
        <w:rPr>
          <w:rFonts w:ascii="Times New Roman" w:eastAsia="Malgun Gothic" w:hAnsi="Times New Roman" w:cs="Times New Roman"/>
          <w:noProof/>
          <w:kern w:val="0"/>
          <w:sz w:val="20"/>
          <w:szCs w:val="20"/>
        </w:rPr>
        <w:lastRenderedPageBreak/>
        <w:drawing>
          <wp:inline distT="0" distB="0" distL="0" distR="0">
            <wp:extent cx="5486400" cy="3429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p>
    <w:p w:rsidR="00911E80" w:rsidRPr="00911E80" w:rsidRDefault="00990540" w:rsidP="00911E80">
      <w:pPr>
        <w:keepLines/>
        <w:widowControl/>
        <w:tabs>
          <w:tab w:val="left" w:pos="403"/>
          <w:tab w:val="left" w:pos="475"/>
          <w:tab w:val="left" w:pos="547"/>
        </w:tabs>
        <w:suppressAutoHyphens/>
        <w:spacing w:before="120" w:after="120"/>
        <w:jc w:val="center"/>
        <w:rPr>
          <w:rFonts w:ascii="Arial" w:eastAsia="Malgun Gothic" w:hAnsi="Arial" w:cs="Times New Roman"/>
          <w:b/>
          <w:kern w:val="0"/>
          <w:sz w:val="20"/>
          <w:szCs w:val="20"/>
        </w:rPr>
      </w:pPr>
      <w:bookmarkStart w:id="9" w:name="_Ref414880859"/>
      <w:bookmarkStart w:id="10" w:name="_Toc416357314"/>
      <w:bookmarkStart w:id="11" w:name="_Toc417567132"/>
      <w:bookmarkStart w:id="12" w:name="_Toc445887724"/>
      <w:r>
        <w:rPr>
          <w:rFonts w:ascii="Arial" w:eastAsia="Malgun Gothic" w:hAnsi="Arial" w:cs="Times New Roman"/>
          <w:b/>
          <w:kern w:val="0"/>
          <w:sz w:val="20"/>
          <w:szCs w:val="20"/>
        </w:rPr>
        <w:t xml:space="preserve">Figure 2 </w:t>
      </w:r>
      <w:r w:rsidR="00911E80" w:rsidRPr="00911E80">
        <w:rPr>
          <w:rFonts w:ascii="Arial" w:eastAsia="Malgun Gothic" w:hAnsi="Arial" w:cs="Times New Roman"/>
          <w:b/>
          <w:kern w:val="0"/>
          <w:sz w:val="20"/>
          <w:szCs w:val="20"/>
        </w:rPr>
        <w:t>Single radio handover functional model</w:t>
      </w:r>
      <w:bookmarkEnd w:id="9"/>
      <w:bookmarkEnd w:id="10"/>
      <w:bookmarkEnd w:id="11"/>
      <w:bookmarkEnd w:id="12"/>
    </w:p>
    <w:p w:rsidR="00911E80" w:rsidRDefault="00911E80" w:rsidP="00911E80">
      <w:pPr>
        <w:widowControl/>
        <w:spacing w:after="240"/>
        <w:rPr>
          <w:rFonts w:ascii="Times New Roman" w:eastAsia="Malgun Gothic" w:hAnsi="Times New Roman" w:cs="Times New Roman"/>
          <w:strike/>
          <w:color w:val="FF0000"/>
          <w:kern w:val="0"/>
          <w:sz w:val="20"/>
          <w:szCs w:val="20"/>
          <w:lang w:eastAsia="zh-CN"/>
        </w:rPr>
      </w:pPr>
      <w:r w:rsidRPr="00990540">
        <w:rPr>
          <w:rFonts w:ascii="Times New Roman" w:eastAsia="Malgun Gothic" w:hAnsi="Times New Roman" w:cs="Times New Roman" w:hint="eastAsia"/>
          <w:strike/>
          <w:color w:val="FF0000"/>
          <w:kern w:val="0"/>
          <w:sz w:val="20"/>
          <w:szCs w:val="20"/>
          <w:lang w:eastAsia="zh-CN"/>
        </w:rPr>
        <w:t>The service</w:t>
      </w:r>
      <w:r w:rsidRPr="00990540">
        <w:rPr>
          <w:rFonts w:ascii="Times New Roman" w:eastAsia="Malgun Gothic" w:hAnsi="Times New Roman" w:cs="Times New Roman"/>
          <w:strike/>
          <w:color w:val="FF0000"/>
          <w:kern w:val="0"/>
          <w:sz w:val="20"/>
          <w:szCs w:val="20"/>
        </w:rPr>
        <w:t>s in the source network</w:t>
      </w:r>
      <w:r w:rsidRPr="00990540">
        <w:rPr>
          <w:rFonts w:ascii="Times New Roman" w:eastAsia="Malgun Gothic" w:hAnsi="Times New Roman" w:cs="Times New Roman" w:hint="eastAsia"/>
          <w:strike/>
          <w:color w:val="FF0000"/>
          <w:kern w:val="0"/>
          <w:sz w:val="20"/>
          <w:szCs w:val="20"/>
          <w:lang w:eastAsia="zh-CN"/>
        </w:rPr>
        <w:t xml:space="preserve"> are</w:t>
      </w:r>
      <w:r w:rsidRPr="00990540">
        <w:rPr>
          <w:rFonts w:ascii="Times New Roman" w:eastAsia="Malgun Gothic" w:hAnsi="Times New Roman" w:cs="Times New Roman"/>
          <w:strike/>
          <w:color w:val="FF0000"/>
          <w:kern w:val="0"/>
          <w:sz w:val="20"/>
          <w:szCs w:val="20"/>
        </w:rPr>
        <w:t>: SPoS (</w:t>
      </w:r>
      <w:r w:rsidRPr="00990540">
        <w:rPr>
          <w:rFonts w:ascii="Times New Roman" w:eastAsia="Malgun Gothic" w:hAnsi="Times New Roman" w:cs="Times New Roman"/>
          <w:strike/>
          <w:color w:val="FF0000"/>
          <w:kern w:val="0"/>
          <w:sz w:val="20"/>
          <w:szCs w:val="20"/>
          <w:lang w:eastAsia="zh-CN"/>
        </w:rPr>
        <w:t>the source network PoS)</w:t>
      </w:r>
      <w:r w:rsidRPr="00990540">
        <w:rPr>
          <w:rFonts w:ascii="Times New Roman" w:eastAsia="Malgun Gothic" w:hAnsi="Times New Roman" w:cs="Times New Roman"/>
          <w:strike/>
          <w:color w:val="FF0000"/>
          <w:kern w:val="0"/>
          <w:sz w:val="20"/>
          <w:szCs w:val="20"/>
        </w:rPr>
        <w:t xml:space="preserve"> and the proxy Information Server (see </w:t>
      </w:r>
      <w:r w:rsidRPr="00990540">
        <w:rPr>
          <w:rFonts w:ascii="Times New Roman" w:eastAsia="Malgun Gothic" w:hAnsi="Times New Roman" w:cs="Times New Roman"/>
          <w:strike/>
          <w:color w:val="FF0000"/>
          <w:kern w:val="0"/>
          <w:sz w:val="20"/>
          <w:szCs w:val="20"/>
        </w:rPr>
        <w:fldChar w:fldCharType="begin"/>
      </w:r>
      <w:r w:rsidRPr="00990540">
        <w:rPr>
          <w:rFonts w:ascii="Times New Roman" w:eastAsia="Malgun Gothic" w:hAnsi="Times New Roman" w:cs="Times New Roman"/>
          <w:strike/>
          <w:color w:val="FF0000"/>
          <w:kern w:val="0"/>
          <w:sz w:val="20"/>
          <w:szCs w:val="20"/>
        </w:rPr>
        <w:instrText xml:space="preserve"> REF _Ref443055741 \r \h </w:instrText>
      </w:r>
      <w:r w:rsidRPr="00990540">
        <w:rPr>
          <w:rFonts w:ascii="Times New Roman" w:eastAsia="Malgun Gothic" w:hAnsi="Times New Roman" w:cs="Times New Roman"/>
          <w:strike/>
          <w:color w:val="FF0000"/>
          <w:kern w:val="0"/>
          <w:sz w:val="20"/>
          <w:szCs w:val="20"/>
        </w:rPr>
      </w:r>
      <w:r w:rsidR="00990540">
        <w:rPr>
          <w:rFonts w:ascii="Times New Roman" w:eastAsia="Malgun Gothic" w:hAnsi="Times New Roman" w:cs="Times New Roman"/>
          <w:strike/>
          <w:color w:val="FF0000"/>
          <w:kern w:val="0"/>
          <w:sz w:val="20"/>
          <w:szCs w:val="20"/>
        </w:rPr>
        <w:instrText xml:space="preserve"> \* MERGEFORMAT </w:instrText>
      </w:r>
      <w:r w:rsidRPr="00990540">
        <w:rPr>
          <w:rFonts w:ascii="Times New Roman" w:eastAsia="Malgun Gothic" w:hAnsi="Times New Roman" w:cs="Times New Roman"/>
          <w:strike/>
          <w:color w:val="FF0000"/>
          <w:kern w:val="0"/>
          <w:sz w:val="20"/>
          <w:szCs w:val="20"/>
        </w:rPr>
        <w:fldChar w:fldCharType="separate"/>
      </w:r>
      <w:r w:rsidRPr="00990540">
        <w:rPr>
          <w:rFonts w:ascii="Times New Roman" w:eastAsia="Malgun Gothic" w:hAnsi="Times New Roman" w:cs="Times New Roman"/>
          <w:strike/>
          <w:color w:val="FF0000"/>
          <w:kern w:val="0"/>
          <w:sz w:val="20"/>
          <w:szCs w:val="20"/>
        </w:rPr>
        <w:t>5.5</w:t>
      </w:r>
      <w:r w:rsidRPr="00990540">
        <w:rPr>
          <w:rFonts w:ascii="Times New Roman" w:eastAsia="Malgun Gothic" w:hAnsi="Times New Roman" w:cs="Times New Roman"/>
          <w:strike/>
          <w:color w:val="FF0000"/>
          <w:kern w:val="0"/>
          <w:sz w:val="20"/>
          <w:szCs w:val="20"/>
        </w:rPr>
        <w:fldChar w:fldCharType="end"/>
      </w:r>
      <w:r w:rsidRPr="00990540">
        <w:rPr>
          <w:rFonts w:ascii="Times New Roman" w:eastAsia="Malgun Gothic" w:hAnsi="Times New Roman" w:cs="Times New Roman"/>
          <w:strike/>
          <w:color w:val="FF0000"/>
          <w:kern w:val="0"/>
          <w:sz w:val="20"/>
          <w:szCs w:val="20"/>
        </w:rPr>
        <w:t>)</w:t>
      </w:r>
      <w:r w:rsidRPr="00990540">
        <w:rPr>
          <w:rFonts w:ascii="Times New Roman" w:eastAsia="Malgun Gothic" w:hAnsi="Times New Roman" w:cs="Times New Roman" w:hint="eastAsia"/>
          <w:strike/>
          <w:color w:val="FF0000"/>
          <w:kern w:val="0"/>
          <w:sz w:val="20"/>
          <w:szCs w:val="20"/>
          <w:lang w:eastAsia="zh-CN"/>
        </w:rPr>
        <w:t>. The service</w:t>
      </w:r>
      <w:r w:rsidRPr="00990540">
        <w:rPr>
          <w:rFonts w:ascii="Times New Roman" w:eastAsia="Malgun Gothic" w:hAnsi="Times New Roman" w:cs="Times New Roman"/>
          <w:strike/>
          <w:color w:val="FF0000"/>
          <w:kern w:val="0"/>
          <w:sz w:val="20"/>
          <w:szCs w:val="20"/>
        </w:rPr>
        <w:t>s in the target network</w:t>
      </w:r>
      <w:r w:rsidRPr="00990540">
        <w:rPr>
          <w:rFonts w:ascii="Times New Roman" w:eastAsia="Malgun Gothic" w:hAnsi="Times New Roman" w:cs="Times New Roman" w:hint="eastAsia"/>
          <w:strike/>
          <w:color w:val="FF0000"/>
          <w:kern w:val="0"/>
          <w:sz w:val="20"/>
          <w:szCs w:val="20"/>
          <w:lang w:eastAsia="zh-CN"/>
        </w:rPr>
        <w:t xml:space="preserve"> are</w:t>
      </w:r>
      <w:r w:rsidRPr="00990540">
        <w:rPr>
          <w:rFonts w:ascii="Times New Roman" w:eastAsia="Malgun Gothic" w:hAnsi="Times New Roman" w:cs="Times New Roman"/>
          <w:strike/>
          <w:color w:val="FF0000"/>
          <w:kern w:val="0"/>
          <w:sz w:val="20"/>
          <w:szCs w:val="20"/>
        </w:rPr>
        <w:t>: TPoS and the proxy PoA</w:t>
      </w:r>
      <w:r w:rsidRPr="00990540">
        <w:rPr>
          <w:rFonts w:ascii="Times New Roman" w:eastAsia="Malgun Gothic" w:hAnsi="Times New Roman" w:cs="Times New Roman" w:hint="eastAsia"/>
          <w:strike/>
          <w:color w:val="FF0000"/>
          <w:kern w:val="0"/>
          <w:sz w:val="20"/>
          <w:szCs w:val="20"/>
          <w:lang w:eastAsia="zh-CN"/>
        </w:rPr>
        <w:t>.</w:t>
      </w:r>
    </w:p>
    <w:p w:rsidR="00990540" w:rsidRPr="00990540" w:rsidRDefault="00990540" w:rsidP="00911E80">
      <w:pPr>
        <w:widowControl/>
        <w:spacing w:after="240"/>
        <w:rPr>
          <w:rFonts w:ascii="Times New Roman" w:eastAsia="Malgun Gothic" w:hAnsi="Times New Roman" w:cs="Times New Roman"/>
          <w:color w:val="FF0000"/>
          <w:kern w:val="0"/>
          <w:sz w:val="20"/>
          <w:szCs w:val="20"/>
          <w:lang w:eastAsia="zh-CN"/>
        </w:rPr>
      </w:pPr>
      <w:r w:rsidRPr="00990540">
        <w:rPr>
          <w:rFonts w:ascii="Times New Roman" w:eastAsia="Malgun Gothic" w:hAnsi="Times New Roman" w:cs="Times New Roman"/>
          <w:color w:val="FF0000"/>
          <w:kern w:val="0"/>
          <w:sz w:val="20"/>
          <w:szCs w:val="20"/>
          <w:lang w:eastAsia="zh-CN"/>
        </w:rPr>
        <w:t>In the above scenario, SPoS is providing the service to the source network users in which the proxy information server (see 5.5) is co-located. Source network users are connected via source PoA. The TPoS belongs to the target network and provides the service to the target networks users that are connected via target PoA.  It is not always necessary that a source PoA and a target PoA need to be served by two different PoSes. A single PoS (a.k.a., SPoS) can serve multiple PoAs as shown in Figure 1.</w:t>
      </w:r>
    </w:p>
    <w:sectPr w:rsidR="00990540" w:rsidRPr="009905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27" w:rsidRDefault="00E47727" w:rsidP="00C32856">
      <w:r>
        <w:separator/>
      </w:r>
    </w:p>
  </w:endnote>
  <w:endnote w:type="continuationSeparator" w:id="0">
    <w:p w:rsidR="00E47727" w:rsidRDefault="00E47727" w:rsidP="00C3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27" w:rsidRDefault="00E47727" w:rsidP="00C32856">
      <w:r>
        <w:separator/>
      </w:r>
    </w:p>
  </w:footnote>
  <w:footnote w:type="continuationSeparator" w:id="0">
    <w:p w:rsidR="00E47727" w:rsidRDefault="00E47727" w:rsidP="00C3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8E"/>
    <w:rsid w:val="0000573F"/>
    <w:rsid w:val="000977D0"/>
    <w:rsid w:val="000F2C36"/>
    <w:rsid w:val="001171FD"/>
    <w:rsid w:val="001B3603"/>
    <w:rsid w:val="003165FF"/>
    <w:rsid w:val="003E5C8E"/>
    <w:rsid w:val="006421AB"/>
    <w:rsid w:val="006702B1"/>
    <w:rsid w:val="006C5F6C"/>
    <w:rsid w:val="00911E80"/>
    <w:rsid w:val="00931B8B"/>
    <w:rsid w:val="00990540"/>
    <w:rsid w:val="00BA3D47"/>
    <w:rsid w:val="00BB3773"/>
    <w:rsid w:val="00C32856"/>
    <w:rsid w:val="00E4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BF56AE-7E9C-49C6-A34B-B66AC583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856"/>
    <w:pPr>
      <w:tabs>
        <w:tab w:val="center" w:pos="4252"/>
        <w:tab w:val="right" w:pos="8504"/>
      </w:tabs>
      <w:snapToGrid w:val="0"/>
    </w:pPr>
  </w:style>
  <w:style w:type="character" w:customStyle="1" w:styleId="a4">
    <w:name w:val="ヘッダー (文字)"/>
    <w:basedOn w:val="a0"/>
    <w:link w:val="a3"/>
    <w:uiPriority w:val="99"/>
    <w:rsid w:val="00C32856"/>
  </w:style>
  <w:style w:type="paragraph" w:styleId="a5">
    <w:name w:val="footer"/>
    <w:basedOn w:val="a"/>
    <w:link w:val="a6"/>
    <w:uiPriority w:val="99"/>
    <w:unhideWhenUsed/>
    <w:rsid w:val="00C32856"/>
    <w:pPr>
      <w:tabs>
        <w:tab w:val="center" w:pos="4252"/>
        <w:tab w:val="right" w:pos="8504"/>
      </w:tabs>
      <w:snapToGrid w:val="0"/>
    </w:pPr>
  </w:style>
  <w:style w:type="character" w:customStyle="1" w:styleId="a6">
    <w:name w:val="フッター (文字)"/>
    <w:basedOn w:val="a0"/>
    <w:link w:val="a5"/>
    <w:uiPriority w:val="99"/>
    <w:rsid w:val="00C32856"/>
  </w:style>
  <w:style w:type="paragraph" w:styleId="a7">
    <w:name w:val="Balloon Text"/>
    <w:basedOn w:val="a"/>
    <w:link w:val="a8"/>
    <w:uiPriority w:val="99"/>
    <w:semiHidden/>
    <w:unhideWhenUsed/>
    <w:rsid w:val="006421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1AB"/>
    <w:rPr>
      <w:rFonts w:asciiTheme="majorHAnsi" w:eastAsiaTheme="majorEastAsia" w:hAnsiTheme="majorHAnsi" w:cstheme="majorBidi"/>
      <w:sz w:val="18"/>
      <w:szCs w:val="18"/>
    </w:rPr>
  </w:style>
  <w:style w:type="character" w:styleId="a9">
    <w:name w:val="Hyperlink"/>
    <w:uiPriority w:val="99"/>
    <w:rsid w:val="000977D0"/>
    <w:rPr>
      <w:color w:val="3366FF"/>
      <w:u w:val="single"/>
    </w:rPr>
  </w:style>
  <w:style w:type="paragraph" w:customStyle="1" w:styleId="covertext">
    <w:name w:val="cover text"/>
    <w:basedOn w:val="a"/>
    <w:rsid w:val="000977D0"/>
    <w:pPr>
      <w:widowControl/>
      <w:spacing w:before="120" w:after="120"/>
      <w:jc w:val="left"/>
    </w:pPr>
    <w:rPr>
      <w:rFonts w:ascii="Times New Roman" w:hAnsi="Times New Roman" w:cs="Times New Roman"/>
      <w:kern w:val="0"/>
      <w:sz w:val="24"/>
      <w:szCs w:val="24"/>
      <w:lang w:eastAsia="ko-KR" w:bidi="he-IL"/>
    </w:rPr>
  </w:style>
  <w:style w:type="paragraph" w:customStyle="1" w:styleId="IEEEStdsParagraph">
    <w:name w:val="IEEEStds Paragraph"/>
    <w:link w:val="IEEEStdsParagraphChar"/>
    <w:rsid w:val="00990540"/>
    <w:pPr>
      <w:spacing w:after="240"/>
      <w:jc w:val="both"/>
    </w:pPr>
    <w:rPr>
      <w:rFonts w:ascii="Times New Roman" w:eastAsia="Malgun Gothic" w:hAnsi="Times New Roman" w:cs="Times New Roman"/>
      <w:kern w:val="0"/>
      <w:sz w:val="20"/>
      <w:szCs w:val="20"/>
    </w:rPr>
  </w:style>
  <w:style w:type="character" w:customStyle="1" w:styleId="IEEEStdsParagraphChar">
    <w:name w:val="IEEEStds Paragraph Char"/>
    <w:link w:val="IEEEStdsParagraph"/>
    <w:rsid w:val="00990540"/>
    <w:rPr>
      <w:rFonts w:ascii="Times New Roman" w:eastAsia="Malgun Gothic" w:hAnsi="Times New Roman" w:cs="Times New Roman"/>
      <w:kern w:val="0"/>
      <w:sz w:val="20"/>
      <w:szCs w:val="20"/>
    </w:rPr>
  </w:style>
  <w:style w:type="paragraph" w:customStyle="1" w:styleId="IEEEStdsRegularFigureCaption">
    <w:name w:val="IEEEStds Regular Figure Caption"/>
    <w:basedOn w:val="IEEEStdsParagraph"/>
    <w:next w:val="IEEEStdsParagraph"/>
    <w:rsid w:val="00990540"/>
    <w:pPr>
      <w:keepLines/>
      <w:numPr>
        <w:numId w:val="1"/>
      </w:numPr>
      <w:tabs>
        <w:tab w:val="num" w:pos="360"/>
        <w:tab w:val="left" w:pos="403"/>
        <w:tab w:val="left" w:pos="475"/>
        <w:tab w:val="left" w:pos="547"/>
      </w:tabs>
      <w:suppressAutoHyphens/>
      <w:spacing w:before="120" w:after="120"/>
      <w:ind w:firstLine="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9</cp:revision>
  <dcterms:created xsi:type="dcterms:W3CDTF">2016-05-13T04:06:00Z</dcterms:created>
  <dcterms:modified xsi:type="dcterms:W3CDTF">2016-05-17T19:07:00Z</dcterms:modified>
</cp:coreProperties>
</file>