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BE7C8C3"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0569CBF" w:rsidR="00281643" w:rsidRPr="00110490" w:rsidRDefault="001066E3" w:rsidP="001066E3">
            <w:pPr>
              <w:pStyle w:val="covertext"/>
              <w:rPr>
                <w:rFonts w:eastAsia="MS Mincho"/>
                <w:b/>
                <w:lang w:eastAsia="ja-JP"/>
              </w:rPr>
            </w:pPr>
            <w:r>
              <w:rPr>
                <w:rFonts w:eastAsia="MS Mincho"/>
                <w:b/>
                <w:lang w:eastAsia="ja-JP"/>
              </w:rPr>
              <w:t>New Proposal for Services and Use cases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7473A5C1" w:rsidR="00281643" w:rsidRPr="001747DF" w:rsidRDefault="00281643" w:rsidP="0008514F">
            <w:pPr>
              <w:pStyle w:val="covertext"/>
              <w:rPr>
                <w:b/>
              </w:rPr>
            </w:pPr>
            <w:r w:rsidRPr="001747DF">
              <w:rPr>
                <w:b/>
              </w:rPr>
              <w:t>21-1</w:t>
            </w:r>
            <w:r w:rsidR="00E3382A">
              <w:rPr>
                <w:rFonts w:eastAsia="MS Mincho" w:hint="eastAsia"/>
                <w:b/>
                <w:lang w:eastAsia="ja-JP"/>
              </w:rPr>
              <w:t>6</w:t>
            </w:r>
            <w:r w:rsidRPr="001747DF">
              <w:rPr>
                <w:b/>
              </w:rPr>
              <w:t>-</w:t>
            </w:r>
            <w:r w:rsidR="00B558AA">
              <w:rPr>
                <w:rFonts w:hint="eastAsia"/>
                <w:b/>
              </w:rPr>
              <w:t>00</w:t>
            </w:r>
            <w:r w:rsidR="0008514F">
              <w:rPr>
                <w:rFonts w:eastAsia="MS Mincho"/>
                <w:b/>
                <w:lang w:eastAsia="ja-JP"/>
              </w:rPr>
              <w:t>67</w:t>
            </w:r>
            <w:r w:rsidR="00B558AA">
              <w:rPr>
                <w:rFonts w:hint="eastAsia"/>
                <w:b/>
              </w:rPr>
              <w:t>-</w:t>
            </w:r>
            <w:r w:rsidR="00110490">
              <w:rPr>
                <w:b/>
              </w:rPr>
              <w:t>0</w:t>
            </w:r>
            <w:r w:rsidR="0008514F">
              <w:rPr>
                <w:b/>
              </w:rPr>
              <w:t>0</w:t>
            </w:r>
            <w:r w:rsidR="006658C1">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1754A88E" w:rsidR="00281643" w:rsidRPr="001747DF" w:rsidRDefault="00641221" w:rsidP="001066E3">
            <w:pPr>
              <w:pStyle w:val="covertext"/>
              <w:rPr>
                <w:b/>
              </w:rPr>
            </w:pPr>
            <w:r>
              <w:rPr>
                <w:b/>
              </w:rPr>
              <w:t>May</w:t>
            </w:r>
            <w:r w:rsidR="00B558AA">
              <w:rPr>
                <w:rFonts w:hint="eastAsia"/>
                <w:b/>
              </w:rPr>
              <w:t xml:space="preserve"> </w:t>
            </w:r>
            <w:r>
              <w:rPr>
                <w:rFonts w:eastAsia="MS Mincho" w:hint="eastAsia"/>
                <w:b/>
                <w:lang w:eastAsia="ja-JP"/>
              </w:rPr>
              <w:t>1</w:t>
            </w:r>
            <w:r w:rsidR="001066E3">
              <w:rPr>
                <w:rFonts w:eastAsia="MS Mincho"/>
                <w:b/>
                <w:lang w:eastAsia="ja-JP"/>
              </w:rPr>
              <w:t>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FEF8F3A" w14:textId="27953B9E" w:rsidR="00F560C1" w:rsidRDefault="00641221" w:rsidP="00641221">
            <w:pPr>
              <w:pStyle w:val="covertext"/>
              <w:rPr>
                <w:rFonts w:eastAsia="MS Mincho"/>
                <w:lang w:eastAsia="ja-JP"/>
              </w:rPr>
            </w:pPr>
            <w:r>
              <w:rPr>
                <w:rFonts w:eastAsia="MS Mincho"/>
                <w:lang w:eastAsia="ja-JP"/>
              </w:rPr>
              <w:t xml:space="preserve">Sangkwon Peter Jeong, Gookhwan Lee, Hyunsam </w:t>
            </w:r>
            <w:r w:rsidR="00CB0BA0">
              <w:rPr>
                <w:rFonts w:eastAsia="MS Mincho"/>
                <w:lang w:eastAsia="ja-JP"/>
              </w:rPr>
              <w:t>Kang</w:t>
            </w:r>
            <w:r>
              <w:rPr>
                <w:rFonts w:eastAsia="MS Mincho"/>
                <w:lang w:eastAsia="ja-JP"/>
              </w:rPr>
              <w:t xml:space="preserve"> </w:t>
            </w:r>
            <w:r w:rsidR="00B558AA">
              <w:rPr>
                <w:rFonts w:eastAsia="MS Mincho" w:hint="eastAsia"/>
                <w:lang w:eastAsia="ja-JP"/>
              </w:rPr>
              <w:t>(</w:t>
            </w:r>
            <w:r>
              <w:rPr>
                <w:rFonts w:eastAsia="MS Mincho"/>
                <w:lang w:eastAsia="ja-JP"/>
              </w:rPr>
              <w:t>JoyFun</w:t>
            </w:r>
            <w:r w:rsidR="00B558AA">
              <w:rPr>
                <w:rFonts w:eastAsia="MS Mincho" w:hint="eastAsia"/>
                <w:lang w:eastAsia="ja-JP"/>
              </w:rPr>
              <w:t>)</w:t>
            </w:r>
          </w:p>
          <w:p w14:paraId="1E7ED9A9" w14:textId="63BAE5D0" w:rsidR="00641221" w:rsidRDefault="00641221" w:rsidP="001066E3">
            <w:pPr>
              <w:pStyle w:val="covertext"/>
              <w:rPr>
                <w:rFonts w:eastAsia="MS Mincho"/>
                <w:lang w:eastAsia="ja-JP"/>
              </w:rPr>
            </w:pPr>
            <w:r>
              <w:rPr>
                <w:rFonts w:eastAsia="MS Mincho"/>
                <w:lang w:eastAsia="ja-JP"/>
              </w:rPr>
              <w:t xml:space="preserve">Heeseob Lee </w:t>
            </w:r>
            <w:r>
              <w:rPr>
                <w:rFonts w:eastAsia="MS Mincho" w:hint="eastAsia"/>
                <w:lang w:eastAsia="ja-JP"/>
              </w:rPr>
              <w:t>(</w:t>
            </w:r>
            <w:r>
              <w:rPr>
                <w:rFonts w:eastAsia="MS Mincho"/>
                <w:lang w:eastAsia="ja-JP"/>
              </w:rPr>
              <w:t>SecuAce</w:t>
            </w:r>
            <w:r>
              <w:rPr>
                <w:rFonts w:eastAsia="MS Mincho" w:hint="eastAsia"/>
                <w:lang w:eastAsia="ja-JP"/>
              </w:rPr>
              <w:t>)</w:t>
            </w:r>
          </w:p>
          <w:p w14:paraId="649CAD2B" w14:textId="156ECAA9" w:rsidR="00641221" w:rsidRPr="00B558AA" w:rsidRDefault="00641221" w:rsidP="001066E3">
            <w:pPr>
              <w:pStyle w:val="covertext"/>
              <w:rPr>
                <w:rFonts w:eastAsia="MS Mincho"/>
                <w:lang w:eastAsia="ja-JP"/>
              </w:rPr>
            </w:pPr>
            <w:r>
              <w:rPr>
                <w:rFonts w:eastAsia="MS Mincho"/>
                <w:lang w:eastAsia="ja-JP"/>
              </w:rPr>
              <w:t>Changhwa Lyou (Seeroo Info</w:t>
            </w:r>
            <w:r w:rsidR="001066E3">
              <w:rPr>
                <w:rFonts w:eastAsia="MS Mincho"/>
                <w:lang w:eastAsia="ja-JP"/>
              </w:rPr>
              <w:t>mation</w:t>
            </w:r>
            <w:r>
              <w:rPr>
                <w:rFonts w:eastAsia="MS Mincho"/>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65B8188" w:rsidR="00281643" w:rsidRPr="00F473D8" w:rsidRDefault="00431E6F" w:rsidP="00DE6DD3">
            <w:pPr>
              <w:pStyle w:val="covertext"/>
              <w:rPr>
                <w:rFonts w:eastAsia="MS Mincho"/>
                <w:lang w:val="en-GB" w:eastAsia="ja-JP"/>
              </w:rPr>
            </w:pPr>
            <w:r>
              <w:rPr>
                <w:rFonts w:eastAsia="MS Mincho" w:hint="eastAsia"/>
                <w:lang w:val="en-GB" w:eastAsia="ja-JP"/>
              </w:rPr>
              <w:t>Session #</w:t>
            </w:r>
            <w:r w:rsidR="00641221">
              <w:rPr>
                <w:rFonts w:eastAsia="MS Mincho" w:hint="eastAsia"/>
                <w:lang w:val="en-GB" w:eastAsia="ja-JP"/>
              </w:rPr>
              <w:t>7</w:t>
            </w:r>
            <w:r w:rsidR="00641221">
              <w:rPr>
                <w:rFonts w:eastAsia="MS Mincho"/>
                <w:lang w:val="en-GB" w:eastAsia="ja-JP"/>
              </w:rPr>
              <w:t>4</w:t>
            </w:r>
            <w:r>
              <w:rPr>
                <w:rFonts w:eastAsia="MS Mincho"/>
                <w:lang w:val="en-GB" w:eastAsia="ja-JP"/>
              </w:rPr>
              <w:t xml:space="preserve">, </w:t>
            </w:r>
            <w:r w:rsidR="00641221">
              <w:rPr>
                <w:rFonts w:eastAsia="MS Mincho"/>
                <w:lang w:val="en-GB" w:eastAsia="ja-JP"/>
              </w:rPr>
              <w:t>H</w:t>
            </w:r>
            <w:r w:rsidR="00DE6DD3">
              <w:rPr>
                <w:rFonts w:eastAsia="MS Mincho"/>
                <w:lang w:val="en-GB" w:eastAsia="ja-JP"/>
              </w:rPr>
              <w:t>I</w:t>
            </w:r>
            <w:r w:rsidR="00641221">
              <w:rPr>
                <w:rFonts w:eastAsia="MS Mincho"/>
                <w:lang w:val="en-GB" w:eastAsia="ja-JP"/>
              </w:rPr>
              <w:t>, USA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1F797888" w:rsidR="00476CEE" w:rsidRPr="00F473D8" w:rsidRDefault="002B7374" w:rsidP="00B20D08">
            <w:pPr>
              <w:pStyle w:val="covertext"/>
              <w:jc w:val="both"/>
              <w:rPr>
                <w:rFonts w:eastAsia="MS Mincho"/>
                <w:lang w:eastAsia="ja-JP"/>
              </w:rPr>
            </w:pPr>
            <w:r>
              <w:rPr>
                <w:rFonts w:eastAsia="MS Mincho"/>
                <w:lang w:eastAsia="ja-JP"/>
              </w:rPr>
              <w:t xml:space="preserve">When receiving the </w:t>
            </w:r>
            <w:r w:rsidR="00B20D08">
              <w:rPr>
                <w:rFonts w:ascii="맑은 고딕" w:eastAsia="맑은 고딕" w:hAnsi="맑은 고딕" w:cs="맑은 고딕"/>
              </w:rPr>
              <w:t>streaming content from the 5G networks</w:t>
            </w:r>
            <w:r>
              <w:rPr>
                <w:rFonts w:eastAsia="MS Mincho"/>
                <w:lang w:eastAsia="ja-JP"/>
              </w:rPr>
              <w:t>, consider the case of vertical handover occurs service</w:t>
            </w:r>
            <w:r w:rsidR="00476CEE">
              <w:rPr>
                <w:rFonts w:eastAsia="MS Mincho"/>
                <w:lang w:eastAsia="ja-JP"/>
              </w:rPr>
              <w:t>.</w:t>
            </w:r>
          </w:p>
        </w:tc>
      </w:tr>
      <w:tr w:rsidR="00281643" w:rsidRPr="001747DF" w14:paraId="53DE8B12" w14:textId="77777777" w:rsidTr="00201002">
        <w:tc>
          <w:tcPr>
            <w:tcW w:w="1350" w:type="dxa"/>
          </w:tcPr>
          <w:p w14:paraId="0D776EFD" w14:textId="4EA26FEF" w:rsidR="00281643" w:rsidRPr="001747DF" w:rsidRDefault="00281643" w:rsidP="00201002">
            <w:pPr>
              <w:pStyle w:val="covertext"/>
            </w:pPr>
            <w:r w:rsidRPr="001747DF">
              <w:t>Purpose</w:t>
            </w:r>
          </w:p>
        </w:tc>
        <w:tc>
          <w:tcPr>
            <w:tcW w:w="9018" w:type="dxa"/>
          </w:tcPr>
          <w:p w14:paraId="39E9A7FE" w14:textId="086ABADB" w:rsidR="00281643" w:rsidRPr="00F473D8" w:rsidRDefault="001066E3" w:rsidP="001066E3">
            <w:pPr>
              <w:pStyle w:val="covertext"/>
              <w:jc w:val="both"/>
              <w:rPr>
                <w:rFonts w:eastAsia="MS Mincho"/>
                <w:lang w:eastAsia="ja-JP"/>
              </w:rPr>
            </w:pPr>
            <w:r>
              <w:rPr>
                <w:rFonts w:eastAsia="MS Mincho"/>
                <w:lang w:eastAsia="ja-JP"/>
              </w:rPr>
              <w:t>P</w:t>
            </w:r>
            <w:r w:rsidR="003748DC">
              <w:rPr>
                <w:rFonts w:eastAsia="MS Mincho"/>
                <w:lang w:eastAsia="ja-JP"/>
              </w:rPr>
              <w:t>ropos</w:t>
            </w:r>
            <w:r>
              <w:rPr>
                <w:rFonts w:eastAsia="MS Mincho"/>
                <w:lang w:eastAsia="ja-JP"/>
              </w:rPr>
              <w:t>e to new use case</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FBE5CDD"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bookmarkStart w:id="0" w:name="_Toc445127122"/>
    </w:p>
    <w:p w14:paraId="294FE1C8"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77EC88F"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F288367"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73FE128B" w14:textId="77777777" w:rsidR="006658C1" w:rsidRPr="006658C1" w:rsidRDefault="006658C1" w:rsidP="006658C1">
      <w:pPr>
        <w:pStyle w:val="a5"/>
        <w:keepNext/>
        <w:keepLines/>
        <w:numPr>
          <w:ilvl w:val="0"/>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C4BB1D6"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57899A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6454E8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53D5F31D"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13E99560" w14:textId="77777777" w:rsidR="006658C1" w:rsidRPr="006658C1" w:rsidRDefault="006658C1" w:rsidP="006658C1">
      <w:pPr>
        <w:pStyle w:val="a5"/>
        <w:keepNext/>
        <w:keepLines/>
        <w:numPr>
          <w:ilvl w:val="1"/>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3AEF7A1B"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0D2BAF4A"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26791EB8" w14:textId="77777777" w:rsidR="006658C1" w:rsidRPr="006658C1" w:rsidRDefault="006658C1" w:rsidP="006658C1">
      <w:pPr>
        <w:pStyle w:val="a5"/>
        <w:keepNext/>
        <w:keepLines/>
        <w:numPr>
          <w:ilvl w:val="2"/>
          <w:numId w:val="26"/>
        </w:numPr>
        <w:tabs>
          <w:tab w:val="clear" w:pos="284"/>
        </w:tabs>
        <w:suppressAutoHyphens/>
        <w:spacing w:before="240" w:after="240"/>
        <w:ind w:leftChars="0"/>
        <w:outlineLvl w:val="2"/>
        <w:rPr>
          <w:rFonts w:ascii="Arial" w:eastAsia="맑은 고딕" w:hAnsi="Arial"/>
          <w:b/>
          <w:vanish/>
          <w:sz w:val="20"/>
          <w:szCs w:val="20"/>
          <w:lang w:val="en-US" w:eastAsia="ja-JP"/>
        </w:rPr>
      </w:pPr>
    </w:p>
    <w:p w14:paraId="4213E721" w14:textId="0566CB61" w:rsidR="006658C1" w:rsidRPr="00B20D08" w:rsidRDefault="00B20D08" w:rsidP="006658C1">
      <w:pPr>
        <w:pStyle w:val="a5"/>
        <w:ind w:leftChars="0" w:left="0"/>
        <w:rPr>
          <w:rFonts w:eastAsia="MS Mincho"/>
          <w:sz w:val="44"/>
          <w:szCs w:val="48"/>
          <w:lang w:val="en-US" w:eastAsia="ja-JP"/>
        </w:rPr>
      </w:pPr>
      <w:r w:rsidRPr="00B20D08">
        <w:rPr>
          <w:rFonts w:eastAsia="MS Mincho"/>
          <w:sz w:val="44"/>
          <w:szCs w:val="48"/>
          <w:lang w:val="en-US" w:eastAsia="ja-JP"/>
        </w:rPr>
        <w:t>VR content streaming service in 5G Networks</w:t>
      </w:r>
    </w:p>
    <w:bookmarkEnd w:id="0"/>
    <w:p w14:paraId="0FD2E3FC" w14:textId="0CE4C4A3" w:rsidR="006658C1" w:rsidRPr="0053705F" w:rsidRDefault="00B20D08" w:rsidP="006658C1">
      <w:pPr>
        <w:pStyle w:val="IEEEStdsImage"/>
        <w:rPr>
          <w:lang w:eastAsia="zh-CN"/>
        </w:rPr>
      </w:pPr>
      <w:r>
        <w:rPr>
          <w:noProof/>
          <w:lang w:eastAsia="ko-KR"/>
        </w:rPr>
        <w:drawing>
          <wp:inline distT="0" distB="0" distL="0" distR="0" wp14:anchorId="49344E4A" wp14:editId="17946B23">
            <wp:extent cx="5419725" cy="272920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2177" cy="2735473"/>
                    </a:xfrm>
                    <a:prstGeom prst="rect">
                      <a:avLst/>
                    </a:prstGeom>
                    <a:noFill/>
                  </pic:spPr>
                </pic:pic>
              </a:graphicData>
            </a:graphic>
          </wp:inline>
        </w:drawing>
      </w:r>
    </w:p>
    <w:p w14:paraId="2880F61E" w14:textId="39557377" w:rsidR="006658C1" w:rsidRPr="0053705F" w:rsidRDefault="006658C1" w:rsidP="006658C1">
      <w:pPr>
        <w:pStyle w:val="IEEEStdsRegularFigureCaption"/>
        <w:numPr>
          <w:ilvl w:val="0"/>
          <w:numId w:val="41"/>
        </w:numPr>
        <w:ind w:firstLine="0"/>
      </w:pPr>
      <w:bookmarkStart w:id="1" w:name="_Toc445127946"/>
      <w:r>
        <w:t>—</w:t>
      </w:r>
      <w:bookmarkEnd w:id="1"/>
      <w:r w:rsidR="00B20D08">
        <w:t>VR Content streaming service in 5G Networks</w:t>
      </w:r>
    </w:p>
    <w:p w14:paraId="5B7A5CC3" w14:textId="77777777" w:rsidR="002B7374" w:rsidRDefault="002B7374" w:rsidP="006658C1">
      <w:pPr>
        <w:pStyle w:val="IEEEStdsParagraph"/>
        <w:rPr>
          <w:lang w:eastAsia="zh-CN"/>
        </w:rPr>
      </w:pPr>
    </w:p>
    <w:p w14:paraId="26D504C7" w14:textId="24E801A1" w:rsidR="00977736" w:rsidRDefault="00977736" w:rsidP="00977736">
      <w:pPr>
        <w:pStyle w:val="IEEEStdsParagraph"/>
        <w:rPr>
          <w:lang w:eastAsia="zh-CN"/>
        </w:rPr>
      </w:pPr>
      <w:r>
        <w:rPr>
          <w:rFonts w:hint="eastAsia"/>
          <w:lang w:eastAsia="ko-KR"/>
        </w:rPr>
        <w:t>R</w:t>
      </w:r>
      <w:r>
        <w:rPr>
          <w:lang w:eastAsia="ko-KR"/>
        </w:rPr>
        <w:t xml:space="preserve">ecently, </w:t>
      </w:r>
      <w:r>
        <w:rPr>
          <w:lang w:eastAsia="zh-CN"/>
        </w:rPr>
        <w:t>5G network has attracted attention.</w:t>
      </w:r>
    </w:p>
    <w:p w14:paraId="5525018F" w14:textId="3C71D9C4" w:rsidR="00977736" w:rsidRDefault="00977736" w:rsidP="00977736">
      <w:pPr>
        <w:pStyle w:val="IEEEStdsParagraph"/>
        <w:rPr>
          <w:lang w:eastAsia="zh-CN"/>
        </w:rPr>
      </w:pPr>
      <w:r>
        <w:rPr>
          <w:lang w:eastAsia="zh-CN"/>
        </w:rPr>
        <w:t xml:space="preserve">In </w:t>
      </w:r>
      <w:r>
        <w:rPr>
          <w:lang w:eastAsia="zh-CN"/>
        </w:rPr>
        <w:t>specially</w:t>
      </w:r>
      <w:r>
        <w:rPr>
          <w:lang w:eastAsia="zh-CN"/>
        </w:rPr>
        <w:t>, the need for 5G network has been further emphasized while receiving a lot of attention HMD-based VR services.</w:t>
      </w:r>
    </w:p>
    <w:p w14:paraId="07B9BECB" w14:textId="77777777" w:rsidR="00977736" w:rsidRDefault="00977736" w:rsidP="00977736">
      <w:pPr>
        <w:pStyle w:val="IEEEStdsParagraph"/>
        <w:rPr>
          <w:lang w:eastAsia="zh-CN"/>
        </w:rPr>
      </w:pPr>
      <w:r>
        <w:rPr>
          <w:lang w:eastAsia="zh-CN"/>
        </w:rPr>
        <w:t>According to this trend, it is believed that would not require that the response in IEEE802.21.</w:t>
      </w:r>
    </w:p>
    <w:p w14:paraId="7BD91E2D" w14:textId="77777777" w:rsidR="00977736" w:rsidRDefault="00977736" w:rsidP="00977736">
      <w:pPr>
        <w:pStyle w:val="IEEEStdsParagraph"/>
        <w:rPr>
          <w:lang w:eastAsia="zh-CN"/>
        </w:rPr>
      </w:pPr>
      <w:r>
        <w:rPr>
          <w:lang w:eastAsia="zh-CN"/>
        </w:rPr>
        <w:t>For example, simulate a composed process HMD-based VR services, and what's what things in this process, and, 5G networks and vertical handover is if there are any advantages to be used by MIH and MIS in network environments where occur discussion let's do this.</w:t>
      </w:r>
    </w:p>
    <w:p w14:paraId="63DAED26" w14:textId="53679989" w:rsidR="00B20D08" w:rsidRDefault="00977736" w:rsidP="00977736">
      <w:pPr>
        <w:pStyle w:val="IEEEStdsParagraph"/>
        <w:rPr>
          <w:lang w:eastAsia="zh-CN"/>
        </w:rPr>
      </w:pPr>
      <w:r>
        <w:rPr>
          <w:lang w:eastAsia="zh-CN"/>
        </w:rPr>
        <w:t>I think that the proposal to require new standards for the handove</w:t>
      </w:r>
      <w:bookmarkStart w:id="2" w:name="_GoBack"/>
      <w:bookmarkEnd w:id="2"/>
      <w:r>
        <w:rPr>
          <w:lang w:eastAsia="zh-CN"/>
        </w:rPr>
        <w:t>r to the service from 5G environment.</w:t>
      </w:r>
    </w:p>
    <w:sectPr w:rsidR="00B20D08" w:rsidSect="00B050B7">
      <w:footerReference w:type="default" r:id="rId13"/>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2262" w14:textId="77777777" w:rsidR="00EF09D4" w:rsidRDefault="00EF09D4" w:rsidP="0010504F">
      <w:pPr>
        <w:spacing w:before="0"/>
      </w:pPr>
      <w:r>
        <w:separator/>
      </w:r>
    </w:p>
  </w:endnote>
  <w:endnote w:type="continuationSeparator" w:id="0">
    <w:p w14:paraId="7F6BAFE7" w14:textId="77777777" w:rsidR="00EF09D4" w:rsidRDefault="00EF09D4"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CEF1" w14:textId="28A2AA00" w:rsidR="00DE6DD3" w:rsidRPr="00711CC4" w:rsidRDefault="00DE6DD3">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77736" w:rsidRPr="00977736">
      <w:rPr>
        <w:rFonts w:ascii="Times New Roman" w:hAnsi="Times New Roman"/>
        <w:noProof/>
        <w:lang w:val="ko-KR"/>
      </w:rPr>
      <w:t>2</w:t>
    </w:r>
    <w:r w:rsidRPr="00711CC4">
      <w:rPr>
        <w:rFonts w:ascii="Times New Roman" w:hAnsi="Times New Roman"/>
      </w:rPr>
      <w:fldChar w:fldCharType="end"/>
    </w:r>
  </w:p>
  <w:p w14:paraId="4939DBA0" w14:textId="77777777" w:rsidR="00DE6DD3" w:rsidRPr="00711CC4" w:rsidRDefault="00DE6DD3">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E02E" w14:textId="77777777" w:rsidR="00EF09D4" w:rsidRDefault="00EF09D4" w:rsidP="0010504F">
      <w:pPr>
        <w:spacing w:before="0"/>
      </w:pPr>
      <w:r>
        <w:separator/>
      </w:r>
    </w:p>
  </w:footnote>
  <w:footnote w:type="continuationSeparator" w:id="0">
    <w:p w14:paraId="624BD3AA" w14:textId="77777777" w:rsidR="00EF09D4" w:rsidRDefault="00EF09D4" w:rsidP="001050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0"/>
  </w:num>
  <w:num w:numId="2">
    <w:abstractNumId w:val="22"/>
  </w:num>
  <w:num w:numId="3">
    <w:abstractNumId w:val="27"/>
  </w:num>
  <w:num w:numId="4">
    <w:abstractNumId w:val="18"/>
  </w:num>
  <w:num w:numId="5">
    <w:abstractNumId w:val="21"/>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20"/>
  </w:num>
  <w:num w:numId="14">
    <w:abstractNumId w:val="29"/>
  </w:num>
  <w:num w:numId="15">
    <w:abstractNumId w:val="2"/>
  </w:num>
  <w:num w:numId="16">
    <w:abstractNumId w:val="5"/>
  </w:num>
  <w:num w:numId="17">
    <w:abstractNumId w:val="3"/>
  </w:num>
  <w:num w:numId="18">
    <w:abstractNumId w:val="23"/>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5"/>
  </w:num>
  <w:num w:numId="34">
    <w:abstractNumId w:val="14"/>
  </w:num>
  <w:num w:numId="35">
    <w:abstractNumId w:val="26"/>
  </w:num>
  <w:num w:numId="36">
    <w:abstractNumId w:val="0"/>
  </w:num>
  <w:num w:numId="37">
    <w:abstractNumId w:val="12"/>
  </w:num>
  <w:num w:numId="38">
    <w:abstractNumId w:val="10"/>
  </w:num>
  <w:num w:numId="39">
    <w:abstractNumId w:val="17"/>
  </w:num>
  <w:num w:numId="40">
    <w:abstractNumId w:val="24"/>
  </w:num>
  <w:num w:numId="4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17543"/>
    <w:rsid w:val="00023699"/>
    <w:rsid w:val="00023EDF"/>
    <w:rsid w:val="00025138"/>
    <w:rsid w:val="00026D33"/>
    <w:rsid w:val="00031A30"/>
    <w:rsid w:val="00033398"/>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14F"/>
    <w:rsid w:val="00085937"/>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066E3"/>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4F14"/>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3A86"/>
    <w:rsid w:val="0022582B"/>
    <w:rsid w:val="002259F3"/>
    <w:rsid w:val="00226790"/>
    <w:rsid w:val="002302AC"/>
    <w:rsid w:val="002331AA"/>
    <w:rsid w:val="002366D9"/>
    <w:rsid w:val="002372C5"/>
    <w:rsid w:val="00237E4A"/>
    <w:rsid w:val="00242301"/>
    <w:rsid w:val="002444F4"/>
    <w:rsid w:val="00244575"/>
    <w:rsid w:val="00244918"/>
    <w:rsid w:val="00247140"/>
    <w:rsid w:val="002471AF"/>
    <w:rsid w:val="00250076"/>
    <w:rsid w:val="00254B1C"/>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B7374"/>
    <w:rsid w:val="002C1C62"/>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48D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6F3E"/>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221"/>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8C1"/>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1993"/>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2B8"/>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475A7"/>
    <w:rsid w:val="008501AB"/>
    <w:rsid w:val="008506F7"/>
    <w:rsid w:val="008512D8"/>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77736"/>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065"/>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D08"/>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86198"/>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0BA0"/>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B76"/>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6DD3"/>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B6C"/>
    <w:rsid w:val="00E92068"/>
    <w:rsid w:val="00E93EDB"/>
    <w:rsid w:val="00E95BC1"/>
    <w:rsid w:val="00E96994"/>
    <w:rsid w:val="00EA122D"/>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9D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1560"/>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2CFCA346-B727-4FFA-9F2F-22560AE3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MS Mincho"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맑은 고딕"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맑은 고딕"/>
    </w:rPr>
  </w:style>
  <w:style w:type="paragraph" w:customStyle="1" w:styleId="IEEEStdsTableColumnHead">
    <w:name w:val="IEEEStds Table Column Head"/>
    <w:basedOn w:val="IEEEStdsParagraph"/>
    <w:rsid w:val="00244918"/>
    <w:pPr>
      <w:keepNext/>
      <w:keepLines/>
      <w:spacing w:after="0"/>
      <w:jc w:val="center"/>
    </w:pPr>
    <w:rPr>
      <w:rFonts w:eastAsia="맑은 고딕"/>
      <w:b/>
      <w:sz w:val="18"/>
    </w:rPr>
  </w:style>
  <w:style w:type="paragraph" w:customStyle="1" w:styleId="IEEEStdsTableData-Left">
    <w:name w:val="IEEEStds Table Data - Left"/>
    <w:basedOn w:val="IEEEStdsParagraph"/>
    <w:rsid w:val="00244918"/>
    <w:pPr>
      <w:keepNext/>
      <w:keepLines/>
      <w:spacing w:after="0"/>
      <w:jc w:val="left"/>
    </w:pPr>
    <w:rPr>
      <w:rFonts w:eastAsia="맑은 고딕"/>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1191-2F2E-4C55-9154-3D56B1F0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2372</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Sangkwon Jeong</cp:lastModifiedBy>
  <cp:revision>4</cp:revision>
  <cp:lastPrinted>2014-10-31T02:19:00Z</cp:lastPrinted>
  <dcterms:created xsi:type="dcterms:W3CDTF">2016-05-14T18:43:00Z</dcterms:created>
  <dcterms:modified xsi:type="dcterms:W3CDTF">2016-05-14T19:23:00Z</dcterms:modified>
</cp:coreProperties>
</file>