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281643" w:rsidRPr="001747DF" w:rsidTr="00201002">
        <w:tc>
          <w:tcPr>
            <w:tcW w:w="1350" w:type="dxa"/>
          </w:tcPr>
          <w:p w:rsidR="00281643" w:rsidRPr="001747DF" w:rsidRDefault="00281643" w:rsidP="00201002">
            <w:pPr>
              <w:pStyle w:val="covertext"/>
            </w:pPr>
            <w:r w:rsidRPr="001747DF">
              <w:t>Project</w:t>
            </w:r>
          </w:p>
        </w:tc>
        <w:tc>
          <w:tcPr>
            <w:tcW w:w="9018" w:type="dxa"/>
          </w:tcPr>
          <w:p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r w:rsidR="007B7621" w:rsidRPr="001747DF">
              <w:rPr>
                <w:b/>
              </w:rPr>
              <w:t xml:space="preserve"> </w:t>
            </w:r>
          </w:p>
          <w:p w:rsidR="00281643" w:rsidRPr="001747DF" w:rsidRDefault="00281643" w:rsidP="00201002">
            <w:pPr>
              <w:pStyle w:val="covertext"/>
              <w:rPr>
                <w:b/>
              </w:rPr>
            </w:pPr>
            <w:r w:rsidRPr="001747DF">
              <w:rPr>
                <w:b/>
              </w:rPr>
              <w:t>&lt;</w:t>
            </w:r>
            <w:hyperlink r:id="rId8" w:history="1">
              <w:r w:rsidRPr="001747DF">
                <w:rPr>
                  <w:rStyle w:val="aa"/>
                  <w:b/>
                  <w:lang w:bidi="ar-SA"/>
                </w:rPr>
                <w:t>http://www.ieee802.org/21/</w:t>
              </w:r>
            </w:hyperlink>
            <w:r w:rsidRPr="001747DF">
              <w:rPr>
                <w:b/>
              </w:rPr>
              <w:t>&gt;</w:t>
            </w:r>
          </w:p>
        </w:tc>
      </w:tr>
      <w:tr w:rsidR="00281643" w:rsidRPr="001747DF" w:rsidTr="00201002">
        <w:tc>
          <w:tcPr>
            <w:tcW w:w="1350" w:type="dxa"/>
          </w:tcPr>
          <w:p w:rsidR="00281643" w:rsidRPr="001747DF" w:rsidRDefault="00281643" w:rsidP="00201002">
            <w:pPr>
              <w:pStyle w:val="covertext"/>
            </w:pPr>
            <w:r w:rsidRPr="001747DF">
              <w:t>Title</w:t>
            </w:r>
          </w:p>
        </w:tc>
        <w:tc>
          <w:tcPr>
            <w:tcW w:w="9018" w:type="dxa"/>
          </w:tcPr>
          <w:p w:rsidR="00281643" w:rsidRPr="001747DF" w:rsidRDefault="006A7502" w:rsidP="0063455B">
            <w:pPr>
              <w:pStyle w:val="covertext"/>
              <w:rPr>
                <w:b/>
              </w:rPr>
            </w:pPr>
            <w:r w:rsidRPr="001747DF">
              <w:rPr>
                <w:rFonts w:hint="eastAsia"/>
                <w:b/>
              </w:rPr>
              <w:t>Propo</w:t>
            </w:r>
            <w:r w:rsidR="0063455B">
              <w:rPr>
                <w:rFonts w:hint="eastAsia"/>
                <w:b/>
              </w:rPr>
              <w:t>sal on splitting IEEE 802.21c into 802.21m and 802.21.1</w:t>
            </w:r>
          </w:p>
        </w:tc>
      </w:tr>
      <w:tr w:rsidR="00281643" w:rsidRPr="001747DF" w:rsidTr="00201002">
        <w:tc>
          <w:tcPr>
            <w:tcW w:w="1350" w:type="dxa"/>
          </w:tcPr>
          <w:p w:rsidR="00281643" w:rsidRPr="001747DF" w:rsidRDefault="00281643" w:rsidP="00201002">
            <w:pPr>
              <w:pStyle w:val="covertext"/>
            </w:pPr>
            <w:r w:rsidRPr="001747DF">
              <w:t>DCN</w:t>
            </w:r>
          </w:p>
        </w:tc>
        <w:tc>
          <w:tcPr>
            <w:tcW w:w="9018" w:type="dxa"/>
          </w:tcPr>
          <w:p w:rsidR="00281643" w:rsidRPr="001747DF" w:rsidRDefault="00281643" w:rsidP="00B03DC6">
            <w:pPr>
              <w:pStyle w:val="covertext"/>
              <w:rPr>
                <w:b/>
              </w:rPr>
            </w:pPr>
            <w:r w:rsidRPr="001747DF">
              <w:rPr>
                <w:b/>
              </w:rPr>
              <w:t>21-1</w:t>
            </w:r>
            <w:r w:rsidR="0063455B">
              <w:rPr>
                <w:rFonts w:hint="eastAsia"/>
                <w:b/>
              </w:rPr>
              <w:t>5</w:t>
            </w:r>
            <w:r w:rsidRPr="001747DF">
              <w:rPr>
                <w:b/>
              </w:rPr>
              <w:t>-</w:t>
            </w:r>
            <w:r w:rsidR="005B5A6E" w:rsidRPr="001747DF">
              <w:rPr>
                <w:b/>
              </w:rPr>
              <w:t>0</w:t>
            </w:r>
            <w:r w:rsidR="0063455B">
              <w:rPr>
                <w:rFonts w:hint="eastAsia"/>
                <w:b/>
              </w:rPr>
              <w:t>0</w:t>
            </w:r>
            <w:r w:rsidR="00B03DC6">
              <w:rPr>
                <w:rFonts w:hint="eastAsia"/>
                <w:b/>
              </w:rPr>
              <w:t>38-00-SAUC</w:t>
            </w:r>
          </w:p>
        </w:tc>
      </w:tr>
      <w:tr w:rsidR="00281643" w:rsidRPr="001747DF" w:rsidTr="00201002">
        <w:tc>
          <w:tcPr>
            <w:tcW w:w="1350" w:type="dxa"/>
          </w:tcPr>
          <w:p w:rsidR="00281643" w:rsidRPr="001747DF" w:rsidRDefault="00281643" w:rsidP="00201002">
            <w:pPr>
              <w:pStyle w:val="covertext"/>
            </w:pPr>
            <w:r w:rsidRPr="001747DF">
              <w:t>Date Submitted</w:t>
            </w:r>
          </w:p>
        </w:tc>
        <w:tc>
          <w:tcPr>
            <w:tcW w:w="9018" w:type="dxa"/>
          </w:tcPr>
          <w:p w:rsidR="00281643" w:rsidRPr="001747DF" w:rsidRDefault="0063455B" w:rsidP="0063455B">
            <w:pPr>
              <w:pStyle w:val="covertext"/>
              <w:rPr>
                <w:b/>
              </w:rPr>
            </w:pPr>
            <w:r>
              <w:rPr>
                <w:rFonts w:hint="eastAsia"/>
                <w:b/>
              </w:rPr>
              <w:t>April</w:t>
            </w:r>
            <w:r w:rsidR="006C7322" w:rsidRPr="001747DF">
              <w:rPr>
                <w:rFonts w:hint="eastAsia"/>
                <w:b/>
              </w:rPr>
              <w:t xml:space="preserve"> </w:t>
            </w:r>
            <w:r>
              <w:rPr>
                <w:rFonts w:hint="eastAsia"/>
                <w:b/>
              </w:rPr>
              <w:t>23, 2015</w:t>
            </w:r>
          </w:p>
        </w:tc>
      </w:tr>
      <w:tr w:rsidR="00F560C1" w:rsidRPr="001747DF" w:rsidTr="002618F5">
        <w:tc>
          <w:tcPr>
            <w:tcW w:w="1350" w:type="dxa"/>
          </w:tcPr>
          <w:p w:rsidR="00F560C1" w:rsidRPr="001747DF" w:rsidRDefault="00F560C1" w:rsidP="00201002">
            <w:pPr>
              <w:pStyle w:val="covertext"/>
            </w:pPr>
            <w:r w:rsidRPr="001747DF">
              <w:t>Source(s)</w:t>
            </w:r>
          </w:p>
        </w:tc>
        <w:tc>
          <w:tcPr>
            <w:tcW w:w="9018" w:type="dxa"/>
          </w:tcPr>
          <w:p w:rsidR="00F560C1" w:rsidRPr="001747DF" w:rsidRDefault="00F560C1" w:rsidP="0063455B">
            <w:pPr>
              <w:pStyle w:val="covertext"/>
            </w:pPr>
            <w:proofErr w:type="spellStart"/>
            <w:r w:rsidRPr="001747DF">
              <w:rPr>
                <w:lang w:eastAsia="ja-JP"/>
              </w:rPr>
              <w:t>Hyeong</w:t>
            </w:r>
            <w:proofErr w:type="spellEnd"/>
            <w:r w:rsidRPr="001747DF">
              <w:rPr>
                <w:lang w:eastAsia="ja-JP"/>
              </w:rPr>
              <w:t>-Ho Lee</w:t>
            </w:r>
            <w:r w:rsidRPr="001747DF">
              <w:rPr>
                <w:rFonts w:hint="eastAsia"/>
                <w:lang w:eastAsia="ja-JP"/>
              </w:rPr>
              <w:t xml:space="preserve"> </w:t>
            </w:r>
            <w:r w:rsidRPr="001747DF">
              <w:rPr>
                <w:lang w:eastAsia="ja-JP"/>
              </w:rPr>
              <w:t>(ETRI)</w:t>
            </w:r>
            <w:r w:rsidR="001B456F" w:rsidRPr="001747DF">
              <w:rPr>
                <w:lang w:eastAsia="ja-JP"/>
              </w:rPr>
              <w:t xml:space="preserve">, </w:t>
            </w:r>
            <w:r w:rsidR="00A36899" w:rsidRPr="001747DF">
              <w:rPr>
                <w:rFonts w:hint="eastAsia"/>
                <w:lang w:eastAsia="ja-JP"/>
              </w:rPr>
              <w:t xml:space="preserve"> </w:t>
            </w:r>
            <w:proofErr w:type="spellStart"/>
            <w:r w:rsidR="00A36899" w:rsidRPr="001747DF">
              <w:rPr>
                <w:rFonts w:hint="eastAsia"/>
                <w:lang w:eastAsia="ja-JP"/>
              </w:rPr>
              <w:t>Hyunho</w:t>
            </w:r>
            <w:proofErr w:type="spellEnd"/>
            <w:r w:rsidR="00A36899" w:rsidRPr="001747DF">
              <w:rPr>
                <w:rFonts w:hint="eastAsia"/>
                <w:lang w:eastAsia="ja-JP"/>
              </w:rPr>
              <w:t xml:space="preserve"> </w:t>
            </w:r>
            <w:r w:rsidR="00A36899" w:rsidRPr="001747DF">
              <w:rPr>
                <w:lang w:eastAsia="ja-JP"/>
              </w:rPr>
              <w:t>Park</w:t>
            </w:r>
            <w:r w:rsidR="00A36899" w:rsidRPr="001747DF">
              <w:rPr>
                <w:rFonts w:hint="eastAsia"/>
                <w:lang w:eastAsia="ja-JP"/>
              </w:rPr>
              <w:t xml:space="preserve"> </w:t>
            </w:r>
            <w:r w:rsidR="00A36899" w:rsidRPr="001747DF">
              <w:rPr>
                <w:lang w:eastAsia="ja-JP"/>
              </w:rPr>
              <w:t xml:space="preserve">(ETRI), </w:t>
            </w:r>
            <w:r w:rsidR="00A36899" w:rsidRPr="001747DF">
              <w:rPr>
                <w:rFonts w:hint="eastAsia"/>
              </w:rPr>
              <w:t xml:space="preserve"> </w:t>
            </w:r>
            <w:r w:rsidR="004F5DC9" w:rsidRPr="001747DF">
              <w:rPr>
                <w:lang w:eastAsia="ja-JP"/>
              </w:rPr>
              <w:t>Myung-</w:t>
            </w:r>
            <w:proofErr w:type="spellStart"/>
            <w:r w:rsidR="004F5DC9" w:rsidRPr="001747DF">
              <w:rPr>
                <w:lang w:eastAsia="ja-JP"/>
              </w:rPr>
              <w:t>Ki</w:t>
            </w:r>
            <w:proofErr w:type="spellEnd"/>
            <w:r w:rsidR="004F5DC9" w:rsidRPr="001747DF">
              <w:rPr>
                <w:lang w:eastAsia="ja-JP"/>
              </w:rPr>
              <w:t xml:space="preserve"> Shin (ETRI)</w:t>
            </w:r>
          </w:p>
        </w:tc>
      </w:tr>
      <w:tr w:rsidR="00281643" w:rsidRPr="001747DF" w:rsidTr="00201002">
        <w:tc>
          <w:tcPr>
            <w:tcW w:w="1350" w:type="dxa"/>
          </w:tcPr>
          <w:p w:rsidR="00281643" w:rsidRPr="001747DF" w:rsidRDefault="00281643" w:rsidP="00201002">
            <w:pPr>
              <w:pStyle w:val="covertext"/>
            </w:pPr>
            <w:r w:rsidRPr="001747DF">
              <w:t>Re:</w:t>
            </w:r>
          </w:p>
        </w:tc>
        <w:tc>
          <w:tcPr>
            <w:tcW w:w="9018" w:type="dxa"/>
          </w:tcPr>
          <w:p w:rsidR="00281643" w:rsidRPr="001747DF" w:rsidRDefault="00281643" w:rsidP="0063455B">
            <w:pPr>
              <w:pStyle w:val="covertext"/>
              <w:rPr>
                <w:lang w:val="en-GB"/>
              </w:rPr>
            </w:pPr>
            <w:r w:rsidRPr="001747DF">
              <w:t xml:space="preserve">IEEE </w:t>
            </w:r>
            <w:r w:rsidR="0063455B" w:rsidRPr="0063455B">
              <w:t>802.21m and 802.21.1 Teleconference</w:t>
            </w:r>
            <w:r w:rsidRPr="001747DF">
              <w:t xml:space="preserve"> </w:t>
            </w:r>
          </w:p>
        </w:tc>
      </w:tr>
      <w:tr w:rsidR="00281643" w:rsidRPr="001747DF" w:rsidTr="00201002">
        <w:tc>
          <w:tcPr>
            <w:tcW w:w="1350" w:type="dxa"/>
          </w:tcPr>
          <w:p w:rsidR="00281643" w:rsidRPr="001747DF" w:rsidRDefault="00281643" w:rsidP="00201002">
            <w:pPr>
              <w:pStyle w:val="covertext"/>
            </w:pPr>
            <w:r w:rsidRPr="001747DF">
              <w:t>Abstract</w:t>
            </w:r>
          </w:p>
        </w:tc>
        <w:tc>
          <w:tcPr>
            <w:tcW w:w="9018" w:type="dxa"/>
          </w:tcPr>
          <w:p w:rsidR="00281643" w:rsidRPr="001747DF" w:rsidRDefault="0063455B" w:rsidP="00717C1D">
            <w:pPr>
              <w:pStyle w:val="covertext"/>
              <w:jc w:val="both"/>
            </w:pPr>
            <w:r>
              <w:rPr>
                <w:rFonts w:hint="eastAsia"/>
              </w:rPr>
              <w:t>Th</w:t>
            </w:r>
            <w:r w:rsidR="00717C1D">
              <w:rPr>
                <w:rFonts w:hint="eastAsia"/>
              </w:rPr>
              <w:t xml:space="preserve">is </w:t>
            </w:r>
            <w:r w:rsidR="00281643" w:rsidRPr="001747DF">
              <w:t>document</w:t>
            </w:r>
            <w:r w:rsidR="001247DB" w:rsidRPr="001747DF">
              <w:rPr>
                <w:rFonts w:hint="eastAsia"/>
                <w:lang w:eastAsia="ja-JP"/>
              </w:rPr>
              <w:t xml:space="preserve"> p</w:t>
            </w:r>
            <w:r w:rsidR="001247DB" w:rsidRPr="001747DF">
              <w:t>ropose</w:t>
            </w:r>
            <w:r w:rsidR="001247DB" w:rsidRPr="001747DF">
              <w:rPr>
                <w:rFonts w:hint="eastAsia"/>
              </w:rPr>
              <w:t>s</w:t>
            </w:r>
            <w:r w:rsidR="001247DB" w:rsidRPr="001747DF">
              <w:t xml:space="preserve"> </w:t>
            </w:r>
            <w:r w:rsidR="00717C1D">
              <w:rPr>
                <w:rFonts w:hint="eastAsia"/>
              </w:rPr>
              <w:t>how to split IEEE 802.21c into 802.21m and 802.21.1.</w:t>
            </w:r>
          </w:p>
        </w:tc>
      </w:tr>
      <w:tr w:rsidR="00281643" w:rsidRPr="001747DF" w:rsidTr="00201002">
        <w:tc>
          <w:tcPr>
            <w:tcW w:w="1350" w:type="dxa"/>
          </w:tcPr>
          <w:p w:rsidR="00281643" w:rsidRPr="001747DF" w:rsidRDefault="00281643" w:rsidP="00201002">
            <w:pPr>
              <w:pStyle w:val="covertext"/>
            </w:pPr>
            <w:r w:rsidRPr="001747DF">
              <w:t>Purpose</w:t>
            </w:r>
          </w:p>
        </w:tc>
        <w:tc>
          <w:tcPr>
            <w:tcW w:w="9018" w:type="dxa"/>
          </w:tcPr>
          <w:p w:rsidR="00281643" w:rsidRPr="001747DF" w:rsidRDefault="00281643" w:rsidP="00717C1D">
            <w:pPr>
              <w:pStyle w:val="covertext"/>
              <w:jc w:val="both"/>
              <w:rPr>
                <w:lang w:eastAsia="ja-JP"/>
              </w:rPr>
            </w:pPr>
            <w:r w:rsidRPr="001747DF">
              <w:rPr>
                <w:rFonts w:hint="eastAsia"/>
                <w:lang w:eastAsia="ja-JP"/>
              </w:rPr>
              <w:t xml:space="preserve">To </w:t>
            </w:r>
            <w:r w:rsidR="0063455B">
              <w:rPr>
                <w:rFonts w:hint="eastAsia"/>
              </w:rPr>
              <w:t>split IEEE 802.21c into 802.21m and 802.21.1</w:t>
            </w:r>
          </w:p>
        </w:tc>
      </w:tr>
      <w:tr w:rsidR="00281643" w:rsidRPr="001747DF" w:rsidTr="00201002">
        <w:trPr>
          <w:trHeight w:val="840"/>
        </w:trPr>
        <w:tc>
          <w:tcPr>
            <w:tcW w:w="1350" w:type="dxa"/>
          </w:tcPr>
          <w:p w:rsidR="00281643" w:rsidRPr="001747DF" w:rsidRDefault="00281643" w:rsidP="00201002">
            <w:pPr>
              <w:pStyle w:val="covertext"/>
            </w:pPr>
            <w:r w:rsidRPr="001747DF">
              <w:t>Notice</w:t>
            </w:r>
          </w:p>
        </w:tc>
        <w:tc>
          <w:tcPr>
            <w:tcW w:w="9018" w:type="dxa"/>
          </w:tcPr>
          <w:p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rsidTr="00201002">
        <w:trPr>
          <w:trHeight w:val="1439"/>
        </w:trPr>
        <w:tc>
          <w:tcPr>
            <w:tcW w:w="1350" w:type="dxa"/>
          </w:tcPr>
          <w:p w:rsidR="00281643" w:rsidRPr="001747DF" w:rsidRDefault="00281643" w:rsidP="00201002">
            <w:pPr>
              <w:pStyle w:val="covertext"/>
            </w:pPr>
            <w:r w:rsidRPr="001747DF">
              <w:t>Release</w:t>
            </w:r>
          </w:p>
        </w:tc>
        <w:tc>
          <w:tcPr>
            <w:tcW w:w="9018" w:type="dxa"/>
          </w:tcPr>
          <w:p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rsidTr="00E632B6">
        <w:trPr>
          <w:trHeight w:val="70"/>
        </w:trPr>
        <w:tc>
          <w:tcPr>
            <w:tcW w:w="1350" w:type="dxa"/>
          </w:tcPr>
          <w:p w:rsidR="00281643" w:rsidRPr="001747DF" w:rsidRDefault="00281643" w:rsidP="00201002">
            <w:pPr>
              <w:pStyle w:val="covertext"/>
            </w:pPr>
            <w:r w:rsidRPr="001747DF">
              <w:t>Patent Policy</w:t>
            </w:r>
          </w:p>
        </w:tc>
        <w:tc>
          <w:tcPr>
            <w:tcW w:w="9018" w:type="dxa"/>
          </w:tcPr>
          <w:p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a"/>
                  <w:sz w:val="20"/>
                </w:rPr>
                <w:t>Section 6 of the IEEE-SA Standards Board bylaws</w:t>
              </w:r>
            </w:hyperlink>
            <w:r w:rsidRPr="001747DF">
              <w:rPr>
                <w:sz w:val="20"/>
              </w:rPr>
              <w:t xml:space="preserve"> &lt;</w:t>
            </w:r>
            <w:hyperlink r:id="rId10"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a"/>
                  <w:sz w:val="20"/>
                </w:rPr>
                <w:t>http://standards.ieee.org/board/pat/faq.pdf</w:t>
              </w:r>
            </w:hyperlink>
          </w:p>
        </w:tc>
      </w:tr>
    </w:tbl>
    <w:p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tbl>
      <w:tblPr>
        <w:tblW w:w="9793" w:type="dxa"/>
        <w:tblInd w:w="87" w:type="dxa"/>
        <w:tblCellMar>
          <w:left w:w="99" w:type="dxa"/>
          <w:right w:w="99" w:type="dxa"/>
        </w:tblCellMar>
        <w:tblLook w:val="04A0"/>
      </w:tblPr>
      <w:tblGrid>
        <w:gridCol w:w="1146"/>
        <w:gridCol w:w="1276"/>
        <w:gridCol w:w="2415"/>
        <w:gridCol w:w="1275"/>
        <w:gridCol w:w="1314"/>
        <w:gridCol w:w="2367"/>
      </w:tblGrid>
      <w:tr w:rsidR="0038278B" w:rsidRPr="0038278B" w:rsidTr="0038278B">
        <w:trPr>
          <w:trHeight w:val="348"/>
        </w:trPr>
        <w:tc>
          <w:tcPr>
            <w:tcW w:w="1146" w:type="dxa"/>
            <w:tcBorders>
              <w:top w:val="nil"/>
              <w:left w:val="nil"/>
              <w:bottom w:val="single" w:sz="4" w:space="0" w:color="auto"/>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bookmarkStart w:id="0" w:name="RANGE!A1:F90"/>
            <w:r w:rsidRPr="0038278B">
              <w:rPr>
                <w:rFonts w:ascii="Times New Roman" w:eastAsia="맑은 고딕" w:hAnsi="Times New Roman"/>
                <w:color w:val="000000"/>
                <w:sz w:val="22"/>
                <w:szCs w:val="22"/>
                <w:lang w:val="en-US"/>
              </w:rPr>
              <w:lastRenderedPageBreak/>
              <w:t>Clause</w:t>
            </w:r>
            <w:bookmarkEnd w:id="0"/>
          </w:p>
        </w:tc>
        <w:tc>
          <w:tcPr>
            <w:tcW w:w="1276" w:type="dxa"/>
            <w:tcBorders>
              <w:top w:val="nil"/>
              <w:left w:val="nil"/>
              <w:bottom w:val="single" w:sz="4" w:space="0" w:color="auto"/>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SubClause</w:t>
            </w:r>
            <w:proofErr w:type="spellEnd"/>
          </w:p>
        </w:tc>
        <w:tc>
          <w:tcPr>
            <w:tcW w:w="2415" w:type="dxa"/>
            <w:tcBorders>
              <w:top w:val="nil"/>
              <w:left w:val="nil"/>
              <w:bottom w:val="single" w:sz="4" w:space="0" w:color="auto"/>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Name</w:t>
            </w:r>
          </w:p>
        </w:tc>
        <w:tc>
          <w:tcPr>
            <w:tcW w:w="1275" w:type="dxa"/>
            <w:tcBorders>
              <w:top w:val="nil"/>
              <w:left w:val="nil"/>
              <w:bottom w:val="single" w:sz="4" w:space="0" w:color="auto"/>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Go to 21m</w:t>
            </w:r>
          </w:p>
        </w:tc>
        <w:tc>
          <w:tcPr>
            <w:tcW w:w="1314" w:type="dxa"/>
            <w:tcBorders>
              <w:top w:val="nil"/>
              <w:left w:val="nil"/>
              <w:bottom w:val="single" w:sz="4" w:space="0" w:color="auto"/>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Go to 21.1</w:t>
            </w:r>
          </w:p>
        </w:tc>
        <w:tc>
          <w:tcPr>
            <w:tcW w:w="2367" w:type="dxa"/>
            <w:tcBorders>
              <w:top w:val="nil"/>
              <w:left w:val="nil"/>
              <w:bottom w:val="single" w:sz="4" w:space="0" w:color="auto"/>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r w:rsidRPr="0038278B">
              <w:rPr>
                <w:rFonts w:ascii="Times New Roman" w:eastAsia="맑은 고딕" w:hAnsi="Times New Roman"/>
                <w:sz w:val="22"/>
                <w:szCs w:val="22"/>
                <w:lang w:val="en-US"/>
              </w:rPr>
              <w:t>Comments</w:t>
            </w: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jc w:val="right"/>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1</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Overview</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1.4</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Assumptions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jc w:val="right"/>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3</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Definitions</w:t>
            </w:r>
          </w:p>
        </w:tc>
        <w:tc>
          <w:tcPr>
            <w:tcW w:w="1275"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jc w:val="right"/>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4</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Abbreviations and acronyms</w:t>
            </w:r>
          </w:p>
        </w:tc>
        <w:tc>
          <w:tcPr>
            <w:tcW w:w="1275"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jc w:val="right"/>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General Architecture</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5.1</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Introduction</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5.1.10</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Media independent single radio handover</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5.1.11</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Securing single-radio messages using </w:t>
            </w:r>
            <w:proofErr w:type="spellStart"/>
            <w:r w:rsidRPr="0038278B">
              <w:rPr>
                <w:rFonts w:ascii="Times New Roman" w:eastAsia="맑은 고딕" w:hAnsi="Times New Roman"/>
                <w:color w:val="000000"/>
                <w:sz w:val="22"/>
                <w:szCs w:val="22"/>
                <w:lang w:val="en-US"/>
              </w:rPr>
              <w:t>PoS</w:t>
            </w:r>
            <w:proofErr w:type="spellEnd"/>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5.2</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General design principles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5.2.3 </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Single Radio Handover MIHF design principles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5.4</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Media independent handover reference framework</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5.4.4</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Single Radio MIHF relationship to reference model</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5.5</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MIHF reference models for link-layer technologies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5.5.8</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Single radio handover functional model and signaling flow</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5.8</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Single radio handover procedures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5.9</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Proxy operations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5.9.1</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Introduction</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5.9.2</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Network discovery using proxy Information Server</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5.9.3</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Preregistration using proxy </w:t>
            </w:r>
            <w:proofErr w:type="spellStart"/>
            <w:r w:rsidRPr="0038278B">
              <w:rPr>
                <w:rFonts w:ascii="Times New Roman" w:eastAsia="맑은 고딕" w:hAnsi="Times New Roman"/>
                <w:color w:val="000000"/>
                <w:sz w:val="22"/>
                <w:szCs w:val="22"/>
                <w:lang w:val="en-US"/>
              </w:rPr>
              <w:t>PoA</w:t>
            </w:r>
            <w:proofErr w:type="spellEnd"/>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jc w:val="right"/>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6</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MIHF services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6.4</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 Media independent command service</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6.4.3</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 Command List</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6</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Link commands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r w:rsidRPr="0038278B">
              <w:rPr>
                <w:rFonts w:ascii="Times New Roman" w:eastAsia="맑은 고딕" w:hAnsi="Times New Roman"/>
                <w:sz w:val="22"/>
                <w:szCs w:val="22"/>
                <w:lang w:val="en-US"/>
              </w:rPr>
              <w:t>SRHO specific command</w:t>
            </w: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7</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 commands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r w:rsidRPr="0038278B">
              <w:rPr>
                <w:rFonts w:ascii="Times New Roman" w:eastAsia="맑은 고딕" w:hAnsi="Times New Roman"/>
                <w:sz w:val="22"/>
                <w:szCs w:val="22"/>
                <w:lang w:val="en-US"/>
              </w:rPr>
              <w:t>SRHO specific commands</w:t>
            </w: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6.5</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Media independent information service</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6.5.4</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Information elements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10</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Information elements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jc w:val="right"/>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7</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7.2.2.1</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MIH_LINK_SAP primitives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15</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MIH_LINK_SAP primitives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r w:rsidRPr="0038278B">
              <w:rPr>
                <w:rFonts w:ascii="Times New Roman" w:eastAsia="맑은 고딕" w:hAnsi="Times New Roman"/>
                <w:sz w:val="22"/>
                <w:szCs w:val="22"/>
                <w:lang w:val="en-US"/>
              </w:rPr>
              <w:t>SRHO specific primitive</w:t>
            </w: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7.2.2.2</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MIH_NET_SAP primitives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Table16</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MIH_NET_SAP primitives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r w:rsidRPr="0038278B">
              <w:rPr>
                <w:rFonts w:ascii="Times New Roman" w:eastAsia="맑은 고딕" w:hAnsi="Times New Roman"/>
                <w:sz w:val="22"/>
                <w:szCs w:val="22"/>
                <w:lang w:val="en-US"/>
              </w:rPr>
              <w:t>SRHO specific primitive</w:t>
            </w: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7.2.3</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MIH_SAP primitives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17</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MIH_SAP primitives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r w:rsidRPr="0038278B">
              <w:rPr>
                <w:rFonts w:ascii="Times New Roman" w:eastAsia="맑은 고딕" w:hAnsi="Times New Roman"/>
                <w:sz w:val="22"/>
                <w:szCs w:val="22"/>
                <w:lang w:val="en-US"/>
              </w:rPr>
              <w:t>SRHO specific primitives</w:t>
            </w: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7.3.15</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Link_Prereg_Ready</w:t>
            </w:r>
            <w:proofErr w:type="spellEnd"/>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7.4.30</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MIH_Prereg_Xfer</w:t>
            </w:r>
            <w:proofErr w:type="spellEnd"/>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7.4.31</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MIH_N2N_Prereg_Xfer</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7.4.32</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MIH_Prereg_Ready</w:t>
            </w:r>
            <w:proofErr w:type="spellEnd"/>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7.4.33</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MIH_CTRL_Transfer</w:t>
            </w:r>
            <w:proofErr w:type="spellEnd"/>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jc w:val="right"/>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8</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Media independent handover protocol</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8.6</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 protocol messages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8.6.3</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 messages for command services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8.6.3.24</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MIH_Prereg_Xfer</w:t>
            </w:r>
            <w:proofErr w:type="spellEnd"/>
            <w:r w:rsidRPr="0038278B">
              <w:rPr>
                <w:rFonts w:ascii="Times New Roman" w:eastAsia="맑은 고딕" w:hAnsi="Times New Roman"/>
                <w:color w:val="000000"/>
                <w:sz w:val="22"/>
                <w:szCs w:val="22"/>
                <w:lang w:val="en-US"/>
              </w:rPr>
              <w:t xml:space="preserve"> Request</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8.6.3.25</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MIH_Prereg_Xfer</w:t>
            </w:r>
            <w:proofErr w:type="spellEnd"/>
            <w:r w:rsidRPr="0038278B">
              <w:rPr>
                <w:rFonts w:ascii="Times New Roman" w:eastAsia="맑은 고딕" w:hAnsi="Times New Roman"/>
                <w:color w:val="000000"/>
                <w:sz w:val="22"/>
                <w:szCs w:val="22"/>
                <w:lang w:val="en-US"/>
              </w:rPr>
              <w:t xml:space="preserve"> Response</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8.6.3.26</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MIH_N2N_Prereg_Xfer Request</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8.6.3.27</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MIH_N2N_Prereg_Xfer Response</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8.6.3.28</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MIH_Prereg_Ready</w:t>
            </w:r>
            <w:proofErr w:type="spellEnd"/>
            <w:r w:rsidRPr="0038278B">
              <w:rPr>
                <w:rFonts w:ascii="Times New Roman" w:eastAsia="맑은 고딕" w:hAnsi="Times New Roman"/>
                <w:color w:val="000000"/>
                <w:sz w:val="22"/>
                <w:szCs w:val="22"/>
                <w:lang w:val="en-US"/>
              </w:rPr>
              <w:t xml:space="preserve"> Request</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8.6.3.29</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MIH_Prereg_Ready</w:t>
            </w:r>
            <w:proofErr w:type="spellEnd"/>
            <w:r w:rsidRPr="0038278B">
              <w:rPr>
                <w:rFonts w:ascii="Times New Roman" w:eastAsia="맑은 고딕" w:hAnsi="Times New Roman"/>
                <w:color w:val="000000"/>
                <w:sz w:val="22"/>
                <w:szCs w:val="22"/>
                <w:lang w:val="en-US"/>
              </w:rPr>
              <w:t xml:space="preserve"> Response</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8.6.3.30</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MIH_CTRL_Transfer</w:t>
            </w:r>
            <w:proofErr w:type="spellEnd"/>
            <w:r w:rsidRPr="0038278B">
              <w:rPr>
                <w:rFonts w:ascii="Times New Roman" w:eastAsia="맑은 고딕" w:hAnsi="Times New Roman"/>
                <w:color w:val="000000"/>
                <w:sz w:val="22"/>
                <w:szCs w:val="22"/>
                <w:lang w:val="en-US"/>
              </w:rPr>
              <w:t xml:space="preserve"> Request</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8.6.3.31</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MIH_CTRL_Transfer</w:t>
            </w:r>
            <w:proofErr w:type="spellEnd"/>
            <w:r w:rsidRPr="0038278B">
              <w:rPr>
                <w:rFonts w:ascii="Times New Roman" w:eastAsia="맑은 고딕" w:hAnsi="Times New Roman"/>
                <w:color w:val="000000"/>
                <w:sz w:val="22"/>
                <w:szCs w:val="22"/>
                <w:lang w:val="en-US"/>
              </w:rPr>
              <w:t xml:space="preserve"> Response</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jc w:val="right"/>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9</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 protocol protection</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9.2</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Key establishment through an MIH service </w:t>
            </w:r>
            <w:r w:rsidRPr="0038278B">
              <w:rPr>
                <w:rFonts w:ascii="Times New Roman" w:eastAsia="맑은 고딕" w:hAnsi="Times New Roman"/>
                <w:color w:val="000000"/>
                <w:sz w:val="22"/>
                <w:szCs w:val="22"/>
                <w:lang w:val="en-US"/>
              </w:rPr>
              <w:lastRenderedPageBreak/>
              <w:t>access authentication</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9.2.2</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Key derivation and key hierarchy</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r w:rsidRPr="0038278B">
              <w:rPr>
                <w:rFonts w:ascii="Times New Roman" w:eastAsia="맑은 고딕" w:hAnsi="Times New Roman"/>
                <w:sz w:val="22"/>
                <w:szCs w:val="22"/>
                <w:lang w:val="en-US"/>
              </w:rPr>
              <w:t>Security</w:t>
            </w: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jc w:val="right"/>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10</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Proactive </w:t>
            </w:r>
            <w:proofErr w:type="spellStart"/>
            <w:r w:rsidRPr="0038278B">
              <w:rPr>
                <w:rFonts w:ascii="Times New Roman" w:eastAsia="맑은 고딕" w:hAnsi="Times New Roman"/>
                <w:color w:val="000000"/>
                <w:sz w:val="22"/>
                <w:szCs w:val="22"/>
                <w:lang w:val="en-US"/>
              </w:rPr>
              <w:t>authentification</w:t>
            </w:r>
            <w:proofErr w:type="spellEnd"/>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10.1</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Media specific proactive authentication</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864"/>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10.2</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Bundling media access authentication with MIH service access authentication</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864"/>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10.3</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Establishing MIH Security Association between roaming partners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10.4</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Key generation and distribution by SPOS</w:t>
            </w:r>
          </w:p>
        </w:tc>
        <w:tc>
          <w:tcPr>
            <w:tcW w:w="1275"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10.5</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TPOS selection by the SPOS</w:t>
            </w:r>
          </w:p>
        </w:tc>
        <w:tc>
          <w:tcPr>
            <w:tcW w:w="1275"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 A</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(informative) Bibliography</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 E</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(informative) Media specific mapping for SAPs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E.1</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MIH_Link_SAP</w:t>
            </w:r>
            <w:proofErr w:type="spellEnd"/>
            <w:r w:rsidRPr="0038278B">
              <w:rPr>
                <w:rFonts w:ascii="Times New Roman" w:eastAsia="맑은 고딕" w:hAnsi="Times New Roman"/>
                <w:color w:val="000000"/>
                <w:sz w:val="22"/>
                <w:szCs w:val="22"/>
                <w:lang w:val="en-US"/>
              </w:rPr>
              <w:t>/IEEE 802.16 primitive mapping</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 F</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(normative) Data type definition</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F.3</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Derived data types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F.2</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General data types</w:t>
            </w:r>
          </w:p>
        </w:tc>
        <w:tc>
          <w:tcPr>
            <w:tcW w:w="1275"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F.4</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Data types for links</w:t>
            </w:r>
          </w:p>
        </w:tc>
        <w:tc>
          <w:tcPr>
            <w:tcW w:w="1275"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F.5</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Link actions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F.13</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Data types for information elements</w:t>
            </w:r>
          </w:p>
        </w:tc>
        <w:tc>
          <w:tcPr>
            <w:tcW w:w="1275"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F.20</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Data type for information elements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F.24</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Data type for security</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F.25</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Data types for delivery of control messages </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 G</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(informative) Information element identifiers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G.1</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Information element identifier values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 H</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(normative) MIIS basic </w:t>
            </w:r>
            <w:r w:rsidRPr="0038278B">
              <w:rPr>
                <w:rFonts w:ascii="Times New Roman" w:eastAsia="맑은 고딕" w:hAnsi="Times New Roman"/>
                <w:color w:val="000000"/>
                <w:sz w:val="22"/>
                <w:szCs w:val="22"/>
                <w:lang w:val="en-US"/>
              </w:rPr>
              <w:lastRenderedPageBreak/>
              <w:t>schema</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lastRenderedPageBreak/>
              <w:t>Annex J</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(normative) Making user </w:t>
            </w:r>
            <w:proofErr w:type="spellStart"/>
            <w:r w:rsidRPr="0038278B">
              <w:rPr>
                <w:rFonts w:ascii="Times New Roman" w:eastAsia="맑은 고딕" w:hAnsi="Times New Roman"/>
                <w:color w:val="000000"/>
                <w:sz w:val="22"/>
                <w:szCs w:val="22"/>
                <w:lang w:val="en-US"/>
              </w:rPr>
              <w:t>extentions</w:t>
            </w:r>
            <w:proofErr w:type="spellEnd"/>
            <w:r w:rsidRPr="0038278B">
              <w:rPr>
                <w:rFonts w:ascii="Times New Roman" w:eastAsia="맑은 고딕" w:hAnsi="Times New Roman"/>
                <w:color w:val="000000"/>
                <w:sz w:val="22"/>
                <w:szCs w:val="22"/>
                <w:lang w:val="en-US"/>
              </w:rPr>
              <w:t xml:space="preserve"> to MIIS schema</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 L</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MIH protocol message code assignments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L.1</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AID assignment</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Table L.2</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Type values for TLV encoding</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864"/>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w:t>
            </w:r>
            <w:r>
              <w:rPr>
                <w:rFonts w:ascii="Times New Roman" w:eastAsia="맑은 고딕" w:hAnsi="Times New Roman" w:hint="eastAsia"/>
                <w:color w:val="000000"/>
                <w:sz w:val="22"/>
                <w:szCs w:val="22"/>
                <w:lang w:val="en-US"/>
              </w:rPr>
              <w:t xml:space="preserve"> M</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(normative) Protocol implementation </w:t>
            </w:r>
            <w:proofErr w:type="spellStart"/>
            <w:r w:rsidRPr="0038278B">
              <w:rPr>
                <w:rFonts w:ascii="Times New Roman" w:eastAsia="맑은 고딕" w:hAnsi="Times New Roman"/>
                <w:color w:val="000000"/>
                <w:sz w:val="22"/>
                <w:szCs w:val="22"/>
                <w:lang w:val="en-US"/>
              </w:rPr>
              <w:t>conformannce</w:t>
            </w:r>
            <w:proofErr w:type="spellEnd"/>
            <w:r w:rsidRPr="0038278B">
              <w:rPr>
                <w:rFonts w:ascii="Times New Roman" w:eastAsia="맑은 고딕" w:hAnsi="Times New Roman"/>
                <w:color w:val="000000"/>
                <w:sz w:val="22"/>
                <w:szCs w:val="22"/>
                <w:lang w:val="en-US"/>
              </w:rPr>
              <w:t xml:space="preserve"> statement (PICS) </w:t>
            </w:r>
            <w:proofErr w:type="spellStart"/>
            <w:r w:rsidRPr="0038278B">
              <w:rPr>
                <w:rFonts w:ascii="Times New Roman" w:eastAsia="맑은 고딕" w:hAnsi="Times New Roman"/>
                <w:color w:val="000000"/>
                <w:sz w:val="22"/>
                <w:szCs w:val="22"/>
                <w:lang w:val="en-US"/>
              </w:rPr>
              <w:t>proforma</w:t>
            </w:r>
            <w:proofErr w:type="spellEnd"/>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M.8</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PICS </w:t>
            </w:r>
            <w:proofErr w:type="spellStart"/>
            <w:r w:rsidRPr="0038278B">
              <w:rPr>
                <w:rFonts w:ascii="Times New Roman" w:eastAsia="맑은 고딕" w:hAnsi="Times New Roman"/>
                <w:color w:val="000000"/>
                <w:sz w:val="22"/>
                <w:szCs w:val="22"/>
                <w:lang w:val="en-US"/>
              </w:rPr>
              <w:t>proforma</w:t>
            </w:r>
            <w:proofErr w:type="spellEnd"/>
            <w:r w:rsidRPr="0038278B">
              <w:rPr>
                <w:rFonts w:ascii="Times New Roman" w:eastAsia="맑은 고딕" w:hAnsi="Times New Roman"/>
                <w:color w:val="000000"/>
                <w:sz w:val="22"/>
                <w:szCs w:val="22"/>
                <w:lang w:val="en-US"/>
              </w:rPr>
              <w:t xml:space="preserve"> tables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M.8.3</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Major capabilities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M.8.4</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PDUs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 N</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 xml:space="preserve">(informative) </w:t>
            </w:r>
            <w:proofErr w:type="spellStart"/>
            <w:r w:rsidRPr="0038278B">
              <w:rPr>
                <w:rFonts w:ascii="Times New Roman" w:eastAsia="맑은 고딕" w:hAnsi="Times New Roman"/>
                <w:color w:val="000000"/>
                <w:sz w:val="22"/>
                <w:szCs w:val="22"/>
                <w:lang w:val="en-US"/>
              </w:rPr>
              <w:t>Authentification</w:t>
            </w:r>
            <w:proofErr w:type="spellEnd"/>
            <w:r w:rsidRPr="0038278B">
              <w:rPr>
                <w:rFonts w:ascii="Times New Roman" w:eastAsia="맑은 고딕" w:hAnsi="Times New Roman"/>
                <w:color w:val="000000"/>
                <w:sz w:val="22"/>
                <w:szCs w:val="22"/>
                <w:lang w:val="en-US"/>
              </w:rPr>
              <w:t xml:space="preserve"> and key distribution procedures</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N.5</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Terminating Phase</w:t>
            </w:r>
          </w:p>
        </w:tc>
        <w:tc>
          <w:tcPr>
            <w:tcW w:w="1275"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N.6</w:t>
            </w: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roofErr w:type="spellStart"/>
            <w:r w:rsidRPr="0038278B">
              <w:rPr>
                <w:rFonts w:ascii="Times New Roman" w:eastAsia="맑은 고딕" w:hAnsi="Times New Roman"/>
                <w:color w:val="000000"/>
                <w:sz w:val="22"/>
                <w:szCs w:val="22"/>
                <w:lang w:val="en-US"/>
              </w:rPr>
              <w:t>MIH_Prereg_Xfer</w:t>
            </w:r>
            <w:proofErr w:type="spellEnd"/>
            <w:r w:rsidRPr="0038278B">
              <w:rPr>
                <w:rFonts w:ascii="Times New Roman" w:eastAsia="맑은 고딕" w:hAnsi="Times New Roman"/>
                <w:color w:val="000000"/>
                <w:sz w:val="22"/>
                <w:szCs w:val="22"/>
                <w:lang w:val="en-US"/>
              </w:rPr>
              <w:t xml:space="preserve"> messages for Optimized SA Establishment</w:t>
            </w:r>
          </w:p>
        </w:tc>
        <w:tc>
          <w:tcPr>
            <w:tcW w:w="1275"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1314" w:type="dxa"/>
            <w:tcBorders>
              <w:top w:val="nil"/>
              <w:left w:val="nil"/>
              <w:bottom w:val="nil"/>
              <w:right w:val="nil"/>
            </w:tcBorders>
            <w:shd w:val="clear" w:color="000000" w:fill="FFFF00"/>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 P</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(informative) MN’s Network Access Identifier Format</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 Q</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(informative) Network discovery for single radio handover</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34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 R</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w:t>
            </w:r>
            <w:proofErr w:type="spellStart"/>
            <w:r w:rsidRPr="0038278B">
              <w:rPr>
                <w:rFonts w:ascii="Times New Roman" w:eastAsia="맑은 고딕" w:hAnsi="Times New Roman"/>
                <w:color w:val="000000"/>
                <w:sz w:val="22"/>
                <w:szCs w:val="22"/>
                <w:lang w:val="en-US"/>
              </w:rPr>
              <w:t>nomative</w:t>
            </w:r>
            <w:proofErr w:type="spellEnd"/>
            <w:r w:rsidRPr="0038278B">
              <w:rPr>
                <w:rFonts w:ascii="Times New Roman" w:eastAsia="맑은 고딕" w:hAnsi="Times New Roman"/>
                <w:color w:val="000000"/>
                <w:sz w:val="22"/>
                <w:szCs w:val="22"/>
                <w:lang w:val="en-US"/>
              </w:rPr>
              <w:t>) Handover decision</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r w:rsidR="0038278B" w:rsidRPr="0038278B" w:rsidTr="0038278B">
        <w:trPr>
          <w:trHeight w:val="588"/>
        </w:trPr>
        <w:tc>
          <w:tcPr>
            <w:tcW w:w="114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Annex S</w:t>
            </w:r>
          </w:p>
        </w:tc>
        <w:tc>
          <w:tcPr>
            <w:tcW w:w="1276"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2415"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(informative) Practical uses of proxy information server</w:t>
            </w:r>
          </w:p>
        </w:tc>
        <w:tc>
          <w:tcPr>
            <w:tcW w:w="1275"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p>
        </w:tc>
        <w:tc>
          <w:tcPr>
            <w:tcW w:w="1314" w:type="dxa"/>
            <w:tcBorders>
              <w:top w:val="nil"/>
              <w:left w:val="nil"/>
              <w:bottom w:val="nil"/>
              <w:right w:val="nil"/>
            </w:tcBorders>
            <w:shd w:val="clear" w:color="auto" w:fill="auto"/>
            <w:noWrap/>
            <w:vAlign w:val="bottom"/>
            <w:hideMark/>
          </w:tcPr>
          <w:p w:rsidR="0038278B" w:rsidRPr="0038278B" w:rsidRDefault="0038278B" w:rsidP="0038278B">
            <w:pPr>
              <w:tabs>
                <w:tab w:val="clear" w:pos="284"/>
              </w:tabs>
              <w:spacing w:before="0"/>
              <w:rPr>
                <w:rFonts w:ascii="Times New Roman" w:eastAsia="맑은 고딕" w:hAnsi="Times New Roman"/>
                <w:color w:val="000000"/>
                <w:sz w:val="22"/>
                <w:szCs w:val="22"/>
                <w:lang w:val="en-US"/>
              </w:rPr>
            </w:pPr>
            <w:r w:rsidRPr="0038278B">
              <w:rPr>
                <w:rFonts w:ascii="Times New Roman" w:eastAsia="맑은 고딕" w:hAnsi="Times New Roman"/>
                <w:color w:val="000000"/>
                <w:sz w:val="22"/>
                <w:szCs w:val="22"/>
                <w:lang w:val="en-US"/>
              </w:rPr>
              <w:t>Y</w:t>
            </w:r>
          </w:p>
        </w:tc>
        <w:tc>
          <w:tcPr>
            <w:tcW w:w="2367" w:type="dxa"/>
            <w:tcBorders>
              <w:top w:val="nil"/>
              <w:left w:val="nil"/>
              <w:bottom w:val="nil"/>
              <w:right w:val="nil"/>
            </w:tcBorders>
            <w:shd w:val="clear" w:color="auto" w:fill="auto"/>
            <w:vAlign w:val="bottom"/>
            <w:hideMark/>
          </w:tcPr>
          <w:p w:rsidR="0038278B" w:rsidRPr="0038278B" w:rsidRDefault="0038278B" w:rsidP="0038278B">
            <w:pPr>
              <w:tabs>
                <w:tab w:val="clear" w:pos="284"/>
              </w:tabs>
              <w:spacing w:before="0"/>
              <w:rPr>
                <w:rFonts w:ascii="Times New Roman" w:eastAsia="맑은 고딕" w:hAnsi="Times New Roman"/>
                <w:sz w:val="22"/>
                <w:szCs w:val="22"/>
                <w:lang w:val="en-US"/>
              </w:rPr>
            </w:pPr>
          </w:p>
        </w:tc>
      </w:tr>
    </w:tbl>
    <w:p w:rsidR="0038278B" w:rsidRDefault="0038278B" w:rsidP="0038278B">
      <w:pPr>
        <w:rPr>
          <w:rFonts w:ascii="Times New Roman" w:eastAsiaTheme="minorEastAsia" w:hAnsi="Times New Roman"/>
          <w:sz w:val="28"/>
          <w:szCs w:val="28"/>
          <w:lang w:val="en-US"/>
        </w:rPr>
      </w:pPr>
    </w:p>
    <w:p w:rsidR="0038278B" w:rsidRDefault="0038278B" w:rsidP="0038278B">
      <w:pPr>
        <w:rPr>
          <w:rFonts w:ascii="Times New Roman" w:eastAsiaTheme="minorEastAsia" w:hAnsi="Times New Roman"/>
          <w:sz w:val="28"/>
          <w:szCs w:val="28"/>
          <w:lang w:val="en-US"/>
        </w:rPr>
      </w:pPr>
    </w:p>
    <w:p w:rsidR="0038278B" w:rsidRPr="0038278B" w:rsidRDefault="0038278B" w:rsidP="0038278B">
      <w:pPr>
        <w:rPr>
          <w:rFonts w:ascii="Times New Roman" w:eastAsiaTheme="minorEastAsia" w:hAnsi="Times New Roman"/>
          <w:sz w:val="28"/>
          <w:szCs w:val="28"/>
          <w:lang w:val="en-US"/>
        </w:rPr>
      </w:pPr>
    </w:p>
    <w:sectPr w:rsidR="0038278B" w:rsidRPr="0038278B" w:rsidSect="0038278B">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D83" w:rsidRDefault="00FA2D83" w:rsidP="0010504F">
      <w:pPr>
        <w:spacing w:before="0"/>
      </w:pPr>
      <w:r>
        <w:separator/>
      </w:r>
    </w:p>
  </w:endnote>
  <w:endnote w:type="continuationSeparator" w:id="0">
    <w:p w:rsidR="00FA2D83" w:rsidRDefault="00FA2D83" w:rsidP="0010504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84" w:rsidRPr="00711CC4" w:rsidRDefault="003E15ED">
    <w:pPr>
      <w:pStyle w:val="a4"/>
      <w:jc w:val="center"/>
      <w:rPr>
        <w:rFonts w:ascii="Times New Roman" w:hAnsi="Times New Roman"/>
      </w:rPr>
    </w:pPr>
    <w:r w:rsidRPr="00711CC4">
      <w:rPr>
        <w:rFonts w:ascii="Times New Roman" w:hAnsi="Times New Roman"/>
      </w:rPr>
      <w:fldChar w:fldCharType="begin"/>
    </w:r>
    <w:r w:rsidR="00B02184" w:rsidRPr="00711CC4">
      <w:rPr>
        <w:rFonts w:ascii="Times New Roman" w:hAnsi="Times New Roman"/>
      </w:rPr>
      <w:instrText>PAGE   \* MERGEFORMAT</w:instrText>
    </w:r>
    <w:r w:rsidRPr="00711CC4">
      <w:rPr>
        <w:rFonts w:ascii="Times New Roman" w:hAnsi="Times New Roman"/>
      </w:rPr>
      <w:fldChar w:fldCharType="separate"/>
    </w:r>
    <w:r w:rsidR="00B03DC6" w:rsidRPr="00B03DC6">
      <w:rPr>
        <w:rFonts w:ascii="Times New Roman" w:hAnsi="Times New Roman"/>
        <w:noProof/>
        <w:lang w:val="ko-KR"/>
      </w:rPr>
      <w:t>5</w:t>
    </w:r>
    <w:r w:rsidRPr="00711CC4">
      <w:rPr>
        <w:rFonts w:ascii="Times New Roman" w:hAnsi="Times New Roman"/>
      </w:rPr>
      <w:fldChar w:fldCharType="end"/>
    </w:r>
  </w:p>
  <w:p w:rsidR="00B02184" w:rsidRPr="00711CC4" w:rsidRDefault="00B02184">
    <w:pPr>
      <w:pStyle w:val="a4"/>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D83" w:rsidRDefault="00FA2D83" w:rsidP="0010504F">
      <w:pPr>
        <w:spacing w:before="0"/>
      </w:pPr>
      <w:r>
        <w:separator/>
      </w:r>
    </w:p>
  </w:footnote>
  <w:footnote w:type="continuationSeparator" w:id="0">
    <w:p w:rsidR="00FA2D83" w:rsidRDefault="00FA2D83" w:rsidP="0010504F">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4">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4">
    <w:nsid w:val="50367CE0"/>
    <w:multiLevelType w:val="hybridMultilevel"/>
    <w:tmpl w:val="DDB0473E"/>
    <w:lvl w:ilvl="0" w:tplc="9B101CC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nsid w:val="5F9C340B"/>
    <w:multiLevelType w:val="hybridMultilevel"/>
    <w:tmpl w:val="B37E9DE4"/>
    <w:lvl w:ilvl="0" w:tplc="658E701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751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nsid w:val="6FB7027C"/>
    <w:multiLevelType w:val="hybridMultilevel"/>
    <w:tmpl w:val="DDEA063A"/>
    <w:lvl w:ilvl="0" w:tplc="15083710">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0"/>
  </w:num>
  <w:num w:numId="2">
    <w:abstractNumId w:val="15"/>
  </w:num>
  <w:num w:numId="3">
    <w:abstractNumId w:val="17"/>
  </w:num>
  <w:num w:numId="4">
    <w:abstractNumId w:val="12"/>
  </w:num>
  <w:num w:numId="5">
    <w:abstractNumId w:val="13"/>
  </w:num>
  <w:num w:numId="6">
    <w:abstractNumId w:val="3"/>
  </w:num>
  <w:num w:numId="7">
    <w:abstractNumId w:val="5"/>
  </w:num>
  <w:num w:numId="8">
    <w:abstractNumId w:val="8"/>
  </w:num>
  <w:num w:numId="9">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1"/>
  </w:num>
  <w:num w:numId="13">
    <w:abstractNumId w:val="14"/>
  </w:num>
  <w:num w:numId="14">
    <w:abstractNumId w:val="19"/>
  </w:num>
  <w:num w:numId="15">
    <w:abstractNumId w:val="1"/>
  </w:num>
  <w:num w:numId="16">
    <w:abstractNumId w:val="4"/>
  </w:num>
  <w:num w:numId="17">
    <w:abstractNumId w:val="2"/>
  </w:num>
  <w:num w:numId="18">
    <w:abstractNumId w:val="16"/>
  </w:num>
  <w:num w:numId="19">
    <w:abstractNumId w:val="0"/>
  </w:num>
  <w:num w:numId="20">
    <w:abstractNumId w:val="9"/>
  </w:num>
  <w:num w:numId="21">
    <w:abstractNumId w:val="6"/>
  </w:num>
  <w:num w:numId="22">
    <w:abstractNumId w:val="1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5"/>
  </w:num>
  <w:num w:numId="28">
    <w:abstractNumId w:val="5"/>
  </w:num>
  <w:num w:numId="29">
    <w:abstractNumId w:val="5"/>
  </w:num>
  <w:num w:numId="30">
    <w:abstractNumId w:val="5"/>
  </w:num>
  <w:num w:numId="31">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18433"/>
  </w:hdrShapeDefaults>
  <w:footnotePr>
    <w:numRestart w:val="eachSect"/>
    <w:footnote w:id="-1"/>
    <w:footnote w:id="0"/>
  </w:footnotePr>
  <w:endnotePr>
    <w:endnote w:id="-1"/>
    <w:endnote w:id="0"/>
  </w:endnotePr>
  <w:compat>
    <w:useFELayout/>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5A4B"/>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8011E"/>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880"/>
    <w:rsid w:val="00320FB6"/>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23DD"/>
    <w:rsid w:val="00452023"/>
    <w:rsid w:val="0045423D"/>
    <w:rsid w:val="0045472F"/>
    <w:rsid w:val="004579FD"/>
    <w:rsid w:val="004621B9"/>
    <w:rsid w:val="00470B2F"/>
    <w:rsid w:val="00471FB7"/>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614D"/>
    <w:rsid w:val="007475E5"/>
    <w:rsid w:val="00750BCA"/>
    <w:rsid w:val="007531E0"/>
    <w:rsid w:val="007536D1"/>
    <w:rsid w:val="0075414D"/>
    <w:rsid w:val="00755E59"/>
    <w:rsid w:val="00756058"/>
    <w:rsid w:val="0075612D"/>
    <w:rsid w:val="00760856"/>
    <w:rsid w:val="00765F50"/>
    <w:rsid w:val="007672D0"/>
    <w:rsid w:val="0077046D"/>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8299C"/>
    <w:rsid w:val="00C865A5"/>
    <w:rsid w:val="00C91D13"/>
    <w:rsid w:val="00C927CE"/>
    <w:rsid w:val="00C927FC"/>
    <w:rsid w:val="00C964FC"/>
    <w:rsid w:val="00C97120"/>
    <w:rsid w:val="00CA67C0"/>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6B9"/>
    <w:rsid w:val="00F27B2C"/>
    <w:rsid w:val="00F27B60"/>
    <w:rsid w:val="00F32C06"/>
    <w:rsid w:val="00F41353"/>
    <w:rsid w:val="00F419C4"/>
    <w:rsid w:val="00F50472"/>
    <w:rsid w:val="00F560C1"/>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s>
</file>

<file path=word/webSettings.xml><?xml version="1.0" encoding="utf-8"?>
<w:webSettings xmlns:r="http://schemas.openxmlformats.org/officeDocument/2006/relationships" xmlns:w="http://schemas.openxmlformats.org/wordprocessingml/2006/main">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0E8C-481C-49AF-95A1-AEF1F058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902</Words>
  <Characters>5144</Characters>
  <Application>Microsoft Office Word</Application>
  <DocSecurity>0</DocSecurity>
  <Lines>42</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USER</cp:lastModifiedBy>
  <cp:revision>13</cp:revision>
  <cp:lastPrinted>2014-10-31T02:19:00Z</cp:lastPrinted>
  <dcterms:created xsi:type="dcterms:W3CDTF">2014-10-31T00:44:00Z</dcterms:created>
  <dcterms:modified xsi:type="dcterms:W3CDTF">2015-04-23T09:58:00Z</dcterms:modified>
</cp:coreProperties>
</file>