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Hyperlink"/>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797DCA">
            <w:pPr>
              <w:pStyle w:val="covertext"/>
              <w:rPr>
                <w:b/>
              </w:rPr>
            </w:pPr>
            <w:r>
              <w:rPr>
                <w:b/>
                <w:sz w:val="28"/>
                <w:lang w:eastAsia="ja-JP"/>
              </w:rPr>
              <w:t xml:space="preserve">Proposed remedy for Comments </w:t>
            </w:r>
            <w:r w:rsidR="00797DCA">
              <w:rPr>
                <w:b/>
                <w:sz w:val="28"/>
                <w:lang w:eastAsia="ja-JP"/>
              </w:rPr>
              <w:t>64</w:t>
            </w:r>
            <w:r w:rsidR="00DA5EC3">
              <w:rPr>
                <w:rFonts w:hint="eastAsia"/>
                <w:b/>
                <w:sz w:val="28"/>
                <w:lang w:eastAsia="ja-JP"/>
              </w:rPr>
              <w:t xml:space="preserve"> and </w:t>
            </w:r>
            <w:r w:rsidR="00797DCA">
              <w:rPr>
                <w:b/>
                <w:sz w:val="28"/>
                <w:lang w:eastAsia="ja-JP"/>
              </w:rPr>
              <w:t>65</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797DCA">
              <w:rPr>
                <w:b/>
                <w:lang w:eastAsia="ja-JP"/>
              </w:rPr>
              <w:t>096</w:t>
            </w:r>
            <w:r w:rsidR="00514557">
              <w:rPr>
                <w:b/>
              </w:rPr>
              <w:t>-0</w:t>
            </w:r>
            <w:r w:rsidR="00F351AE">
              <w:rPr>
                <w:rFonts w:hint="eastAsia"/>
                <w:b/>
                <w:lang w:eastAsia="ja-JP"/>
              </w:rPr>
              <w:t>0</w:t>
            </w:r>
            <w:r w:rsidR="00270073" w:rsidRPr="004366B1">
              <w:rPr>
                <w:b/>
              </w:rPr>
              <w:t>-</w:t>
            </w:r>
            <w:r w:rsidR="00DA5EC3">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8B12B5">
            <w:pPr>
              <w:pStyle w:val="covertext"/>
              <w:rPr>
                <w:b/>
                <w:lang w:eastAsia="ja-JP"/>
              </w:rPr>
            </w:pPr>
            <w:r>
              <w:rPr>
                <w:b/>
                <w:lang w:eastAsia="ja-JP"/>
              </w:rPr>
              <w:t>Ma</w:t>
            </w:r>
            <w:r w:rsidR="00797DCA">
              <w:rPr>
                <w:b/>
                <w:lang w:eastAsia="ja-JP"/>
              </w:rPr>
              <w:t>y 14</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797DCA">
            <w:pPr>
              <w:pStyle w:val="covertext"/>
              <w:rPr>
                <w:lang w:eastAsia="ja-JP"/>
              </w:rPr>
            </w:pPr>
            <w:r>
              <w:rPr>
                <w:lang w:eastAsia="ja-JP"/>
              </w:rPr>
              <w:t>Subir Das</w:t>
            </w:r>
            <w:r>
              <w:rPr>
                <w:rFonts w:hint="eastAsia"/>
                <w:lang w:eastAsia="ja-JP"/>
              </w:rPr>
              <w:t xml:space="preserve"> (</w:t>
            </w:r>
            <w:r>
              <w:rPr>
                <w:lang w:eastAsia="ja-JP"/>
              </w:rPr>
              <w:t>ACS</w:t>
            </w:r>
            <w:r w:rsidR="00AC2C8A">
              <w:rPr>
                <w:rFonts w:hint="eastAsia"/>
                <w:lang w:eastAsia="ja-JP"/>
              </w:rPr>
              <w:t>)</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797DCA">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DA5EC3">
              <w:rPr>
                <w:lang w:eastAsia="ja-JP"/>
              </w:rPr>
              <w:t>s #</w:t>
            </w:r>
            <w:r w:rsidR="00797DCA">
              <w:rPr>
                <w:lang w:eastAsia="ja-JP"/>
              </w:rPr>
              <w:t>64, and #65</w:t>
            </w:r>
            <w:r w:rsidR="00DA5EC3">
              <w:rPr>
                <w:lang w:eastAsia="ja-JP"/>
              </w:rPr>
              <w:t xml:space="preserve"> about </w:t>
            </w:r>
            <w:proofErr w:type="spellStart"/>
            <w:r w:rsidR="00797DCA">
              <w:rPr>
                <w:lang w:eastAsia="ja-JP"/>
              </w:rPr>
              <w:t>Subclause</w:t>
            </w:r>
            <w:proofErr w:type="spellEnd"/>
            <w:r w:rsidR="00797DCA">
              <w:rPr>
                <w:lang w:eastAsia="ja-JP"/>
              </w:rPr>
              <w:t xml:space="preserve"> 9.5.1.3</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Hyperlink"/>
                  <w:sz w:val="20"/>
                </w:rPr>
                <w:t>Section 6 of the IEEE-SA Standards Board bylaws</w:t>
              </w:r>
            </w:hyperlink>
            <w:r w:rsidRPr="004366B1">
              <w:rPr>
                <w:sz w:val="20"/>
              </w:rPr>
              <w:t xml:space="preserve"> &lt;</w:t>
            </w:r>
            <w:hyperlink r:id="rId9" w:tgtFrame="_parent" w:history="1">
              <w:r w:rsidRPr="004366B1">
                <w:rPr>
                  <w:rStyle w:val="Hyperlink"/>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Hyperlink"/>
                  <w:sz w:val="20"/>
                </w:rPr>
                <w:t>http://standards.ieee.org/board/pat/faq.pdf</w:t>
              </w:r>
            </w:hyperlink>
          </w:p>
        </w:tc>
      </w:tr>
    </w:tbl>
    <w:p w:rsidR="00DD36C7" w:rsidRDefault="00DD36C7">
      <w:pPr>
        <w:pStyle w:val="Body"/>
        <w:rPr>
          <w:rStyle w:val="FollowedHyperlink"/>
          <w:color w:val="auto"/>
        </w:rPr>
      </w:pPr>
    </w:p>
    <w:p w:rsidR="00DA5EC3" w:rsidRDefault="00DA5EC3" w:rsidP="00DA5EC3">
      <w:pPr>
        <w:pStyle w:val="Heading1"/>
        <w:numPr>
          <w:ilvl w:val="0"/>
          <w:numId w:val="12"/>
        </w:numPr>
      </w:pPr>
      <w:r>
        <w:br w:type="page"/>
      </w:r>
      <w:r>
        <w:lastRenderedPageBreak/>
        <w:t>Comments</w:t>
      </w:r>
    </w:p>
    <w:p w:rsidR="00DA5EC3" w:rsidRDefault="00DA5EC3">
      <w:pPr>
        <w:rPr>
          <w:b/>
          <w:bCs/>
          <w:color w:val="000000"/>
          <w:szCs w:val="12"/>
        </w:rPr>
      </w:pPr>
    </w:p>
    <w:p w:rsidR="00DA5EC3" w:rsidRDefault="00E41E84" w:rsidP="00A125CF">
      <w:pPr>
        <w:rPr>
          <w:lang w:eastAsia="ja-JP"/>
        </w:rPr>
      </w:pPr>
      <w:r>
        <w:rPr>
          <w:noProof/>
        </w:rPr>
        <w:drawing>
          <wp:inline distT="0" distB="0" distL="0" distR="0">
            <wp:extent cx="5486400" cy="2333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6400" cy="2333625"/>
                    </a:xfrm>
                    <a:prstGeom prst="rect">
                      <a:avLst/>
                    </a:prstGeom>
                    <a:noFill/>
                    <a:ln w="9525">
                      <a:noFill/>
                      <a:miter lim="800000"/>
                      <a:headEnd/>
                      <a:tailEnd/>
                    </a:ln>
                  </pic:spPr>
                </pic:pic>
              </a:graphicData>
            </a:graphic>
          </wp:inline>
        </w:drawing>
      </w:r>
    </w:p>
    <w:p w:rsidR="00797DCA" w:rsidRDefault="00797DCA" w:rsidP="00A125CF">
      <w:pPr>
        <w:rPr>
          <w:lang w:eastAsia="ja-JP"/>
        </w:rPr>
      </w:pPr>
    </w:p>
    <w:p w:rsidR="00797DCA" w:rsidRDefault="00797DCA" w:rsidP="00A125CF">
      <w:pPr>
        <w:rPr>
          <w:lang w:eastAsia="ja-JP"/>
        </w:rPr>
      </w:pPr>
    </w:p>
    <w:p w:rsidR="00DA5EC3" w:rsidRPr="00DA5EC3" w:rsidRDefault="00DA5EC3" w:rsidP="00DA5EC3">
      <w:pPr>
        <w:rPr>
          <w:lang w:eastAsia="ja-JP"/>
        </w:rPr>
      </w:pPr>
    </w:p>
    <w:p w:rsidR="002E14CB" w:rsidRPr="005A6DA8" w:rsidRDefault="002E14CB" w:rsidP="008831D9">
      <w:pPr>
        <w:ind w:left="420"/>
        <w:rPr>
          <w:lang w:eastAsia="ja-JP"/>
        </w:rPr>
      </w:pPr>
    </w:p>
    <w:p w:rsidR="00A125CF" w:rsidRDefault="00A125CF" w:rsidP="00A125CF">
      <w:pPr>
        <w:ind w:left="420"/>
        <w:rPr>
          <w:lang w:eastAsia="ja-JP"/>
        </w:rPr>
      </w:pPr>
    </w:p>
    <w:p w:rsidR="00512166" w:rsidRPr="00A125CF" w:rsidRDefault="00512166" w:rsidP="00DA5EC3">
      <w:pPr>
        <w:pStyle w:val="Heading1"/>
        <w:numPr>
          <w:ilvl w:val="0"/>
          <w:numId w:val="12"/>
        </w:numPr>
        <w:rPr>
          <w:lang w:eastAsia="ja-JP"/>
        </w:rPr>
      </w:pPr>
      <w:r w:rsidRPr="00A125CF">
        <w:rPr>
          <w:rFonts w:hint="eastAsia"/>
          <w:lang w:eastAsia="ja-JP"/>
        </w:rPr>
        <w:t>Suggested Remedy:</w:t>
      </w:r>
    </w:p>
    <w:p w:rsidR="00512166" w:rsidRDefault="00512166" w:rsidP="00512166">
      <w:pPr>
        <w:autoSpaceDE w:val="0"/>
        <w:autoSpaceDN w:val="0"/>
        <w:adjustRightInd w:val="0"/>
        <w:rPr>
          <w:rFonts w:ascii="TimesNewRomanPSMT" w:hAnsi="TimesNewRomanPSMT" w:cs="TimesNewRomanPSMT"/>
          <w:sz w:val="20"/>
          <w:szCs w:val="20"/>
          <w:lang w:eastAsia="ja-JP"/>
        </w:rPr>
      </w:pPr>
    </w:p>
    <w:p w:rsidR="00775BB9" w:rsidRPr="00E1360D" w:rsidRDefault="00775BB9" w:rsidP="005D44DE">
      <w:pPr>
        <w:widowControl w:val="0"/>
        <w:autoSpaceDE w:val="0"/>
        <w:autoSpaceDN w:val="0"/>
        <w:adjustRightInd w:val="0"/>
        <w:rPr>
          <w:rFonts w:ascii="Arial-BoldMT" w:hAnsi="Arial-BoldMT" w:cs="Arial-BoldMT"/>
          <w:b/>
          <w:bCs/>
          <w:sz w:val="20"/>
          <w:szCs w:val="20"/>
          <w:lang w:eastAsia="ja-JP"/>
        </w:rPr>
      </w:pPr>
      <w:r w:rsidRPr="00E1360D">
        <w:rPr>
          <w:rFonts w:ascii="Arial-BoldMT" w:hAnsi="Arial-BoldMT" w:cs="Arial-BoldMT"/>
          <w:b/>
          <w:bCs/>
          <w:sz w:val="20"/>
          <w:szCs w:val="20"/>
          <w:lang w:eastAsia="ja-JP"/>
        </w:rPr>
        <w:t>Delete Section 9.5.3.1 and modify the Section 9.5.2 as follows:</w:t>
      </w:r>
    </w:p>
    <w:p w:rsidR="00775BB9" w:rsidRDefault="00775BB9" w:rsidP="005D44DE">
      <w:pPr>
        <w:widowControl w:val="0"/>
        <w:autoSpaceDE w:val="0"/>
        <w:autoSpaceDN w:val="0"/>
        <w:adjustRightInd w:val="0"/>
        <w:rPr>
          <w:rFonts w:ascii="Arial-BoldMT" w:hAnsi="Arial-BoldMT" w:cs="Arial-BoldMT"/>
          <w:bCs/>
          <w:sz w:val="20"/>
          <w:szCs w:val="20"/>
          <w:lang w:eastAsia="ja-JP"/>
        </w:rPr>
      </w:pPr>
    </w:p>
    <w:p w:rsidR="00775BB9" w:rsidRDefault="00775BB9" w:rsidP="00775BB9">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 xml:space="preserve">A GKB contains a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part and a group key data part. A group key data part appears when a</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GKB is used to deliver a group key.</w:t>
      </w:r>
    </w:p>
    <w:p w:rsidR="00775BB9" w:rsidRPr="00775BB9" w:rsidRDefault="00775BB9" w:rsidP="00775BB9">
      <w:pPr>
        <w:widowControl w:val="0"/>
        <w:autoSpaceDE w:val="0"/>
        <w:autoSpaceDN w:val="0"/>
        <w:adjustRightInd w:val="0"/>
        <w:jc w:val="both"/>
        <w:rPr>
          <w:rFonts w:ascii="Arial-BoldMT" w:hAnsi="Arial-BoldMT" w:cs="Arial-BoldMT"/>
          <w:bCs/>
          <w:sz w:val="20"/>
          <w:szCs w:val="20"/>
          <w:lang w:eastAsia="ja-JP"/>
        </w:rPr>
      </w:pP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 xml:space="preserve">A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part identifies all the </w:t>
      </w:r>
      <w:proofErr w:type="spellStart"/>
      <w:r w:rsidRPr="00775BB9">
        <w:rPr>
          <w:rFonts w:ascii="Arial-BoldMT" w:hAnsi="Arial-BoldMT" w:cs="Arial-BoldMT"/>
          <w:bCs/>
          <w:sz w:val="20"/>
          <w:szCs w:val="20"/>
          <w:lang w:eastAsia="ja-JP"/>
        </w:rPr>
        <w:t>subtrees</w:t>
      </w:r>
      <w:proofErr w:type="spellEnd"/>
      <w:r w:rsidRPr="00775BB9">
        <w:rPr>
          <w:rFonts w:ascii="Arial-BoldMT" w:hAnsi="Arial-BoldMT" w:cs="Arial-BoldMT"/>
          <w:bCs/>
          <w:sz w:val="20"/>
          <w:szCs w:val="20"/>
          <w:lang w:eastAsia="ja-JP"/>
        </w:rPr>
        <w:t xml:space="preserve"> covered by the group such that each member</w:t>
      </w:r>
    </w:p>
    <w:p w:rsidR="00775BB9" w:rsidRDefault="00775BB9" w:rsidP="00E41E84">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 xml:space="preserve">30 represented by a leaf node in the group belongs to one and only one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Each complete</w:t>
      </w:r>
      <w:r>
        <w:rPr>
          <w:rFonts w:ascii="Arial-BoldMT" w:hAnsi="Arial-BoldMT" w:cs="Arial-BoldMT"/>
          <w:bCs/>
          <w:sz w:val="20"/>
          <w:szCs w:val="20"/>
          <w:lang w:eastAsia="ja-JP"/>
        </w:rPr>
        <w:t xml:space="preserv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is identified by its root node. Each root node has a Node Index. A Node Index is a pair of binary</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strings (Node Depth, Node Index Value). The first parameter, Node Depth, indicates the binary length of</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the index of the root node represented by one octet. The second parameter, Node Index Value, is a binary</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string representing the index of the root node.</w:t>
      </w: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The Node Depth is represented by an octet. The corresponding integer L is the binary length of the index of</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the root node representing the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The Node Index Value is represented by </w:t>
      </w:r>
      <w:r w:rsidRPr="00775BB9">
        <w:rPr>
          <w:rFonts w:ascii="Cambria Math" w:hAnsi="Cambria Math" w:cs="Cambria Math"/>
          <w:bCs/>
          <w:sz w:val="20"/>
          <w:szCs w:val="20"/>
          <w:lang w:eastAsia="ja-JP"/>
        </w:rPr>
        <w:t>⎡</w:t>
      </w:r>
      <w:r w:rsidRPr="00775BB9">
        <w:rPr>
          <w:rFonts w:ascii="Arial-BoldMT" w:hAnsi="Arial-BoldMT" w:cs="Arial-BoldMT"/>
          <w:bCs/>
          <w:sz w:val="20"/>
          <w:szCs w:val="20"/>
          <w:lang w:eastAsia="ja-JP"/>
        </w:rPr>
        <w:t>L/8</w:t>
      </w:r>
      <w:r w:rsidRPr="00775BB9">
        <w:rPr>
          <w:rFonts w:ascii="Cambria Math" w:hAnsi="Cambria Math" w:cs="Cambria Math"/>
          <w:bCs/>
          <w:sz w:val="20"/>
          <w:szCs w:val="20"/>
          <w:lang w:eastAsia="ja-JP"/>
        </w:rPr>
        <w:t>⎤</w:t>
      </w:r>
      <w:r w:rsidRPr="00775BB9">
        <w:rPr>
          <w:rFonts w:ascii="Arial" w:hAnsi="Arial" w:cs="Arial"/>
          <w:bCs/>
          <w:sz w:val="20"/>
          <w:szCs w:val="20"/>
          <w:lang w:eastAsia="ja-JP"/>
        </w:rPr>
        <w:t xml:space="preserve"> octets,</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where </w:t>
      </w:r>
      <w:r w:rsidRPr="00775BB9">
        <w:rPr>
          <w:rFonts w:ascii="Cambria Math" w:hAnsi="Cambria Math" w:cs="Cambria Math"/>
          <w:bCs/>
          <w:sz w:val="20"/>
          <w:szCs w:val="20"/>
          <w:lang w:eastAsia="ja-JP"/>
        </w:rPr>
        <w:t>⎡</w:t>
      </w:r>
      <w:r w:rsidRPr="00775BB9">
        <w:rPr>
          <w:rFonts w:ascii="Arial-BoldMT" w:hAnsi="Arial-BoldMT" w:cs="Arial-BoldMT"/>
          <w:bCs/>
          <w:sz w:val="20"/>
          <w:szCs w:val="20"/>
          <w:lang w:eastAsia="ja-JP"/>
        </w:rPr>
        <w:t>x</w:t>
      </w:r>
      <w:r w:rsidRPr="00775BB9">
        <w:rPr>
          <w:rFonts w:ascii="Cambria Math" w:hAnsi="Cambria Math" w:cs="Cambria Math"/>
          <w:bCs/>
          <w:sz w:val="20"/>
          <w:szCs w:val="20"/>
          <w:lang w:eastAsia="ja-JP"/>
        </w:rPr>
        <w:t>⎤</w:t>
      </w:r>
      <w:r w:rsidRPr="00775BB9">
        <w:rPr>
          <w:rFonts w:ascii="Arial" w:hAnsi="Arial" w:cs="Arial"/>
          <w:bCs/>
          <w:sz w:val="20"/>
          <w:szCs w:val="20"/>
          <w:lang w:eastAsia="ja-JP"/>
        </w:rPr>
        <w:t xml:space="preserve"> is the ceiling function, which takes the minimum integer,</w:t>
      </w:r>
      <w:r w:rsidRPr="00775BB9">
        <w:rPr>
          <w:rFonts w:ascii="Arial-BoldMT" w:hAnsi="Arial-BoldMT" w:cs="Arial-BoldMT"/>
          <w:bCs/>
          <w:sz w:val="20"/>
          <w:szCs w:val="20"/>
          <w:lang w:eastAsia="ja-JP"/>
        </w:rPr>
        <w:t xml:space="preserve"> which is larger than or equal to x. For</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example, </w:t>
      </w:r>
      <w:r w:rsidRPr="00775BB9">
        <w:rPr>
          <w:rFonts w:ascii="Cambria Math" w:hAnsi="Cambria Math" w:cs="Cambria Math"/>
          <w:bCs/>
          <w:sz w:val="20"/>
          <w:szCs w:val="20"/>
          <w:lang w:eastAsia="ja-JP"/>
        </w:rPr>
        <w:t>⎡</w:t>
      </w:r>
      <w:r w:rsidRPr="00775BB9">
        <w:rPr>
          <w:rFonts w:ascii="Arial-BoldMT" w:hAnsi="Arial-BoldMT" w:cs="Arial-BoldMT"/>
          <w:bCs/>
          <w:sz w:val="20"/>
          <w:szCs w:val="20"/>
          <w:lang w:eastAsia="ja-JP"/>
        </w:rPr>
        <w:t>1.2</w:t>
      </w:r>
      <w:r w:rsidRPr="00775BB9">
        <w:rPr>
          <w:rFonts w:ascii="Cambria Math" w:hAnsi="Cambria Math" w:cs="Cambria Math"/>
          <w:bCs/>
          <w:sz w:val="20"/>
          <w:szCs w:val="20"/>
          <w:lang w:eastAsia="ja-JP"/>
        </w:rPr>
        <w:t>⎤</w:t>
      </w:r>
      <w:r w:rsidRPr="00775BB9">
        <w:rPr>
          <w:rFonts w:ascii="Arial" w:hAnsi="Arial" w:cs="Arial"/>
          <w:bCs/>
          <w:sz w:val="20"/>
          <w:szCs w:val="20"/>
          <w:lang w:eastAsia="ja-JP"/>
        </w:rPr>
        <w:t xml:space="preserve"> = 2. With the ceiling function, to demonstrate, if the value of a Node Depth L is between 1</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and 8, the size of the binary string used to represent the Node Index Value is 1 octet (= 8 bits). If L is</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between 9 and 16, the size of the binary string used to represent the Node Index Value is 2 octets (= 16bits). A Node Index Value is left aligned in the network byte order. A Node Index Value shall have a zero</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padding added to the right. An example of Node Index is (0x05, 0b10011000). This Node Index represents</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the node ‘10011’, which is the root node of the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in a key tree. The depth of the key tree is a</w:t>
      </w: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system parameter and configured to the applications. If the key tree has depth 8, then the root node ‘10011’</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identifies a depth-3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Another example of Node Index is (0x0e, 0b1100101000011100),which represents the node ‘11001010000111’. If it is in a depth-16 key tree, then the node identifies a</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depth-2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IEEE P802.21d/D4.0, April 2014</w:t>
      </w: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 xml:space="preserve">A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part is a list of Node Indices. The Node Indices are ordered based on the 1 following rule.</w:t>
      </w:r>
      <w:r w:rsidR="00E41E84">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Let (L1, I1) and (L2, I2) be two Node Indices. (L1, I1) appears in the front of (L2, I2), </w:t>
      </w:r>
      <w:r w:rsidRPr="00775BB9">
        <w:rPr>
          <w:rFonts w:ascii="Arial-BoldMT" w:hAnsi="Arial-BoldMT" w:cs="Arial-BoldMT"/>
          <w:bCs/>
          <w:sz w:val="20"/>
          <w:szCs w:val="20"/>
          <w:lang w:eastAsia="ja-JP"/>
        </w:rPr>
        <w:lastRenderedPageBreak/>
        <w:t xml:space="preserve">if and only if </w:t>
      </w:r>
      <w:proofErr w:type="spellStart"/>
      <w:r w:rsidRPr="00775BB9">
        <w:rPr>
          <w:rFonts w:ascii="Arial-BoldMT" w:hAnsi="Arial-BoldMT" w:cs="Arial-BoldMT"/>
          <w:bCs/>
          <w:sz w:val="20"/>
          <w:szCs w:val="20"/>
          <w:lang w:eastAsia="ja-JP"/>
        </w:rPr>
        <w:t>Int</w:t>
      </w:r>
      <w:proofErr w:type="spellEnd"/>
      <w:r w:rsidRPr="00775BB9">
        <w:rPr>
          <w:rFonts w:ascii="Arial-BoldMT" w:hAnsi="Arial-BoldMT" w:cs="Arial-BoldMT"/>
          <w:bCs/>
          <w:sz w:val="20"/>
          <w:szCs w:val="20"/>
          <w:lang w:eastAsia="ja-JP"/>
        </w:rPr>
        <w:t>(d, I1) &lt;</w:t>
      </w:r>
      <w:r w:rsidR="00B03102">
        <w:rPr>
          <w:rFonts w:ascii="Arial-BoldMT" w:hAnsi="Arial-BoldMT" w:cs="Arial-BoldMT"/>
          <w:bCs/>
          <w:sz w:val="20"/>
          <w:szCs w:val="20"/>
          <w:lang w:eastAsia="ja-JP"/>
        </w:rPr>
        <w:t xml:space="preserve"> </w:t>
      </w:r>
      <w:proofErr w:type="spellStart"/>
      <w:r w:rsidRPr="00775BB9">
        <w:rPr>
          <w:rFonts w:ascii="Arial-BoldMT" w:hAnsi="Arial-BoldMT" w:cs="Arial-BoldMT"/>
          <w:bCs/>
          <w:sz w:val="20"/>
          <w:szCs w:val="20"/>
          <w:lang w:eastAsia="ja-JP"/>
        </w:rPr>
        <w:t>Int</w:t>
      </w:r>
      <w:proofErr w:type="spellEnd"/>
      <w:r w:rsidRPr="00775BB9">
        <w:rPr>
          <w:rFonts w:ascii="Arial-BoldMT" w:hAnsi="Arial-BoldMT" w:cs="Arial-BoldMT"/>
          <w:bCs/>
          <w:sz w:val="20"/>
          <w:szCs w:val="20"/>
          <w:lang w:eastAsia="ja-JP"/>
        </w:rPr>
        <w:t xml:space="preserve">(d, I2), where </w:t>
      </w:r>
      <w:proofErr w:type="spellStart"/>
      <w:r w:rsidRPr="00775BB9">
        <w:rPr>
          <w:rFonts w:ascii="Arial-BoldMT" w:hAnsi="Arial-BoldMT" w:cs="Arial-BoldMT"/>
          <w:bCs/>
          <w:sz w:val="20"/>
          <w:szCs w:val="20"/>
          <w:lang w:eastAsia="ja-JP"/>
        </w:rPr>
        <w:t>Int</w:t>
      </w:r>
      <w:proofErr w:type="spellEnd"/>
      <w:r w:rsidRPr="00775BB9">
        <w:rPr>
          <w:rFonts w:ascii="Arial-BoldMT" w:hAnsi="Arial-BoldMT" w:cs="Arial-BoldMT"/>
          <w:bCs/>
          <w:sz w:val="20"/>
          <w:szCs w:val="20"/>
          <w:lang w:eastAsia="ja-JP"/>
        </w:rPr>
        <w:t xml:space="preserve">(d, </w:t>
      </w:r>
      <w:proofErr w:type="spellStart"/>
      <w:r w:rsidRPr="00775BB9">
        <w:rPr>
          <w:rFonts w:ascii="Arial-BoldMT" w:hAnsi="Arial-BoldMT" w:cs="Arial-BoldMT"/>
          <w:bCs/>
          <w:sz w:val="20"/>
          <w:szCs w:val="20"/>
          <w:lang w:eastAsia="ja-JP"/>
        </w:rPr>
        <w:t>Ih</w:t>
      </w:r>
      <w:proofErr w:type="spellEnd"/>
      <w:r w:rsidRPr="00775BB9">
        <w:rPr>
          <w:rFonts w:ascii="Arial-BoldMT" w:hAnsi="Arial-BoldMT" w:cs="Arial-BoldMT"/>
          <w:bCs/>
          <w:sz w:val="20"/>
          <w:szCs w:val="20"/>
          <w:lang w:eastAsia="ja-JP"/>
        </w:rPr>
        <w:t xml:space="preserve">) is a function to convert binary index </w:t>
      </w:r>
      <w:proofErr w:type="spellStart"/>
      <w:r w:rsidRPr="00775BB9">
        <w:rPr>
          <w:rFonts w:ascii="Arial-BoldMT" w:hAnsi="Arial-BoldMT" w:cs="Arial-BoldMT"/>
          <w:bCs/>
          <w:sz w:val="20"/>
          <w:szCs w:val="20"/>
          <w:lang w:eastAsia="ja-JP"/>
        </w:rPr>
        <w:t>Ih</w:t>
      </w:r>
      <w:proofErr w:type="spellEnd"/>
      <w:r w:rsidRPr="00775BB9">
        <w:rPr>
          <w:rFonts w:ascii="Arial-BoldMT" w:hAnsi="Arial-BoldMT" w:cs="Arial-BoldMT"/>
          <w:bCs/>
          <w:sz w:val="20"/>
          <w:szCs w:val="20"/>
          <w:lang w:eastAsia="ja-JP"/>
        </w:rPr>
        <w:t xml:space="preserve"> to an d-bit long integer. It uses </w:t>
      </w:r>
      <w:proofErr w:type="spellStart"/>
      <w:r w:rsidRPr="00775BB9">
        <w:rPr>
          <w:rFonts w:ascii="Arial-BoldMT" w:hAnsi="Arial-BoldMT" w:cs="Arial-BoldMT"/>
          <w:bCs/>
          <w:sz w:val="20"/>
          <w:szCs w:val="20"/>
          <w:lang w:eastAsia="ja-JP"/>
        </w:rPr>
        <w:t>Ih</w:t>
      </w:r>
      <w:proofErr w:type="spellEnd"/>
      <w:r w:rsidRPr="00775BB9">
        <w:rPr>
          <w:rFonts w:ascii="Arial-BoldMT" w:hAnsi="Arial-BoldMT" w:cs="Arial-BoldMT"/>
          <w:bCs/>
          <w:sz w:val="20"/>
          <w:szCs w:val="20"/>
          <w:lang w:eastAsia="ja-JP"/>
        </w:rPr>
        <w:t xml:space="preserve"> as the binary values in the most significant bits of a d-bit integer. For example, if d=8, (0x05, 0b10011000) is converted to 27+24+23 = 152. When another Node Index is (0x08, 0b00011001) (with index 00011001 and</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convert to 24+23+1=25), then (0x05, 0b10011000) appears first. A group key data part of a GKB is a</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sequence of </w:t>
      </w:r>
      <w:proofErr w:type="spellStart"/>
      <w:r w:rsidRPr="00775BB9">
        <w:rPr>
          <w:rFonts w:ascii="Arial-BoldMT" w:hAnsi="Arial-BoldMT" w:cs="Arial-BoldMT"/>
          <w:bCs/>
          <w:sz w:val="20"/>
          <w:szCs w:val="20"/>
          <w:lang w:eastAsia="ja-JP"/>
        </w:rPr>
        <w:t>ciphertexts</w:t>
      </w:r>
      <w:proofErr w:type="spellEnd"/>
      <w:r w:rsidRPr="00775BB9">
        <w:rPr>
          <w:rFonts w:ascii="Arial-BoldMT" w:hAnsi="Arial-BoldMT" w:cs="Arial-BoldMT"/>
          <w:bCs/>
          <w:sz w:val="20"/>
          <w:szCs w:val="20"/>
          <w:lang w:eastAsia="ja-JP"/>
        </w:rPr>
        <w:t xml:space="preserve"> of the encrypted group key, where a group key is encrypted by Node Keys</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corresponding to all the root nodes of the complete </w:t>
      </w:r>
      <w:proofErr w:type="spellStart"/>
      <w:r w:rsidRPr="00775BB9">
        <w:rPr>
          <w:rFonts w:ascii="Arial-BoldMT" w:hAnsi="Arial-BoldMT" w:cs="Arial-BoldMT"/>
          <w:bCs/>
          <w:sz w:val="20"/>
          <w:szCs w:val="20"/>
          <w:lang w:eastAsia="ja-JP"/>
        </w:rPr>
        <w:t>subtrees</w:t>
      </w:r>
      <w:proofErr w:type="spellEnd"/>
      <w:r w:rsidRPr="00775BB9">
        <w:rPr>
          <w:rFonts w:ascii="Arial-BoldMT" w:hAnsi="Arial-BoldMT" w:cs="Arial-BoldMT"/>
          <w:bCs/>
          <w:sz w:val="20"/>
          <w:szCs w:val="20"/>
          <w:lang w:eastAsia="ja-JP"/>
        </w:rPr>
        <w:t xml:space="preserve"> covered by the group. There is a one-on</w:t>
      </w:r>
      <w:r w:rsidR="00B03102">
        <w:rPr>
          <w:rFonts w:ascii="Arial-BoldMT" w:hAnsi="Arial-BoldMT" w:cs="Arial-BoldMT"/>
          <w:bCs/>
          <w:sz w:val="20"/>
          <w:szCs w:val="20"/>
          <w:lang w:eastAsia="ja-JP"/>
        </w:rPr>
        <w:t>e</w:t>
      </w:r>
      <w:r w:rsidRPr="00775BB9">
        <w:rPr>
          <w:rFonts w:ascii="Arial-BoldMT" w:hAnsi="Arial-BoldMT" w:cs="Arial-BoldMT"/>
          <w:bCs/>
          <w:sz w:val="20"/>
          <w:szCs w:val="20"/>
          <w:lang w:eastAsia="ja-JP"/>
        </w:rPr>
        <w:t xml:space="preserve"> correspondence between the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part and the group key data part in a GKB. The number of</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Node Indices, i.e. the number of complete </w:t>
      </w:r>
      <w:proofErr w:type="spellStart"/>
      <w:r w:rsidRPr="00775BB9">
        <w:rPr>
          <w:rFonts w:ascii="Arial-BoldMT" w:hAnsi="Arial-BoldMT" w:cs="Arial-BoldMT"/>
          <w:bCs/>
          <w:sz w:val="20"/>
          <w:szCs w:val="20"/>
          <w:lang w:eastAsia="ja-JP"/>
        </w:rPr>
        <w:t>subtrees</w:t>
      </w:r>
      <w:proofErr w:type="spellEnd"/>
      <w:r w:rsidRPr="00775BB9">
        <w:rPr>
          <w:rFonts w:ascii="Arial-BoldMT" w:hAnsi="Arial-BoldMT" w:cs="Arial-BoldMT"/>
          <w:bCs/>
          <w:sz w:val="20"/>
          <w:szCs w:val="20"/>
          <w:lang w:eastAsia="ja-JP"/>
        </w:rPr>
        <w:t xml:space="preserve">, in the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part is equal to the number of</w:t>
      </w:r>
      <w:r w:rsidR="00B03102">
        <w:rPr>
          <w:rFonts w:ascii="Arial-BoldMT" w:hAnsi="Arial-BoldMT" w:cs="Arial-BoldMT"/>
          <w:bCs/>
          <w:sz w:val="20"/>
          <w:szCs w:val="20"/>
          <w:lang w:eastAsia="ja-JP"/>
        </w:rPr>
        <w:t xml:space="preserve"> </w:t>
      </w:r>
      <w:proofErr w:type="spellStart"/>
      <w:r w:rsidRPr="00775BB9">
        <w:rPr>
          <w:rFonts w:ascii="Arial-BoldMT" w:hAnsi="Arial-BoldMT" w:cs="Arial-BoldMT"/>
          <w:bCs/>
          <w:sz w:val="20"/>
          <w:szCs w:val="20"/>
          <w:lang w:eastAsia="ja-JP"/>
        </w:rPr>
        <w:t>ciphertexts</w:t>
      </w:r>
      <w:proofErr w:type="spellEnd"/>
      <w:r w:rsidRPr="00775BB9">
        <w:rPr>
          <w:rFonts w:ascii="Arial-BoldMT" w:hAnsi="Arial-BoldMT" w:cs="Arial-BoldMT"/>
          <w:bCs/>
          <w:sz w:val="20"/>
          <w:szCs w:val="20"/>
          <w:lang w:eastAsia="ja-JP"/>
        </w:rPr>
        <w:t xml:space="preserve"> of the encrypted group key in the group key data part. The n-</w:t>
      </w:r>
      <w:proofErr w:type="spellStart"/>
      <w:r w:rsidRPr="00775BB9">
        <w:rPr>
          <w:rFonts w:ascii="Arial-BoldMT" w:hAnsi="Arial-BoldMT" w:cs="Arial-BoldMT"/>
          <w:bCs/>
          <w:sz w:val="20"/>
          <w:szCs w:val="20"/>
          <w:lang w:eastAsia="ja-JP"/>
        </w:rPr>
        <w:t>th</w:t>
      </w:r>
      <w:proofErr w:type="spellEnd"/>
      <w:r w:rsidRPr="00775BB9">
        <w:rPr>
          <w:rFonts w:ascii="Arial-BoldMT" w:hAnsi="Arial-BoldMT" w:cs="Arial-BoldMT"/>
          <w:bCs/>
          <w:sz w:val="20"/>
          <w:szCs w:val="20"/>
          <w:lang w:eastAsia="ja-JP"/>
        </w:rPr>
        <w:t xml:space="preserve"> </w:t>
      </w:r>
      <w:proofErr w:type="spellStart"/>
      <w:r w:rsidRPr="00775BB9">
        <w:rPr>
          <w:rFonts w:ascii="Arial-BoldMT" w:hAnsi="Arial-BoldMT" w:cs="Arial-BoldMT"/>
          <w:bCs/>
          <w:sz w:val="20"/>
          <w:szCs w:val="20"/>
          <w:lang w:eastAsia="ja-JP"/>
        </w:rPr>
        <w:t>ciphertext</w:t>
      </w:r>
      <w:proofErr w:type="spellEnd"/>
      <w:r w:rsidRPr="00775BB9">
        <w:rPr>
          <w:rFonts w:ascii="Arial-BoldMT" w:hAnsi="Arial-BoldMT" w:cs="Arial-BoldMT"/>
          <w:bCs/>
          <w:sz w:val="20"/>
          <w:szCs w:val="20"/>
          <w:lang w:eastAsia="ja-JP"/>
        </w:rPr>
        <w:t xml:space="preserve"> of the group key is</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generated by the Node Key assigned to the root node designated by the n-</w:t>
      </w:r>
      <w:proofErr w:type="spellStart"/>
      <w:r w:rsidRPr="00775BB9">
        <w:rPr>
          <w:rFonts w:ascii="Arial-BoldMT" w:hAnsi="Arial-BoldMT" w:cs="Arial-BoldMT"/>
          <w:bCs/>
          <w:sz w:val="20"/>
          <w:szCs w:val="20"/>
          <w:lang w:eastAsia="ja-JP"/>
        </w:rPr>
        <w:t>th</w:t>
      </w:r>
      <w:proofErr w:type="spellEnd"/>
      <w:r w:rsidRPr="00775BB9">
        <w:rPr>
          <w:rFonts w:ascii="Arial-BoldMT" w:hAnsi="Arial-BoldMT" w:cs="Arial-BoldMT"/>
          <w:bCs/>
          <w:sz w:val="20"/>
          <w:szCs w:val="20"/>
          <w:lang w:eastAsia="ja-JP"/>
        </w:rPr>
        <w:t xml:space="preserve"> Node Index.</w:t>
      </w:r>
      <w:r w:rsidR="00E41E84">
        <w:rPr>
          <w:rFonts w:ascii="Arial-BoldMT" w:hAnsi="Arial-BoldMT" w:cs="Arial-BoldMT"/>
          <w:bCs/>
          <w:sz w:val="20"/>
          <w:szCs w:val="20"/>
          <w:lang w:eastAsia="ja-JP"/>
        </w:rPr>
        <w:t xml:space="preserve"> </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AES_Key_Wrapping-128 or AES_ECB-128 is used for the encryption algorithm.</w:t>
      </w:r>
    </w:p>
    <w:p w:rsidR="00E41E84" w:rsidRDefault="00E41E84" w:rsidP="00E41E84">
      <w:pPr>
        <w:widowControl w:val="0"/>
        <w:autoSpaceDE w:val="0"/>
        <w:autoSpaceDN w:val="0"/>
        <w:adjustRightInd w:val="0"/>
        <w:jc w:val="both"/>
        <w:rPr>
          <w:rFonts w:ascii="Arial-BoldMT" w:hAnsi="Arial-BoldMT" w:cs="Arial-BoldMT"/>
          <w:bCs/>
          <w:sz w:val="20"/>
          <w:szCs w:val="20"/>
          <w:lang w:eastAsia="ja-JP"/>
        </w:rPr>
      </w:pPr>
    </w:p>
    <w:p w:rsidR="00775BB9" w:rsidRPr="00775BB9" w:rsidRDefault="00775BB9" w:rsidP="00E41E84">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In the example illustrated in Figure 33, the group with nodes 000, 001, 010, 011, 101, 111 is covered by</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three complete </w:t>
      </w:r>
      <w:proofErr w:type="spellStart"/>
      <w:r w:rsidRPr="00775BB9">
        <w:rPr>
          <w:rFonts w:ascii="Arial-BoldMT" w:hAnsi="Arial-BoldMT" w:cs="Arial-BoldMT"/>
          <w:bCs/>
          <w:sz w:val="20"/>
          <w:szCs w:val="20"/>
          <w:lang w:eastAsia="ja-JP"/>
        </w:rPr>
        <w:t>subtrees</w:t>
      </w:r>
      <w:proofErr w:type="spellEnd"/>
      <w:r w:rsidRPr="00775BB9">
        <w:rPr>
          <w:rFonts w:ascii="Arial-BoldMT" w:hAnsi="Arial-BoldMT" w:cs="Arial-BoldMT"/>
          <w:bCs/>
          <w:sz w:val="20"/>
          <w:szCs w:val="20"/>
          <w:lang w:eastAsia="ja-JP"/>
        </w:rPr>
        <w:t xml:space="preserve"> at root node 0, 101, and 111. Therefore, the complete </w:t>
      </w:r>
      <w:proofErr w:type="spellStart"/>
      <w:r w:rsidRPr="00775BB9">
        <w:rPr>
          <w:rFonts w:ascii="Arial-BoldMT" w:hAnsi="Arial-BoldMT" w:cs="Arial-BoldMT"/>
          <w:bCs/>
          <w:sz w:val="20"/>
          <w:szCs w:val="20"/>
          <w:lang w:eastAsia="ja-JP"/>
        </w:rPr>
        <w:t>subtree</w:t>
      </w:r>
      <w:proofErr w:type="spellEnd"/>
      <w:r w:rsidRPr="00775BB9">
        <w:rPr>
          <w:rFonts w:ascii="Arial-BoldMT" w:hAnsi="Arial-BoldMT" w:cs="Arial-BoldMT"/>
          <w:bCs/>
          <w:sz w:val="20"/>
          <w:szCs w:val="20"/>
          <w:lang w:eastAsia="ja-JP"/>
        </w:rPr>
        <w:t xml:space="preserve"> part in the GKB</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includes Node indices for node 0, 101, and 111. The key data part, the </w:t>
      </w:r>
      <w:proofErr w:type="spellStart"/>
      <w:r w:rsidRPr="00775BB9">
        <w:rPr>
          <w:rFonts w:ascii="Arial-BoldMT" w:hAnsi="Arial-BoldMT" w:cs="Arial-BoldMT"/>
          <w:bCs/>
          <w:sz w:val="20"/>
          <w:szCs w:val="20"/>
          <w:lang w:eastAsia="ja-JP"/>
        </w:rPr>
        <w:t>ciphertexts</w:t>
      </w:r>
      <w:proofErr w:type="spellEnd"/>
      <w:r w:rsidRPr="00775BB9">
        <w:rPr>
          <w:rFonts w:ascii="Arial-BoldMT" w:hAnsi="Arial-BoldMT" w:cs="Arial-BoldMT"/>
          <w:bCs/>
          <w:sz w:val="20"/>
          <w:szCs w:val="20"/>
          <w:lang w:eastAsia="ja-JP"/>
        </w:rPr>
        <w:t xml:space="preserve"> of MGK encrypted by</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k(0), k(101), and k(111) as indicated in Figure 34.</w:t>
      </w:r>
    </w:p>
    <w:p w:rsidR="00775BB9" w:rsidRDefault="00775BB9" w:rsidP="00775BB9">
      <w:pPr>
        <w:widowControl w:val="0"/>
        <w:autoSpaceDE w:val="0"/>
        <w:autoSpaceDN w:val="0"/>
        <w:adjustRightInd w:val="0"/>
        <w:rPr>
          <w:rFonts w:ascii="Arial-BoldMT" w:hAnsi="Arial-BoldMT" w:cs="Arial-BoldMT"/>
          <w:bCs/>
          <w:sz w:val="20"/>
          <w:szCs w:val="20"/>
          <w:lang w:eastAsia="ja-JP"/>
        </w:rPr>
      </w:pPr>
    </w:p>
    <w:p w:rsidR="00B03102" w:rsidRDefault="00E41E84" w:rsidP="00775BB9">
      <w:pPr>
        <w:widowControl w:val="0"/>
        <w:autoSpaceDE w:val="0"/>
        <w:autoSpaceDN w:val="0"/>
        <w:adjustRightInd w:val="0"/>
        <w:rPr>
          <w:szCs w:val="20"/>
        </w:rPr>
      </w:pPr>
      <w:r>
        <w:rPr>
          <w:noProof/>
          <w:szCs w:val="20"/>
        </w:rPr>
        <w:drawing>
          <wp:inline distT="0" distB="0" distL="0" distR="0">
            <wp:extent cx="5476875" cy="8001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476875" cy="800100"/>
                    </a:xfrm>
                    <a:prstGeom prst="rect">
                      <a:avLst/>
                    </a:prstGeom>
                    <a:noFill/>
                    <a:ln w="9525">
                      <a:noFill/>
                      <a:miter lim="800000"/>
                      <a:headEnd/>
                      <a:tailEnd/>
                    </a:ln>
                  </pic:spPr>
                </pic:pic>
              </a:graphicData>
            </a:graphic>
          </wp:inline>
        </w:drawing>
      </w:r>
    </w:p>
    <w:p w:rsidR="00B03102" w:rsidRDefault="00B03102" w:rsidP="00775BB9">
      <w:pPr>
        <w:widowControl w:val="0"/>
        <w:autoSpaceDE w:val="0"/>
        <w:autoSpaceDN w:val="0"/>
        <w:adjustRightInd w:val="0"/>
        <w:rPr>
          <w:rFonts w:ascii="Arial-BoldMT" w:hAnsi="Arial-BoldMT" w:cs="Arial-BoldMT"/>
          <w:bCs/>
          <w:sz w:val="20"/>
          <w:szCs w:val="20"/>
          <w:lang w:eastAsia="ja-JP"/>
        </w:rPr>
      </w:pPr>
      <w:r>
        <w:rPr>
          <w:rFonts w:ascii="Arial-BoldMT" w:hAnsi="Arial-BoldMT" w:cs="Arial-BoldMT"/>
          <w:b/>
          <w:bCs/>
          <w:sz w:val="20"/>
          <w:szCs w:val="20"/>
          <w:lang w:eastAsia="ja-JP"/>
        </w:rPr>
        <w:t xml:space="preserve">             Figure 34—GKB for the group with nodes 000, 001, 010, 011, 101 and 111</w:t>
      </w:r>
    </w:p>
    <w:p w:rsidR="00B03102" w:rsidRPr="00775BB9" w:rsidRDefault="00B03102" w:rsidP="00775BB9">
      <w:pPr>
        <w:widowControl w:val="0"/>
        <w:autoSpaceDE w:val="0"/>
        <w:autoSpaceDN w:val="0"/>
        <w:adjustRightInd w:val="0"/>
        <w:rPr>
          <w:rFonts w:ascii="Arial-BoldMT" w:hAnsi="Arial-BoldMT" w:cs="Arial-BoldMT"/>
          <w:bCs/>
          <w:sz w:val="20"/>
          <w:szCs w:val="20"/>
          <w:lang w:eastAsia="ja-JP"/>
        </w:rPr>
      </w:pPr>
    </w:p>
    <w:p w:rsidR="00E41E84" w:rsidRDefault="00775BB9" w:rsidP="00626B57">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Notice that the example is for illustration purpose. The key tree has depth 3, not a multiple of 8. The Node</w:t>
      </w:r>
      <w:r w:rsidR="00B03102">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Index Value is not illustrated with the binary string in Figure 34. In fact, Node Index (0) can be represented as (0x01, 0b000000000), Node Index (101) as (0x03, 0b10100000) and Node Index (111) as (0x03, 0b11100000). </w:t>
      </w:r>
    </w:p>
    <w:p w:rsidR="00775BB9" w:rsidRDefault="00775BB9" w:rsidP="005D44DE">
      <w:pPr>
        <w:widowControl w:val="0"/>
        <w:autoSpaceDE w:val="0"/>
        <w:autoSpaceDN w:val="0"/>
        <w:adjustRightInd w:val="0"/>
        <w:rPr>
          <w:rFonts w:ascii="Arial-BoldMT" w:hAnsi="Arial-BoldMT" w:cs="Arial-BoldMT"/>
          <w:bCs/>
          <w:sz w:val="20"/>
          <w:szCs w:val="20"/>
          <w:lang w:eastAsia="ja-JP"/>
        </w:rPr>
      </w:pPr>
    </w:p>
    <w:p w:rsidR="005D44DE" w:rsidRPr="005D44DE" w:rsidRDefault="005D44DE" w:rsidP="00626B57">
      <w:pPr>
        <w:widowControl w:val="0"/>
        <w:autoSpaceDE w:val="0"/>
        <w:autoSpaceDN w:val="0"/>
        <w:adjustRightInd w:val="0"/>
        <w:jc w:val="both"/>
        <w:rPr>
          <w:rFonts w:ascii="Arial-BoldMT" w:hAnsi="Arial-BoldMT" w:cs="Arial-BoldMT"/>
          <w:bCs/>
          <w:sz w:val="20"/>
          <w:szCs w:val="20"/>
          <w:lang w:eastAsia="ja-JP"/>
        </w:rPr>
      </w:pPr>
      <w:r w:rsidRPr="005D44DE">
        <w:rPr>
          <w:rFonts w:ascii="Arial-BoldMT" w:hAnsi="Arial-BoldMT" w:cs="Arial-BoldMT"/>
          <w:bCs/>
          <w:sz w:val="20"/>
          <w:szCs w:val="20"/>
          <w:lang w:eastAsia="ja-JP"/>
        </w:rPr>
        <w:t xml:space="preserve">In case when a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is only present in a GKB, the GKB is used for specifying the group</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members of a particular group instead of a group key distribution. Following methods are used to identify</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the group members appropriately.</w:t>
      </w:r>
    </w:p>
    <w:p w:rsidR="005D44DE" w:rsidRPr="005D44DE" w:rsidRDefault="005D44DE" w:rsidP="00626B57">
      <w:pPr>
        <w:widowControl w:val="0"/>
        <w:autoSpaceDE w:val="0"/>
        <w:autoSpaceDN w:val="0"/>
        <w:adjustRightInd w:val="0"/>
        <w:jc w:val="both"/>
        <w:rPr>
          <w:rFonts w:ascii="Arial-BoldMT" w:hAnsi="Arial-BoldMT" w:cs="Arial-BoldMT"/>
          <w:bCs/>
          <w:sz w:val="20"/>
          <w:szCs w:val="20"/>
          <w:lang w:eastAsia="ja-JP"/>
        </w:rPr>
      </w:pPr>
    </w:p>
    <w:p w:rsidR="005D44DE" w:rsidRPr="005D44DE" w:rsidRDefault="005D44DE" w:rsidP="00626B57">
      <w:pPr>
        <w:widowControl w:val="0"/>
        <w:autoSpaceDE w:val="0"/>
        <w:autoSpaceDN w:val="0"/>
        <w:adjustRightInd w:val="0"/>
        <w:jc w:val="both"/>
        <w:rPr>
          <w:rFonts w:ascii="Arial-BoldMT" w:hAnsi="Arial-BoldMT" w:cs="Arial-BoldMT"/>
          <w:bCs/>
          <w:sz w:val="20"/>
          <w:szCs w:val="20"/>
          <w:lang w:eastAsia="ja-JP"/>
        </w:rPr>
      </w:pPr>
      <w:r w:rsidRPr="005D44DE">
        <w:rPr>
          <w:rFonts w:ascii="Arial-BoldMT" w:hAnsi="Arial-BoldMT" w:cs="Arial-BoldMT"/>
          <w:bCs/>
          <w:sz w:val="20"/>
          <w:szCs w:val="20"/>
          <w:lang w:eastAsia="ja-JP"/>
        </w:rPr>
        <w:t xml:space="preserve">Method 1: The set of leaf nodes specified by the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part of the GKB represents the members</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who belong to the group</w:t>
      </w:r>
    </w:p>
    <w:p w:rsidR="005D44DE" w:rsidRDefault="005D44DE" w:rsidP="00626B57">
      <w:pPr>
        <w:widowControl w:val="0"/>
        <w:autoSpaceDE w:val="0"/>
        <w:autoSpaceDN w:val="0"/>
        <w:adjustRightInd w:val="0"/>
        <w:jc w:val="both"/>
        <w:rPr>
          <w:rFonts w:ascii="Arial-BoldMT" w:hAnsi="Arial-BoldMT" w:cs="Arial-BoldMT"/>
          <w:bCs/>
          <w:sz w:val="20"/>
          <w:szCs w:val="20"/>
          <w:lang w:eastAsia="ja-JP"/>
        </w:rPr>
      </w:pPr>
    </w:p>
    <w:p w:rsidR="005D44DE" w:rsidRPr="005D44DE" w:rsidRDefault="005D44DE" w:rsidP="00626B57">
      <w:pPr>
        <w:widowControl w:val="0"/>
        <w:autoSpaceDE w:val="0"/>
        <w:autoSpaceDN w:val="0"/>
        <w:adjustRightInd w:val="0"/>
        <w:jc w:val="both"/>
        <w:rPr>
          <w:rFonts w:ascii="Arial-BoldMT" w:hAnsi="Arial-BoldMT" w:cs="Arial-BoldMT"/>
          <w:bCs/>
          <w:sz w:val="20"/>
          <w:szCs w:val="20"/>
          <w:lang w:eastAsia="ja-JP"/>
        </w:rPr>
      </w:pPr>
      <w:r w:rsidRPr="005D44DE">
        <w:rPr>
          <w:rFonts w:ascii="Arial-BoldMT" w:hAnsi="Arial-BoldMT" w:cs="Arial-BoldMT"/>
          <w:bCs/>
          <w:sz w:val="20"/>
          <w:szCs w:val="20"/>
          <w:lang w:eastAsia="ja-JP"/>
        </w:rPr>
        <w:t xml:space="preserve">Method 2: The set of leaf nodes specified in the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part of the GKB represents the members</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 xml:space="preserve">who do not belong to the group. In other words, the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part represents the complement set of</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the leaf nodes.</w:t>
      </w:r>
    </w:p>
    <w:p w:rsidR="005D44DE" w:rsidRPr="005D44DE" w:rsidRDefault="005D44DE" w:rsidP="00626B57">
      <w:pPr>
        <w:widowControl w:val="0"/>
        <w:autoSpaceDE w:val="0"/>
        <w:autoSpaceDN w:val="0"/>
        <w:adjustRightInd w:val="0"/>
        <w:jc w:val="both"/>
        <w:rPr>
          <w:rFonts w:ascii="Arial-BoldMT" w:hAnsi="Arial-BoldMT" w:cs="Arial-BoldMT"/>
          <w:bCs/>
          <w:sz w:val="20"/>
          <w:szCs w:val="20"/>
          <w:lang w:eastAsia="ja-JP"/>
        </w:rPr>
      </w:pPr>
    </w:p>
    <w:p w:rsidR="005D44DE" w:rsidRPr="005D44DE" w:rsidRDefault="005D44DE" w:rsidP="00626B57">
      <w:pPr>
        <w:widowControl w:val="0"/>
        <w:autoSpaceDE w:val="0"/>
        <w:autoSpaceDN w:val="0"/>
        <w:adjustRightInd w:val="0"/>
        <w:jc w:val="both"/>
        <w:rPr>
          <w:rFonts w:ascii="Arial-BoldMT" w:hAnsi="Arial-BoldMT" w:cs="Arial-BoldMT"/>
          <w:bCs/>
          <w:sz w:val="20"/>
          <w:szCs w:val="20"/>
          <w:lang w:eastAsia="ja-JP"/>
        </w:rPr>
      </w:pPr>
      <w:r w:rsidRPr="005D44DE">
        <w:rPr>
          <w:rFonts w:ascii="Arial-BoldMT" w:hAnsi="Arial-BoldMT" w:cs="Arial-BoldMT"/>
          <w:bCs/>
          <w:sz w:val="20"/>
          <w:szCs w:val="20"/>
          <w:lang w:eastAsia="ja-JP"/>
        </w:rPr>
        <w:t xml:space="preserve">For example, in a depth-3 group management tree, the set of all the leaf nodes is S = {000, 001, 010, 011,100, 101, 110, 111} and the group consists of members with leaf nodes in a set is; A = {000, 001, 010, 011,100}. When Method 1 is used, the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part shall represent set A, while when Method 2 is</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 xml:space="preserve">used, the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part shall represent S-A = {101, 110, 111}.</w:t>
      </w:r>
    </w:p>
    <w:p w:rsidR="005A6DA8" w:rsidRDefault="005D44DE" w:rsidP="00626B57">
      <w:pPr>
        <w:widowControl w:val="0"/>
        <w:autoSpaceDE w:val="0"/>
        <w:autoSpaceDN w:val="0"/>
        <w:adjustRightInd w:val="0"/>
        <w:jc w:val="both"/>
        <w:rPr>
          <w:rFonts w:ascii="Arial-BoldMT" w:hAnsi="Arial-BoldMT" w:cs="Arial-BoldMT"/>
          <w:bCs/>
          <w:sz w:val="20"/>
          <w:szCs w:val="20"/>
          <w:lang w:eastAsia="ja-JP"/>
        </w:rPr>
      </w:pPr>
      <w:r w:rsidRPr="005D44DE">
        <w:rPr>
          <w:rFonts w:ascii="Arial-BoldMT" w:hAnsi="Arial-BoldMT" w:cs="Arial-BoldMT"/>
          <w:bCs/>
          <w:sz w:val="20"/>
          <w:szCs w:val="20"/>
          <w:lang w:eastAsia="ja-JP"/>
        </w:rPr>
        <w:t>In order for a recipient to distinguish the two methods, a group manipulation command accompanies a flag</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 xml:space="preserve">named </w:t>
      </w:r>
      <w:proofErr w:type="spellStart"/>
      <w:r w:rsidRPr="005D44DE">
        <w:rPr>
          <w:rFonts w:ascii="Arial-BoldMT" w:hAnsi="Arial-BoldMT" w:cs="Arial-BoldMT"/>
          <w:bCs/>
          <w:sz w:val="20"/>
          <w:szCs w:val="20"/>
          <w:lang w:eastAsia="ja-JP"/>
        </w:rPr>
        <w:t>ComplementSubtreeFlag</w:t>
      </w:r>
      <w:proofErr w:type="spellEnd"/>
      <w:r w:rsidRPr="005D44DE">
        <w:rPr>
          <w:rFonts w:ascii="Arial-BoldMT" w:hAnsi="Arial-BoldMT" w:cs="Arial-BoldMT"/>
          <w:bCs/>
          <w:sz w:val="20"/>
          <w:szCs w:val="20"/>
          <w:lang w:eastAsia="ja-JP"/>
        </w:rPr>
        <w:t>. If the flag is 0, Method 1 is used. If the flag is 1, Method 2 is used. The</w:t>
      </w:r>
      <w:r>
        <w:rPr>
          <w:rFonts w:ascii="Arial-BoldMT" w:hAnsi="Arial-BoldMT" w:cs="Arial-BoldMT"/>
          <w:bCs/>
          <w:sz w:val="20"/>
          <w:szCs w:val="20"/>
          <w:lang w:eastAsia="ja-JP"/>
        </w:rPr>
        <w:t xml:space="preserve"> </w:t>
      </w:r>
      <w:proofErr w:type="spellStart"/>
      <w:r w:rsidRPr="005D44DE">
        <w:rPr>
          <w:rFonts w:ascii="Arial-BoldMT" w:hAnsi="Arial-BoldMT" w:cs="Arial-BoldMT"/>
          <w:bCs/>
          <w:sz w:val="20"/>
          <w:szCs w:val="20"/>
          <w:lang w:eastAsia="ja-JP"/>
        </w:rPr>
        <w:t>ComplementSubtreeFlag</w:t>
      </w:r>
      <w:proofErr w:type="spellEnd"/>
      <w:r w:rsidRPr="005D44DE">
        <w:rPr>
          <w:rFonts w:ascii="Arial-BoldMT" w:hAnsi="Arial-BoldMT" w:cs="Arial-BoldMT"/>
          <w:bCs/>
          <w:sz w:val="20"/>
          <w:szCs w:val="20"/>
          <w:lang w:eastAsia="ja-JP"/>
        </w:rPr>
        <w:t xml:space="preserve"> thus helps the recipient to correctly interpret the complete </w:t>
      </w:r>
      <w:proofErr w:type="spellStart"/>
      <w:r w:rsidRPr="005D44DE">
        <w:rPr>
          <w:rFonts w:ascii="Arial-BoldMT" w:hAnsi="Arial-BoldMT" w:cs="Arial-BoldMT"/>
          <w:bCs/>
          <w:sz w:val="20"/>
          <w:szCs w:val="20"/>
          <w:lang w:eastAsia="ja-JP"/>
        </w:rPr>
        <w:t>subtree</w:t>
      </w:r>
      <w:proofErr w:type="spellEnd"/>
      <w:r w:rsidRPr="005D44DE">
        <w:rPr>
          <w:rFonts w:ascii="Arial-BoldMT" w:hAnsi="Arial-BoldMT" w:cs="Arial-BoldMT"/>
          <w:bCs/>
          <w:sz w:val="20"/>
          <w:szCs w:val="20"/>
          <w:lang w:eastAsia="ja-JP"/>
        </w:rPr>
        <w:t xml:space="preserve"> part of a</w:t>
      </w:r>
      <w:r>
        <w:rPr>
          <w:rFonts w:ascii="Arial-BoldMT" w:hAnsi="Arial-BoldMT" w:cs="Arial-BoldMT"/>
          <w:bCs/>
          <w:sz w:val="20"/>
          <w:szCs w:val="20"/>
          <w:lang w:eastAsia="ja-JP"/>
        </w:rPr>
        <w:t xml:space="preserve"> </w:t>
      </w:r>
      <w:r w:rsidRPr="005D44DE">
        <w:rPr>
          <w:rFonts w:ascii="Arial-BoldMT" w:hAnsi="Arial-BoldMT" w:cs="Arial-BoldMT"/>
          <w:bCs/>
          <w:sz w:val="20"/>
          <w:szCs w:val="20"/>
          <w:lang w:eastAsia="ja-JP"/>
        </w:rPr>
        <w:t>GKB.</w:t>
      </w:r>
    </w:p>
    <w:p w:rsidR="00626B57" w:rsidRDefault="00626B57" w:rsidP="00626B57">
      <w:pPr>
        <w:widowControl w:val="0"/>
        <w:autoSpaceDE w:val="0"/>
        <w:autoSpaceDN w:val="0"/>
        <w:adjustRightInd w:val="0"/>
        <w:jc w:val="both"/>
        <w:rPr>
          <w:rFonts w:ascii="Arial-BoldMT" w:hAnsi="Arial-BoldMT" w:cs="Arial-BoldMT"/>
          <w:bCs/>
          <w:sz w:val="20"/>
          <w:szCs w:val="20"/>
          <w:lang w:eastAsia="ja-JP"/>
        </w:rPr>
      </w:pPr>
    </w:p>
    <w:p w:rsidR="00626B57" w:rsidRDefault="00626B57" w:rsidP="00626B57">
      <w:pPr>
        <w:widowControl w:val="0"/>
        <w:autoSpaceDE w:val="0"/>
        <w:autoSpaceDN w:val="0"/>
        <w:adjustRightInd w:val="0"/>
        <w:jc w:val="both"/>
        <w:rPr>
          <w:rFonts w:ascii="Arial-BoldMT" w:hAnsi="Arial-BoldMT" w:cs="Arial-BoldMT"/>
          <w:bCs/>
          <w:sz w:val="20"/>
          <w:szCs w:val="20"/>
          <w:lang w:eastAsia="ja-JP"/>
        </w:rPr>
      </w:pPr>
      <w:r w:rsidRPr="00775BB9">
        <w:rPr>
          <w:rFonts w:ascii="Arial-BoldMT" w:hAnsi="Arial-BoldMT" w:cs="Arial-BoldMT"/>
          <w:bCs/>
          <w:sz w:val="20"/>
          <w:szCs w:val="20"/>
          <w:lang w:eastAsia="ja-JP"/>
        </w:rPr>
        <w:t>A command center has a component called GKB Generator. A GKB Generator receives all the device keys assigned to all the recipients associated to a group and a MGK. The MGK is a master group key for that</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group. recipients and the CC can generate a Media Independent Group Session Key (MIGSK) from MGK</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(see 9.6). The mechanism to provide all device keys to the GKB generator is out of the scope of this</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specification. This mechanism can just encompass the </w:t>
      </w:r>
      <w:r w:rsidRPr="00775BB9">
        <w:rPr>
          <w:rFonts w:ascii="Arial-BoldMT" w:hAnsi="Arial-BoldMT" w:cs="Arial-BoldMT"/>
          <w:bCs/>
          <w:sz w:val="20"/>
          <w:szCs w:val="20"/>
          <w:lang w:eastAsia="ja-JP"/>
        </w:rPr>
        <w:lastRenderedPageBreak/>
        <w:t>explicit provision of the device keys to the GKB</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 xml:space="preserve"> Generator or the random seed used to derive them. On receiving those data, a GKB Generator outputs a</w:t>
      </w:r>
      <w:r>
        <w:rPr>
          <w:rFonts w:ascii="Arial-BoldMT" w:hAnsi="Arial-BoldMT" w:cs="Arial-BoldMT"/>
          <w:bCs/>
          <w:sz w:val="20"/>
          <w:szCs w:val="20"/>
          <w:lang w:eastAsia="ja-JP"/>
        </w:rPr>
        <w:t xml:space="preserve"> </w:t>
      </w:r>
      <w:r w:rsidRPr="00775BB9">
        <w:rPr>
          <w:rFonts w:ascii="Arial-BoldMT" w:hAnsi="Arial-BoldMT" w:cs="Arial-BoldMT"/>
          <w:bCs/>
          <w:sz w:val="20"/>
          <w:szCs w:val="20"/>
          <w:lang w:eastAsia="ja-JP"/>
        </w:rPr>
        <w:t>GKB, or several GKBs.</w:t>
      </w:r>
    </w:p>
    <w:p w:rsidR="00626B57" w:rsidRDefault="00626B57" w:rsidP="00626B57">
      <w:pPr>
        <w:widowControl w:val="0"/>
        <w:autoSpaceDE w:val="0"/>
        <w:autoSpaceDN w:val="0"/>
        <w:adjustRightInd w:val="0"/>
        <w:jc w:val="both"/>
        <w:rPr>
          <w:rFonts w:ascii="Arial-BoldMT" w:hAnsi="Arial-BoldMT" w:cs="Arial-BoldMT"/>
          <w:bCs/>
          <w:sz w:val="20"/>
          <w:szCs w:val="20"/>
          <w:lang w:eastAsia="ja-JP"/>
        </w:rPr>
      </w:pPr>
    </w:p>
    <w:p w:rsidR="00626B57" w:rsidRPr="00EA313F" w:rsidRDefault="00626B57" w:rsidP="00626B57">
      <w:pPr>
        <w:widowControl w:val="0"/>
        <w:autoSpaceDE w:val="0"/>
        <w:autoSpaceDN w:val="0"/>
        <w:adjustRightInd w:val="0"/>
        <w:jc w:val="both"/>
        <w:rPr>
          <w:rFonts w:ascii="Arial-BoldMT" w:hAnsi="Arial-BoldMT" w:cs="Arial-BoldMT"/>
          <w:bCs/>
          <w:sz w:val="20"/>
          <w:szCs w:val="20"/>
          <w:lang w:eastAsia="ja-JP"/>
        </w:rPr>
      </w:pPr>
    </w:p>
    <w:sectPr w:rsidR="00626B57" w:rsidRPr="00EA313F" w:rsidSect="004A56A7">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102" w:rsidRDefault="00B03102">
      <w:r>
        <w:separator/>
      </w:r>
    </w:p>
  </w:endnote>
  <w:endnote w:type="continuationSeparator" w:id="0">
    <w:p w:rsidR="00B03102" w:rsidRDefault="00B031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02" w:rsidRDefault="00B03102">
    <w:pPr>
      <w:pStyle w:val="Footer"/>
      <w:jc w:val="center"/>
    </w:pPr>
    <w:r>
      <w:rPr>
        <w:rStyle w:val="PageNumber"/>
      </w:rPr>
      <w:fldChar w:fldCharType="begin"/>
    </w:r>
    <w:r>
      <w:rPr>
        <w:rStyle w:val="PageNumber"/>
      </w:rPr>
      <w:instrText xml:space="preserve"> PAGE </w:instrText>
    </w:r>
    <w:r>
      <w:rPr>
        <w:rStyle w:val="PageNumber"/>
      </w:rPr>
      <w:fldChar w:fldCharType="separate"/>
    </w:r>
    <w:r w:rsidR="00670B2C">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102" w:rsidRDefault="00B03102">
      <w:r>
        <w:separator/>
      </w:r>
    </w:p>
  </w:footnote>
  <w:footnote w:type="continuationSeparator" w:id="0">
    <w:p w:rsidR="00B03102" w:rsidRDefault="00B03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02" w:rsidRDefault="00B03102">
    <w:pPr>
      <w:pStyle w:val="Header"/>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w:t>
    </w:r>
    <w:r>
      <w:rPr>
        <w:b/>
        <w:bCs/>
        <w:lang w:eastAsia="ja-JP"/>
      </w:rPr>
      <w:t>xxx</w:t>
    </w:r>
    <w:r>
      <w:rPr>
        <w:b/>
        <w:bCs/>
      </w:rPr>
      <w:t>-0</w:t>
    </w:r>
    <w:r>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EC4AFC"/>
    <w:multiLevelType w:val="hybridMultilevel"/>
    <w:tmpl w:val="B86A6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3AEB0A5E"/>
    <w:multiLevelType w:val="hybridMultilevel"/>
    <w:tmpl w:val="B9B037D2"/>
    <w:lvl w:ilvl="0" w:tplc="9F680142">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442A521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4E66578C"/>
    <w:multiLevelType w:val="hybridMultilevel"/>
    <w:tmpl w:val="92E62512"/>
    <w:lvl w:ilvl="0" w:tplc="65B2F50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064D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4">
    <w:nsid w:val="7616709B"/>
    <w:multiLevelType w:val="hybridMultilevel"/>
    <w:tmpl w:val="7C565F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1"/>
  </w:num>
  <w:num w:numId="2">
    <w:abstractNumId w:val="1"/>
  </w:num>
  <w:num w:numId="3">
    <w:abstractNumId w:val="6"/>
  </w:num>
  <w:num w:numId="4">
    <w:abstractNumId w:val="3"/>
  </w:num>
  <w:num w:numId="5">
    <w:abstractNumId w:val="8"/>
  </w:num>
  <w:num w:numId="6">
    <w:abstractNumId w:val="10"/>
  </w:num>
  <w:num w:numId="7">
    <w:abstractNumId w:val="5"/>
  </w:num>
  <w:num w:numId="8">
    <w:abstractNumId w:val="4"/>
  </w:num>
  <w:num w:numId="9">
    <w:abstractNumId w:val="13"/>
  </w:num>
  <w:num w:numId="10">
    <w:abstractNumId w:val="2"/>
  </w:num>
  <w:num w:numId="11">
    <w:abstractNumId w:val="12"/>
  </w:num>
  <w:num w:numId="12">
    <w:abstractNumId w:val="0"/>
  </w:num>
  <w:num w:numId="13">
    <w:abstractNumId w:val="14"/>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1847C3"/>
    <w:rsid w:val="0001169A"/>
    <w:rsid w:val="00073E21"/>
    <w:rsid w:val="000779C6"/>
    <w:rsid w:val="000C1F97"/>
    <w:rsid w:val="000D6CAE"/>
    <w:rsid w:val="001037EE"/>
    <w:rsid w:val="00160734"/>
    <w:rsid w:val="001640DB"/>
    <w:rsid w:val="0017725C"/>
    <w:rsid w:val="001847C3"/>
    <w:rsid w:val="001A2D27"/>
    <w:rsid w:val="001E434A"/>
    <w:rsid w:val="00213447"/>
    <w:rsid w:val="00235FC3"/>
    <w:rsid w:val="00270073"/>
    <w:rsid w:val="00283CBE"/>
    <w:rsid w:val="002B3E53"/>
    <w:rsid w:val="002E14CB"/>
    <w:rsid w:val="002E27B1"/>
    <w:rsid w:val="003625F8"/>
    <w:rsid w:val="0038048F"/>
    <w:rsid w:val="003A4ED3"/>
    <w:rsid w:val="003E73A0"/>
    <w:rsid w:val="003F4353"/>
    <w:rsid w:val="00421619"/>
    <w:rsid w:val="004366B1"/>
    <w:rsid w:val="004542B5"/>
    <w:rsid w:val="004663F7"/>
    <w:rsid w:val="00493815"/>
    <w:rsid w:val="004A56A7"/>
    <w:rsid w:val="004D438C"/>
    <w:rsid w:val="00512166"/>
    <w:rsid w:val="00514557"/>
    <w:rsid w:val="00532666"/>
    <w:rsid w:val="005806BF"/>
    <w:rsid w:val="005A6DA8"/>
    <w:rsid w:val="005D44DE"/>
    <w:rsid w:val="005D7B8A"/>
    <w:rsid w:val="005F1045"/>
    <w:rsid w:val="005F44A9"/>
    <w:rsid w:val="00613AA6"/>
    <w:rsid w:val="00615C76"/>
    <w:rsid w:val="00626B57"/>
    <w:rsid w:val="00670B2C"/>
    <w:rsid w:val="00683593"/>
    <w:rsid w:val="006B5609"/>
    <w:rsid w:val="00756ACA"/>
    <w:rsid w:val="0075778C"/>
    <w:rsid w:val="00767467"/>
    <w:rsid w:val="00775BB9"/>
    <w:rsid w:val="00797DCA"/>
    <w:rsid w:val="007E0C36"/>
    <w:rsid w:val="007E1409"/>
    <w:rsid w:val="008831D9"/>
    <w:rsid w:val="008915C2"/>
    <w:rsid w:val="008B12B5"/>
    <w:rsid w:val="008D3F7F"/>
    <w:rsid w:val="008E2DB7"/>
    <w:rsid w:val="009C78BA"/>
    <w:rsid w:val="009D599A"/>
    <w:rsid w:val="009D7B7E"/>
    <w:rsid w:val="009D7BF9"/>
    <w:rsid w:val="00A125CF"/>
    <w:rsid w:val="00A15AB9"/>
    <w:rsid w:val="00A21523"/>
    <w:rsid w:val="00A31F81"/>
    <w:rsid w:val="00A70265"/>
    <w:rsid w:val="00A825EA"/>
    <w:rsid w:val="00A870A4"/>
    <w:rsid w:val="00AA5C8A"/>
    <w:rsid w:val="00AC1A82"/>
    <w:rsid w:val="00AC2C8A"/>
    <w:rsid w:val="00AC4AF0"/>
    <w:rsid w:val="00AD5290"/>
    <w:rsid w:val="00B03102"/>
    <w:rsid w:val="00BC5D65"/>
    <w:rsid w:val="00BD5F0B"/>
    <w:rsid w:val="00C052E7"/>
    <w:rsid w:val="00C07D64"/>
    <w:rsid w:val="00C2266A"/>
    <w:rsid w:val="00C23A70"/>
    <w:rsid w:val="00C3013B"/>
    <w:rsid w:val="00C44B13"/>
    <w:rsid w:val="00CA7714"/>
    <w:rsid w:val="00CD2F4F"/>
    <w:rsid w:val="00CD72FD"/>
    <w:rsid w:val="00D0149F"/>
    <w:rsid w:val="00D03462"/>
    <w:rsid w:val="00D12014"/>
    <w:rsid w:val="00D31C50"/>
    <w:rsid w:val="00DA5EC3"/>
    <w:rsid w:val="00DB24BA"/>
    <w:rsid w:val="00DB5A06"/>
    <w:rsid w:val="00DC7960"/>
    <w:rsid w:val="00DD36C7"/>
    <w:rsid w:val="00E1360D"/>
    <w:rsid w:val="00E15DA2"/>
    <w:rsid w:val="00E1705D"/>
    <w:rsid w:val="00E41E84"/>
    <w:rsid w:val="00E94307"/>
    <w:rsid w:val="00EA313F"/>
    <w:rsid w:val="00EE4C04"/>
    <w:rsid w:val="00EF092A"/>
    <w:rsid w:val="00F351AE"/>
    <w:rsid w:val="00F5445A"/>
    <w:rsid w:val="00F61230"/>
    <w:rsid w:val="00F71287"/>
    <w:rsid w:val="00F77C0F"/>
    <w:rsid w:val="00FA0A60"/>
    <w:rsid w:val="00FE1F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A7"/>
    <w:rPr>
      <w:sz w:val="24"/>
      <w:szCs w:val="24"/>
      <w:lang w:eastAsia="en-US"/>
    </w:rPr>
  </w:style>
  <w:style w:type="paragraph" w:styleId="Heading1">
    <w:name w:val="heading 1"/>
    <w:basedOn w:val="Normal"/>
    <w:next w:val="Normal"/>
    <w:link w:val="Heading1Char"/>
    <w:qFormat/>
    <w:rsid w:val="00AC2C8A"/>
    <w:pPr>
      <w:keepNext/>
      <w:outlineLvl w:val="0"/>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6A7"/>
    <w:rPr>
      <w:color w:val="3366FF"/>
      <w:u w:val="single"/>
    </w:rPr>
  </w:style>
  <w:style w:type="character" w:styleId="FollowedHyperlink">
    <w:name w:val="FollowedHyperlink"/>
    <w:rsid w:val="004A56A7"/>
    <w:rPr>
      <w:color w:val="0000FF"/>
    </w:rPr>
  </w:style>
  <w:style w:type="paragraph" w:customStyle="1" w:styleId="Body">
    <w:name w:val="Body"/>
    <w:basedOn w:val="Normal"/>
    <w:rsid w:val="004A56A7"/>
    <w:pPr>
      <w:spacing w:after="120"/>
      <w:jc w:val="both"/>
    </w:pPr>
    <w:rPr>
      <w:rFonts w:ascii="Times" w:hAnsi="Times"/>
      <w:kern w:val="28"/>
      <w:lang w:bidi="he-IL"/>
    </w:rPr>
  </w:style>
  <w:style w:type="paragraph" w:customStyle="1" w:styleId="covertext">
    <w:name w:val="cover text"/>
    <w:basedOn w:val="Normal"/>
    <w:rsid w:val="004A56A7"/>
    <w:pPr>
      <w:spacing w:before="120" w:after="120"/>
    </w:pPr>
    <w:rPr>
      <w:rFonts w:ascii="Times" w:hAnsi="Times"/>
      <w:lang w:bidi="he-IL"/>
    </w:rPr>
  </w:style>
  <w:style w:type="paragraph" w:styleId="BodyText">
    <w:name w:val="Body Text"/>
    <w:basedOn w:val="Normal"/>
    <w:rsid w:val="004A56A7"/>
    <w:rPr>
      <w:b/>
      <w:bCs/>
    </w:rPr>
  </w:style>
  <w:style w:type="paragraph" w:styleId="Header">
    <w:name w:val="header"/>
    <w:basedOn w:val="Normal"/>
    <w:rsid w:val="004A56A7"/>
    <w:pPr>
      <w:tabs>
        <w:tab w:val="center" w:pos="4320"/>
        <w:tab w:val="right" w:pos="8640"/>
      </w:tabs>
    </w:pPr>
  </w:style>
  <w:style w:type="paragraph" w:styleId="Footer">
    <w:name w:val="footer"/>
    <w:basedOn w:val="Normal"/>
    <w:rsid w:val="004A56A7"/>
    <w:pPr>
      <w:tabs>
        <w:tab w:val="center" w:pos="4320"/>
        <w:tab w:val="right" w:pos="8640"/>
      </w:tabs>
    </w:pPr>
  </w:style>
  <w:style w:type="character" w:styleId="PageNumber">
    <w:name w:val="page number"/>
    <w:basedOn w:val="DefaultParagraphFont"/>
    <w:rsid w:val="004A56A7"/>
  </w:style>
  <w:style w:type="paragraph" w:customStyle="1" w:styleId="T1">
    <w:name w:val="T1"/>
    <w:basedOn w:val="Normal"/>
    <w:rsid w:val="00AC2C8A"/>
    <w:pPr>
      <w:spacing w:after="200"/>
      <w:jc w:val="center"/>
    </w:pPr>
    <w:rPr>
      <w:b/>
      <w:sz w:val="28"/>
    </w:rPr>
  </w:style>
  <w:style w:type="character" w:customStyle="1" w:styleId="Heading1Char">
    <w:name w:val="Heading 1 Char"/>
    <w:link w:val="Heading1"/>
    <w:rsid w:val="00AC2C8A"/>
    <w:rPr>
      <w:rFonts w:ascii="Arial" w:eastAsia="MS Gothic" w:hAnsi="Arial" w:cs="Times New Roman"/>
      <w:sz w:val="24"/>
      <w:szCs w:val="24"/>
      <w:lang w:eastAsia="en-US"/>
    </w:rPr>
  </w:style>
  <w:style w:type="paragraph" w:styleId="BalloonText">
    <w:name w:val="Balloon Text"/>
    <w:basedOn w:val="Normal"/>
    <w:link w:val="BalloonTextChar"/>
    <w:rsid w:val="00514557"/>
    <w:rPr>
      <w:rFonts w:ascii="Arial" w:eastAsia="MS Gothic" w:hAnsi="Arial"/>
      <w:sz w:val="18"/>
      <w:szCs w:val="18"/>
    </w:rPr>
  </w:style>
  <w:style w:type="character" w:customStyle="1" w:styleId="BalloonTextChar">
    <w:name w:val="Balloon Text Char"/>
    <w:link w:val="BalloonText"/>
    <w:rsid w:val="00514557"/>
    <w:rPr>
      <w:rFonts w:ascii="Arial" w:eastAsia="MS Gothic" w:hAnsi="Arial" w:cs="Times New Roman"/>
      <w:sz w:val="18"/>
      <w:szCs w:val="18"/>
      <w:lang w:eastAsia="en-US"/>
    </w:rPr>
  </w:style>
  <w:style w:type="table" w:styleId="TableGrid">
    <w:name w:val="Table Grid"/>
    <w:basedOn w:val="TableNormal"/>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87272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483665114">
      <w:bodyDiv w:val="1"/>
      <w:marLeft w:val="0"/>
      <w:marRight w:val="0"/>
      <w:marTop w:val="0"/>
      <w:marBottom w:val="0"/>
      <w:divBdr>
        <w:top w:val="none" w:sz="0" w:space="0" w:color="auto"/>
        <w:left w:val="none" w:sz="0" w:space="0" w:color="auto"/>
        <w:bottom w:val="none" w:sz="0" w:space="0" w:color="auto"/>
        <w:right w:val="none" w:sz="0" w:space="0" w:color="auto"/>
      </w:divBdr>
    </w:div>
    <w:div w:id="60735343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86444375">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882332875">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29473742">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58612983">
      <w:bodyDiv w:val="1"/>
      <w:marLeft w:val="0"/>
      <w:marRight w:val="0"/>
      <w:marTop w:val="0"/>
      <w:marBottom w:val="0"/>
      <w:divBdr>
        <w:top w:val="none" w:sz="0" w:space="0" w:color="auto"/>
        <w:left w:val="none" w:sz="0" w:space="0" w:color="auto"/>
        <w:bottom w:val="none" w:sz="0" w:space="0" w:color="auto"/>
        <w:right w:val="none" w:sz="0" w:space="0" w:color="auto"/>
      </w:divBdr>
    </w:div>
    <w:div w:id="1980572490">
      <w:bodyDiv w:val="1"/>
      <w:marLeft w:val="0"/>
      <w:marRight w:val="0"/>
      <w:marTop w:val="0"/>
      <w:marBottom w:val="0"/>
      <w:divBdr>
        <w:top w:val="none" w:sz="0" w:space="0" w:color="auto"/>
        <w:left w:val="none" w:sz="0" w:space="0" w:color="auto"/>
        <w:bottom w:val="none" w:sz="0" w:space="0" w:color="auto"/>
        <w:right w:val="none" w:sz="0" w:space="0" w:color="auto"/>
      </w:divBdr>
    </w:div>
    <w:div w:id="20764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6749</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8067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subir Das</cp:lastModifiedBy>
  <cp:revision>2</cp:revision>
  <dcterms:created xsi:type="dcterms:W3CDTF">2014-05-14T21:17:00Z</dcterms:created>
  <dcterms:modified xsi:type="dcterms:W3CDTF">2014-05-14T21:17:00Z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