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3870"/>
        <w:gridCol w:w="5148"/>
      </w:tblGrid>
      <w:tr w:rsidR="00DD36C7" w:rsidRPr="004366B1">
        <w:tc>
          <w:tcPr>
            <w:tcW w:w="1350" w:type="dxa"/>
          </w:tcPr>
          <w:p w:rsidR="00DD36C7" w:rsidRPr="004366B1" w:rsidRDefault="00DD36C7">
            <w:pPr>
              <w:pStyle w:val="covertext"/>
            </w:pPr>
            <w:r w:rsidRPr="004366B1">
              <w:t>Project</w:t>
            </w:r>
          </w:p>
        </w:tc>
        <w:tc>
          <w:tcPr>
            <w:tcW w:w="9018" w:type="dxa"/>
            <w:gridSpan w:val="2"/>
          </w:tcPr>
          <w:p w:rsidR="00DD36C7" w:rsidRPr="004366B1" w:rsidRDefault="00DD36C7">
            <w:pPr>
              <w:pStyle w:val="covertext"/>
              <w:rPr>
                <w:b/>
              </w:rPr>
            </w:pPr>
            <w:r w:rsidRPr="004366B1">
              <w:rPr>
                <w:b/>
              </w:rPr>
              <w:t>IEEE 802.21 MIHS</w:t>
            </w:r>
          </w:p>
          <w:p w:rsidR="00DD36C7" w:rsidRPr="004366B1" w:rsidRDefault="00DD36C7">
            <w:pPr>
              <w:pStyle w:val="covertext"/>
              <w:rPr>
                <w:b/>
              </w:rPr>
            </w:pPr>
            <w:r w:rsidRPr="004366B1">
              <w:rPr>
                <w:b/>
              </w:rPr>
              <w:t>&lt;</w:t>
            </w:r>
            <w:hyperlink r:id="rId9" w:history="1">
              <w:r w:rsidRPr="004366B1">
                <w:rPr>
                  <w:rStyle w:val="a3"/>
                  <w:rFonts w:ascii="Times New Roman" w:hAnsi="Times New Roman"/>
                  <w:b/>
                  <w:lang w:bidi="ar-SA"/>
                </w:rPr>
                <w:t>http://www.ieee802.org/21/</w:t>
              </w:r>
            </w:hyperlink>
            <w:r w:rsidRPr="004366B1">
              <w:rPr>
                <w:b/>
              </w:rPr>
              <w:t>&gt;</w:t>
            </w:r>
          </w:p>
        </w:tc>
      </w:tr>
      <w:tr w:rsidR="00DD36C7" w:rsidRPr="004366B1">
        <w:tc>
          <w:tcPr>
            <w:tcW w:w="1350" w:type="dxa"/>
          </w:tcPr>
          <w:p w:rsidR="00DD36C7" w:rsidRPr="004366B1" w:rsidRDefault="00DD36C7">
            <w:pPr>
              <w:pStyle w:val="covertext"/>
            </w:pPr>
            <w:r w:rsidRPr="004366B1">
              <w:t>Title</w:t>
            </w:r>
          </w:p>
        </w:tc>
        <w:tc>
          <w:tcPr>
            <w:tcW w:w="9018" w:type="dxa"/>
            <w:gridSpan w:val="2"/>
          </w:tcPr>
          <w:p w:rsidR="00DD36C7" w:rsidRPr="004366B1" w:rsidRDefault="008B12B5" w:rsidP="00B22E6D">
            <w:pPr>
              <w:pStyle w:val="covertext"/>
              <w:rPr>
                <w:b/>
              </w:rPr>
            </w:pPr>
            <w:r>
              <w:rPr>
                <w:b/>
                <w:sz w:val="28"/>
                <w:lang w:eastAsia="ja-JP"/>
              </w:rPr>
              <w:t xml:space="preserve">Proposed remedy for Comments </w:t>
            </w:r>
            <w:r w:rsidR="00B22E6D">
              <w:rPr>
                <w:rFonts w:hint="eastAsia"/>
                <w:b/>
                <w:sz w:val="28"/>
                <w:lang w:eastAsia="ja-JP"/>
              </w:rPr>
              <w:t>112</w:t>
            </w:r>
          </w:p>
        </w:tc>
      </w:tr>
      <w:tr w:rsidR="00DD36C7" w:rsidRPr="004366B1">
        <w:tc>
          <w:tcPr>
            <w:tcW w:w="1350" w:type="dxa"/>
          </w:tcPr>
          <w:p w:rsidR="00DD36C7" w:rsidRPr="004366B1" w:rsidRDefault="00DD36C7">
            <w:pPr>
              <w:pStyle w:val="covertext"/>
            </w:pPr>
            <w:r w:rsidRPr="004366B1">
              <w:t>DCN</w:t>
            </w:r>
          </w:p>
        </w:tc>
        <w:tc>
          <w:tcPr>
            <w:tcW w:w="9018" w:type="dxa"/>
            <w:gridSpan w:val="2"/>
          </w:tcPr>
          <w:p w:rsidR="00DD36C7" w:rsidRPr="004366B1" w:rsidRDefault="00AA5C8A" w:rsidP="00F351AE">
            <w:pPr>
              <w:pStyle w:val="covertext"/>
              <w:rPr>
                <w:b/>
                <w:lang w:eastAsia="ja-JP"/>
              </w:rPr>
            </w:pPr>
            <w:r w:rsidRPr="004366B1">
              <w:rPr>
                <w:b/>
              </w:rPr>
              <w:t>21-</w:t>
            </w:r>
            <w:r w:rsidR="00532666">
              <w:rPr>
                <w:rFonts w:hint="eastAsia"/>
                <w:b/>
                <w:lang w:eastAsia="ja-JP"/>
              </w:rPr>
              <w:t>14</w:t>
            </w:r>
            <w:r w:rsidR="00270073" w:rsidRPr="004366B1">
              <w:rPr>
                <w:b/>
              </w:rPr>
              <w:t>-</w:t>
            </w:r>
            <w:r w:rsidR="00AC2C8A">
              <w:rPr>
                <w:rFonts w:hint="eastAsia"/>
                <w:b/>
                <w:lang w:eastAsia="ja-JP"/>
              </w:rPr>
              <w:t>0</w:t>
            </w:r>
            <w:r w:rsidR="004E1E58">
              <w:rPr>
                <w:rFonts w:hint="eastAsia"/>
                <w:b/>
                <w:lang w:eastAsia="ja-JP"/>
              </w:rPr>
              <w:t>095</w:t>
            </w:r>
            <w:bookmarkStart w:id="0" w:name="_GoBack"/>
            <w:bookmarkEnd w:id="0"/>
            <w:r w:rsidR="00514557">
              <w:rPr>
                <w:b/>
              </w:rPr>
              <w:t>-0</w:t>
            </w:r>
            <w:r w:rsidR="00F351AE">
              <w:rPr>
                <w:rFonts w:hint="eastAsia"/>
                <w:b/>
                <w:lang w:eastAsia="ja-JP"/>
              </w:rPr>
              <w:t>0</w:t>
            </w:r>
            <w:r w:rsidR="00270073" w:rsidRPr="004366B1">
              <w:rPr>
                <w:b/>
              </w:rPr>
              <w:t>-</w:t>
            </w:r>
            <w:r w:rsidR="00270073" w:rsidRPr="004366B1">
              <w:rPr>
                <w:rFonts w:hint="eastAsia"/>
                <w:b/>
                <w:lang w:eastAsia="ja-JP"/>
              </w:rPr>
              <w:t>MuGM</w:t>
            </w:r>
          </w:p>
        </w:tc>
      </w:tr>
      <w:tr w:rsidR="00DD36C7" w:rsidRPr="004366B1">
        <w:tc>
          <w:tcPr>
            <w:tcW w:w="1350" w:type="dxa"/>
          </w:tcPr>
          <w:p w:rsidR="00DD36C7" w:rsidRPr="004366B1" w:rsidRDefault="00DD36C7">
            <w:pPr>
              <w:pStyle w:val="covertext"/>
            </w:pPr>
            <w:r w:rsidRPr="004366B1">
              <w:t>Date Submitted</w:t>
            </w:r>
          </w:p>
        </w:tc>
        <w:tc>
          <w:tcPr>
            <w:tcW w:w="9018" w:type="dxa"/>
            <w:gridSpan w:val="2"/>
          </w:tcPr>
          <w:p w:rsidR="00DD36C7" w:rsidRPr="004366B1" w:rsidRDefault="00532666" w:rsidP="008B12B5">
            <w:pPr>
              <w:pStyle w:val="covertext"/>
              <w:rPr>
                <w:b/>
                <w:lang w:eastAsia="ja-JP"/>
              </w:rPr>
            </w:pPr>
            <w:r>
              <w:rPr>
                <w:b/>
                <w:lang w:eastAsia="ja-JP"/>
              </w:rPr>
              <w:t>Ma</w:t>
            </w:r>
            <w:r w:rsidR="00B22E6D">
              <w:rPr>
                <w:b/>
                <w:lang w:eastAsia="ja-JP"/>
              </w:rPr>
              <w:t>y 1</w:t>
            </w:r>
            <w:r w:rsidR="00B22E6D">
              <w:rPr>
                <w:rFonts w:hint="eastAsia"/>
                <w:b/>
                <w:lang w:eastAsia="ja-JP"/>
              </w:rPr>
              <w:t>4</w:t>
            </w:r>
            <w:r w:rsidR="00AA5C8A" w:rsidRPr="004366B1">
              <w:rPr>
                <w:rFonts w:hint="eastAsia"/>
                <w:b/>
                <w:lang w:eastAsia="ja-JP"/>
              </w:rPr>
              <w:t>, 201</w:t>
            </w:r>
            <w:r>
              <w:rPr>
                <w:rFonts w:hint="eastAsia"/>
                <w:b/>
                <w:lang w:eastAsia="ja-JP"/>
              </w:rPr>
              <w:t>4</w:t>
            </w:r>
          </w:p>
        </w:tc>
      </w:tr>
      <w:tr w:rsidR="00DD36C7" w:rsidRPr="004366B1">
        <w:tc>
          <w:tcPr>
            <w:tcW w:w="1350" w:type="dxa"/>
          </w:tcPr>
          <w:p w:rsidR="00DD36C7" w:rsidRPr="004366B1" w:rsidRDefault="00DD36C7">
            <w:pPr>
              <w:pStyle w:val="covertext"/>
            </w:pPr>
            <w:r w:rsidRPr="004366B1">
              <w:t>Source(s)</w:t>
            </w:r>
          </w:p>
        </w:tc>
        <w:tc>
          <w:tcPr>
            <w:tcW w:w="3870" w:type="dxa"/>
          </w:tcPr>
          <w:p w:rsidR="00DD36C7" w:rsidRPr="004366B1" w:rsidRDefault="00B22E6D">
            <w:pPr>
              <w:pStyle w:val="covertext"/>
              <w:rPr>
                <w:lang w:eastAsia="ja-JP"/>
              </w:rPr>
            </w:pPr>
            <w:r>
              <w:rPr>
                <w:rFonts w:hint="eastAsia"/>
                <w:lang w:eastAsia="ja-JP"/>
              </w:rPr>
              <w:t>Yoshikazu Hanatani</w:t>
            </w:r>
            <w:r w:rsidR="00AC2C8A">
              <w:rPr>
                <w:rFonts w:hint="eastAsia"/>
                <w:lang w:eastAsia="ja-JP"/>
              </w:rPr>
              <w:t xml:space="preserve"> (Toshiba)</w:t>
            </w:r>
          </w:p>
        </w:tc>
        <w:tc>
          <w:tcPr>
            <w:tcW w:w="5148" w:type="dxa"/>
          </w:tcPr>
          <w:p w:rsidR="00DD36C7" w:rsidRPr="004366B1" w:rsidRDefault="00DD36C7">
            <w:pPr>
              <w:pStyle w:val="covertext"/>
              <w:rPr>
                <w:sz w:val="18"/>
              </w:rPr>
            </w:pPr>
          </w:p>
        </w:tc>
      </w:tr>
      <w:tr w:rsidR="00DD36C7" w:rsidRPr="004366B1">
        <w:tc>
          <w:tcPr>
            <w:tcW w:w="1350" w:type="dxa"/>
          </w:tcPr>
          <w:p w:rsidR="00DD36C7" w:rsidRPr="004366B1" w:rsidRDefault="00DD36C7">
            <w:pPr>
              <w:pStyle w:val="covertext"/>
            </w:pPr>
            <w:r w:rsidRPr="004366B1">
              <w:t>Re:</w:t>
            </w:r>
          </w:p>
        </w:tc>
        <w:tc>
          <w:tcPr>
            <w:tcW w:w="9018" w:type="dxa"/>
            <w:gridSpan w:val="2"/>
          </w:tcPr>
          <w:p w:rsidR="00DD36C7" w:rsidRPr="004366B1" w:rsidRDefault="00DD36C7" w:rsidP="008B12B5">
            <w:pPr>
              <w:pStyle w:val="covertext"/>
              <w:rPr>
                <w:lang w:eastAsia="ja-JP"/>
              </w:rPr>
            </w:pPr>
            <w:r w:rsidRPr="004366B1">
              <w:t>IEEE 802.21 Session #</w:t>
            </w:r>
            <w:r w:rsidR="008B12B5">
              <w:rPr>
                <w:rFonts w:hint="eastAsia"/>
                <w:lang w:eastAsia="ja-JP"/>
              </w:rPr>
              <w:t>62</w:t>
            </w:r>
            <w:r w:rsidRPr="004366B1">
              <w:t xml:space="preserve"> in </w:t>
            </w:r>
            <w:r w:rsidR="008B12B5">
              <w:t>Waikoloa</w:t>
            </w:r>
          </w:p>
        </w:tc>
      </w:tr>
      <w:tr w:rsidR="00DD36C7" w:rsidRPr="004366B1">
        <w:tc>
          <w:tcPr>
            <w:tcW w:w="1350" w:type="dxa"/>
          </w:tcPr>
          <w:p w:rsidR="00DD36C7" w:rsidRPr="004366B1" w:rsidRDefault="00DD36C7">
            <w:pPr>
              <w:pStyle w:val="covertext"/>
            </w:pPr>
            <w:r w:rsidRPr="004366B1">
              <w:t>Abstract</w:t>
            </w:r>
          </w:p>
        </w:tc>
        <w:tc>
          <w:tcPr>
            <w:tcW w:w="9018" w:type="dxa"/>
            <w:gridSpan w:val="2"/>
          </w:tcPr>
          <w:p w:rsidR="00DD36C7" w:rsidRPr="004366B1" w:rsidRDefault="00AC2C8A" w:rsidP="00B22E6D">
            <w:pPr>
              <w:pStyle w:val="covertext"/>
              <w:rPr>
                <w:lang w:eastAsia="ja-JP"/>
              </w:rPr>
            </w:pPr>
            <w:r>
              <w:t>This document</w:t>
            </w:r>
            <w:r w:rsidR="00532666">
              <w:rPr>
                <w:rFonts w:hint="eastAsia"/>
                <w:lang w:eastAsia="ja-JP"/>
              </w:rPr>
              <w:t xml:space="preserve"> describes a proposed remedy for </w:t>
            </w:r>
            <w:r w:rsidR="008B12B5">
              <w:rPr>
                <w:lang w:eastAsia="ja-JP"/>
              </w:rPr>
              <w:t>LB7c</w:t>
            </w:r>
            <w:r w:rsidR="00532666">
              <w:rPr>
                <w:lang w:eastAsia="ja-JP"/>
              </w:rPr>
              <w:t xml:space="preserve"> Comment</w:t>
            </w:r>
            <w:r w:rsidR="008B12B5">
              <w:rPr>
                <w:lang w:eastAsia="ja-JP"/>
              </w:rPr>
              <w:t>s #</w:t>
            </w:r>
            <w:r w:rsidR="00B22E6D">
              <w:rPr>
                <w:rFonts w:hint="eastAsia"/>
                <w:lang w:eastAsia="ja-JP"/>
              </w:rPr>
              <w:t>112 about group manipulation commands and group addressed commands protection</w:t>
            </w:r>
            <w:r w:rsidR="00532666">
              <w:rPr>
                <w:lang w:eastAsia="ja-JP"/>
              </w:rPr>
              <w:t>.</w:t>
            </w:r>
          </w:p>
        </w:tc>
      </w:tr>
      <w:tr w:rsidR="00DD36C7" w:rsidRPr="004366B1">
        <w:tc>
          <w:tcPr>
            <w:tcW w:w="1350" w:type="dxa"/>
          </w:tcPr>
          <w:p w:rsidR="00DD36C7" w:rsidRPr="004366B1" w:rsidRDefault="00DD36C7">
            <w:pPr>
              <w:pStyle w:val="covertext"/>
            </w:pPr>
            <w:r w:rsidRPr="004366B1">
              <w:t>Purpose</w:t>
            </w:r>
          </w:p>
        </w:tc>
        <w:tc>
          <w:tcPr>
            <w:tcW w:w="9018" w:type="dxa"/>
            <w:gridSpan w:val="2"/>
          </w:tcPr>
          <w:p w:rsidR="00DD36C7" w:rsidRPr="004366B1" w:rsidRDefault="008B12B5" w:rsidP="008B12B5">
            <w:pPr>
              <w:pStyle w:val="covertext"/>
              <w:rPr>
                <w:lang w:eastAsia="ja-JP"/>
              </w:rPr>
            </w:pPr>
            <w:r>
              <w:rPr>
                <w:lang w:eastAsia="ja-JP"/>
              </w:rPr>
              <w:t xml:space="preserve">For </w:t>
            </w:r>
            <w:r>
              <w:rPr>
                <w:rFonts w:hint="eastAsia"/>
                <w:lang w:eastAsia="ja-JP"/>
              </w:rPr>
              <w:t>LB7c C</w:t>
            </w:r>
            <w:r w:rsidR="00AA5C8A" w:rsidRPr="004366B1">
              <w:rPr>
                <w:rFonts w:hint="eastAsia"/>
                <w:lang w:eastAsia="ja-JP"/>
              </w:rPr>
              <w:t>omment</w:t>
            </w:r>
            <w:r>
              <w:rPr>
                <w:lang w:eastAsia="ja-JP"/>
              </w:rPr>
              <w:t xml:space="preserve"> Resolution</w:t>
            </w:r>
          </w:p>
        </w:tc>
      </w:tr>
      <w:tr w:rsidR="00DD36C7" w:rsidRPr="004366B1">
        <w:trPr>
          <w:trHeight w:val="840"/>
        </w:trPr>
        <w:tc>
          <w:tcPr>
            <w:tcW w:w="1350" w:type="dxa"/>
          </w:tcPr>
          <w:p w:rsidR="00DD36C7" w:rsidRPr="004366B1" w:rsidRDefault="00DD36C7">
            <w:pPr>
              <w:pStyle w:val="covertext"/>
            </w:pPr>
            <w:r w:rsidRPr="004366B1">
              <w:t>Notice</w:t>
            </w:r>
          </w:p>
        </w:tc>
        <w:tc>
          <w:tcPr>
            <w:tcW w:w="9018" w:type="dxa"/>
            <w:gridSpan w:val="2"/>
          </w:tcPr>
          <w:p w:rsidR="00DD36C7" w:rsidRPr="004366B1" w:rsidRDefault="00DD36C7">
            <w:pPr>
              <w:pStyle w:val="covertext"/>
              <w:spacing w:before="0" w:after="0"/>
              <w:rPr>
                <w:sz w:val="20"/>
              </w:rPr>
            </w:pPr>
            <w:r w:rsidRPr="004366B1">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D36C7" w:rsidRPr="004366B1">
        <w:trPr>
          <w:trHeight w:val="1439"/>
        </w:trPr>
        <w:tc>
          <w:tcPr>
            <w:tcW w:w="1350" w:type="dxa"/>
          </w:tcPr>
          <w:p w:rsidR="00DD36C7" w:rsidRPr="004366B1" w:rsidRDefault="00DD36C7">
            <w:pPr>
              <w:pStyle w:val="covertext"/>
            </w:pPr>
            <w:r w:rsidRPr="004366B1">
              <w:t>Release</w:t>
            </w:r>
          </w:p>
        </w:tc>
        <w:tc>
          <w:tcPr>
            <w:tcW w:w="9018" w:type="dxa"/>
            <w:gridSpan w:val="2"/>
          </w:tcPr>
          <w:p w:rsidR="00DD36C7" w:rsidRPr="004366B1" w:rsidRDefault="00DD36C7">
            <w:pPr>
              <w:pStyle w:val="covertext"/>
              <w:spacing w:before="0" w:after="0"/>
              <w:rPr>
                <w:sz w:val="20"/>
              </w:rPr>
            </w:pPr>
            <w:r w:rsidRPr="004366B1">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w:t>
            </w:r>
            <w:r w:rsidR="00F77C0F" w:rsidRPr="004366B1">
              <w:rPr>
                <w:sz w:val="20"/>
              </w:rPr>
              <w:t>1</w:t>
            </w:r>
            <w:r w:rsidRPr="004366B1">
              <w:rPr>
                <w:sz w:val="20"/>
              </w:rPr>
              <w:t xml:space="preserve"> may make this contribution public.</w:t>
            </w:r>
          </w:p>
        </w:tc>
      </w:tr>
      <w:tr w:rsidR="00DD36C7" w:rsidRPr="004366B1">
        <w:tc>
          <w:tcPr>
            <w:tcW w:w="1350" w:type="dxa"/>
          </w:tcPr>
          <w:p w:rsidR="00DD36C7" w:rsidRPr="004366B1" w:rsidRDefault="00DD36C7">
            <w:pPr>
              <w:pStyle w:val="covertext"/>
            </w:pPr>
            <w:r w:rsidRPr="004366B1">
              <w:t>Patent Policy</w:t>
            </w:r>
          </w:p>
        </w:tc>
        <w:tc>
          <w:tcPr>
            <w:tcW w:w="9018" w:type="dxa"/>
            <w:gridSpan w:val="2"/>
          </w:tcPr>
          <w:p w:rsidR="00DD36C7" w:rsidRPr="004366B1" w:rsidRDefault="008D3F7F">
            <w:r w:rsidRPr="004366B1">
              <w:rPr>
                <w:sz w:val="20"/>
              </w:rPr>
              <w:t xml:space="preserve">The contributor is familiar with IEEE patent policy, as stated in </w:t>
            </w:r>
            <w:hyperlink r:id="rId10" w:anchor="6.3" w:tgtFrame="_parent" w:history="1">
              <w:r w:rsidRPr="004366B1">
                <w:rPr>
                  <w:rStyle w:val="a3"/>
                  <w:sz w:val="20"/>
                </w:rPr>
                <w:t>Section 6 of the IEEE-SA Standards Board bylaws</w:t>
              </w:r>
            </w:hyperlink>
            <w:r w:rsidRPr="004366B1">
              <w:rPr>
                <w:sz w:val="20"/>
              </w:rPr>
              <w:t xml:space="preserve"> &lt;</w:t>
            </w:r>
            <w:hyperlink r:id="rId11" w:tgtFrame="_parent" w:history="1">
              <w:r w:rsidRPr="004366B1">
                <w:rPr>
                  <w:rStyle w:val="a3"/>
                  <w:sz w:val="20"/>
                </w:rPr>
                <w:t>http://standards.ieee.org/guides/bylaws/sect6-7.html#6</w:t>
              </w:r>
            </w:hyperlink>
            <w:r w:rsidRPr="004366B1">
              <w:rPr>
                <w:sz w:val="20"/>
              </w:rPr>
              <w:t xml:space="preserve">&gt; and in </w:t>
            </w:r>
            <w:r w:rsidRPr="004366B1">
              <w:rPr>
                <w:i/>
                <w:iCs/>
                <w:sz w:val="20"/>
              </w:rPr>
              <w:t>Understanding Patent Issues During IEEE Standards Development</w:t>
            </w:r>
            <w:r w:rsidRPr="004366B1">
              <w:rPr>
                <w:sz w:val="20"/>
              </w:rPr>
              <w:t xml:space="preserve"> </w:t>
            </w:r>
            <w:hyperlink r:id="rId12" w:tgtFrame="_parent" w:history="1">
              <w:r w:rsidRPr="004366B1">
                <w:rPr>
                  <w:rStyle w:val="a3"/>
                  <w:sz w:val="20"/>
                </w:rPr>
                <w:t>http://standards.ieee.org/board/pat/faq.pdf</w:t>
              </w:r>
            </w:hyperlink>
          </w:p>
        </w:tc>
      </w:tr>
    </w:tbl>
    <w:p w:rsidR="00DD36C7" w:rsidRDefault="00DD36C7">
      <w:pPr>
        <w:pStyle w:val="Body"/>
        <w:rPr>
          <w:rStyle w:val="a4"/>
          <w:color w:val="auto"/>
        </w:rPr>
      </w:pPr>
    </w:p>
    <w:p w:rsidR="00DD36C7" w:rsidRDefault="00DD36C7">
      <w:pPr>
        <w:rPr>
          <w:b/>
          <w:bCs/>
          <w:color w:val="000000"/>
          <w:szCs w:val="12"/>
        </w:rPr>
      </w:pPr>
    </w:p>
    <w:p w:rsidR="00A125CF" w:rsidRDefault="00A125CF" w:rsidP="00A125CF">
      <w:pPr>
        <w:pStyle w:val="1"/>
        <w:numPr>
          <w:ilvl w:val="0"/>
          <w:numId w:val="5"/>
        </w:numPr>
        <w:rPr>
          <w:lang w:eastAsia="ja-JP"/>
        </w:rPr>
      </w:pPr>
      <w:r>
        <w:rPr>
          <w:rFonts w:hint="eastAsia"/>
          <w:lang w:eastAsia="ja-JP"/>
        </w:rPr>
        <w:t>Comments</w:t>
      </w:r>
    </w:p>
    <w:p w:rsidR="00A125CF" w:rsidRDefault="00512166" w:rsidP="00B22E6D">
      <w:pPr>
        <w:numPr>
          <w:ilvl w:val="0"/>
          <w:numId w:val="2"/>
        </w:numPr>
        <w:rPr>
          <w:lang w:eastAsia="ja-JP"/>
        </w:rPr>
      </w:pPr>
      <w:r>
        <w:rPr>
          <w:rFonts w:hint="eastAsia"/>
          <w:lang w:eastAsia="ja-JP"/>
        </w:rPr>
        <w:t>C</w:t>
      </w:r>
      <w:r>
        <w:rPr>
          <w:lang w:eastAsia="ja-JP"/>
        </w:rPr>
        <w:t>mt #</w:t>
      </w:r>
      <w:r w:rsidR="00B22E6D">
        <w:rPr>
          <w:rFonts w:hint="eastAsia"/>
          <w:lang w:eastAsia="ja-JP"/>
        </w:rPr>
        <w:t>112</w:t>
      </w:r>
      <w:r>
        <w:rPr>
          <w:lang w:eastAsia="ja-JP"/>
        </w:rPr>
        <w:t xml:space="preserve">: </w:t>
      </w:r>
      <w:r w:rsidR="00B22E6D" w:rsidRPr="00B22E6D">
        <w:rPr>
          <w:lang w:eastAsia="ja-JP"/>
        </w:rPr>
        <w:t>In step h) recipient verifies the Signature TLV, but there is no step for command center to genenate a Signature TLV.</w:t>
      </w:r>
    </w:p>
    <w:p w:rsidR="00B22E6D" w:rsidRDefault="00B22E6D" w:rsidP="00B22E6D">
      <w:pPr>
        <w:ind w:left="420"/>
        <w:rPr>
          <w:lang w:eastAsia="ja-JP"/>
        </w:rPr>
      </w:pPr>
    </w:p>
    <w:p w:rsidR="00512166" w:rsidRPr="00A125CF" w:rsidRDefault="00512166" w:rsidP="00A125CF">
      <w:pPr>
        <w:pStyle w:val="1"/>
        <w:numPr>
          <w:ilvl w:val="0"/>
          <w:numId w:val="5"/>
        </w:numPr>
        <w:rPr>
          <w:lang w:eastAsia="ja-JP"/>
        </w:rPr>
      </w:pPr>
      <w:r w:rsidRPr="00A125CF">
        <w:rPr>
          <w:rFonts w:hint="eastAsia"/>
          <w:lang w:eastAsia="ja-JP"/>
        </w:rPr>
        <w:t>Suggested Remedy:</w:t>
      </w:r>
    </w:p>
    <w:p w:rsidR="00512166" w:rsidRDefault="00512166" w:rsidP="00512166">
      <w:pPr>
        <w:autoSpaceDE w:val="0"/>
        <w:autoSpaceDN w:val="0"/>
        <w:adjustRightInd w:val="0"/>
        <w:rPr>
          <w:rFonts w:ascii="TimesNewRomanPSMT" w:hAnsi="TimesNewRomanPSMT" w:cs="TimesNewRomanPSMT"/>
          <w:sz w:val="20"/>
          <w:szCs w:val="20"/>
          <w:lang w:eastAsia="ja-JP"/>
        </w:rPr>
      </w:pPr>
    </w:p>
    <w:p w:rsidR="00512166" w:rsidRDefault="00B22E6D" w:rsidP="00512166">
      <w:pPr>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sz w:val="20"/>
          <w:szCs w:val="20"/>
          <w:lang w:eastAsia="ja-JP"/>
        </w:rPr>
        <w:t xml:space="preserve">[1] Change </w:t>
      </w:r>
      <w:r>
        <w:rPr>
          <w:rFonts w:ascii="TimesNewRomanPSMT" w:hAnsi="TimesNewRomanPSMT" w:cs="TimesNewRomanPSMT" w:hint="eastAsia"/>
          <w:sz w:val="20"/>
          <w:szCs w:val="20"/>
          <w:lang w:eastAsia="ja-JP"/>
        </w:rPr>
        <w:t>9</w:t>
      </w:r>
      <w:r>
        <w:rPr>
          <w:rFonts w:ascii="TimesNewRomanPSMT" w:hAnsi="TimesNewRomanPSMT" w:cs="TimesNewRomanPSMT"/>
          <w:sz w:val="20"/>
          <w:szCs w:val="20"/>
          <w:lang w:eastAsia="ja-JP"/>
        </w:rPr>
        <w:t>.</w:t>
      </w:r>
      <w:r>
        <w:rPr>
          <w:rFonts w:ascii="TimesNewRomanPSMT" w:hAnsi="TimesNewRomanPSMT" w:cs="TimesNewRomanPSMT" w:hint="eastAsia"/>
          <w:sz w:val="20"/>
          <w:szCs w:val="20"/>
          <w:lang w:eastAsia="ja-JP"/>
        </w:rPr>
        <w:t>5</w:t>
      </w:r>
      <w:r>
        <w:rPr>
          <w:rFonts w:ascii="TimesNewRomanPSMT" w:hAnsi="TimesNewRomanPSMT" w:cs="TimesNewRomanPSMT"/>
          <w:sz w:val="20"/>
          <w:szCs w:val="20"/>
          <w:lang w:eastAsia="ja-JP"/>
        </w:rPr>
        <w:t>.3.</w:t>
      </w:r>
      <w:r>
        <w:rPr>
          <w:rFonts w:ascii="TimesNewRomanPSMT" w:hAnsi="TimesNewRomanPSMT" w:cs="TimesNewRomanPSMT" w:hint="eastAsia"/>
          <w:sz w:val="20"/>
          <w:szCs w:val="20"/>
          <w:lang w:eastAsia="ja-JP"/>
        </w:rPr>
        <w:t>1</w:t>
      </w:r>
      <w:r>
        <w:rPr>
          <w:rFonts w:ascii="TimesNewRomanPSMT" w:hAnsi="TimesNewRomanPSMT" w:cs="TimesNewRomanPSMT"/>
          <w:sz w:val="20"/>
          <w:szCs w:val="20"/>
          <w:lang w:eastAsia="ja-JP"/>
        </w:rPr>
        <w:t>.</w:t>
      </w:r>
      <w:r>
        <w:rPr>
          <w:rFonts w:ascii="TimesNewRomanPSMT" w:hAnsi="TimesNewRomanPSMT" w:cs="TimesNewRomanPSMT" w:hint="eastAsia"/>
          <w:sz w:val="20"/>
          <w:szCs w:val="20"/>
          <w:lang w:eastAsia="ja-JP"/>
        </w:rPr>
        <w:t>2</w:t>
      </w:r>
      <w:r w:rsidR="00512166">
        <w:rPr>
          <w:rFonts w:ascii="TimesNewRomanPSMT" w:hAnsi="TimesNewRomanPSMT" w:cs="TimesNewRomanPSMT"/>
          <w:sz w:val="20"/>
          <w:szCs w:val="20"/>
          <w:lang w:eastAsia="ja-JP"/>
        </w:rPr>
        <w:t xml:space="preserve"> as follows:</w:t>
      </w:r>
    </w:p>
    <w:p w:rsidR="00512166" w:rsidRDefault="00512166" w:rsidP="00512166">
      <w:pPr>
        <w:autoSpaceDE w:val="0"/>
        <w:autoSpaceDN w:val="0"/>
        <w:adjustRightInd w:val="0"/>
        <w:rPr>
          <w:rFonts w:ascii="TimesNewRomanPSMT" w:hAnsi="TimesNewRomanPSMT" w:cs="TimesNewRomanPSMT"/>
          <w:sz w:val="20"/>
          <w:szCs w:val="20"/>
          <w:lang w:eastAsia="ja-JP"/>
        </w:rPr>
      </w:pPr>
    </w:p>
    <w:p w:rsidR="00512166" w:rsidRDefault="00B22E6D" w:rsidP="00512166">
      <w:pPr>
        <w:widowControl w:val="0"/>
        <w:autoSpaceDE w:val="0"/>
        <w:autoSpaceDN w:val="0"/>
        <w:adjustRightInd w:val="0"/>
        <w:rPr>
          <w:rFonts w:ascii="Arial-BoldMT" w:hAnsi="Arial-BoldMT" w:cs="Arial-BoldMT"/>
          <w:b/>
          <w:bCs/>
          <w:sz w:val="20"/>
          <w:szCs w:val="20"/>
          <w:lang w:eastAsia="ja-JP"/>
        </w:rPr>
      </w:pPr>
      <w:r>
        <w:rPr>
          <w:rFonts w:ascii="Arial-BoldMT" w:hAnsi="Arial-BoldMT" w:cs="Arial-BoldMT" w:hint="eastAsia"/>
          <w:b/>
          <w:bCs/>
          <w:sz w:val="20"/>
          <w:szCs w:val="20"/>
          <w:lang w:eastAsia="ja-JP"/>
        </w:rPr>
        <w:t>9</w:t>
      </w:r>
      <w:r>
        <w:rPr>
          <w:rFonts w:ascii="Arial-BoldMT" w:hAnsi="Arial-BoldMT" w:cs="Arial-BoldMT"/>
          <w:b/>
          <w:bCs/>
          <w:sz w:val="20"/>
          <w:szCs w:val="20"/>
          <w:lang w:eastAsia="ja-JP"/>
        </w:rPr>
        <w:t>.</w:t>
      </w:r>
      <w:r>
        <w:rPr>
          <w:rFonts w:ascii="Arial-BoldMT" w:hAnsi="Arial-BoldMT" w:cs="Arial-BoldMT" w:hint="eastAsia"/>
          <w:b/>
          <w:bCs/>
          <w:sz w:val="20"/>
          <w:szCs w:val="20"/>
          <w:lang w:eastAsia="ja-JP"/>
        </w:rPr>
        <w:t>5</w:t>
      </w:r>
      <w:r>
        <w:rPr>
          <w:rFonts w:ascii="Arial-BoldMT" w:hAnsi="Arial-BoldMT" w:cs="Arial-BoldMT"/>
          <w:b/>
          <w:bCs/>
          <w:sz w:val="20"/>
          <w:szCs w:val="20"/>
          <w:lang w:eastAsia="ja-JP"/>
        </w:rPr>
        <w:t>.3.</w:t>
      </w:r>
      <w:r>
        <w:rPr>
          <w:rFonts w:ascii="Arial-BoldMT" w:hAnsi="Arial-BoldMT" w:cs="Arial-BoldMT" w:hint="eastAsia"/>
          <w:b/>
          <w:bCs/>
          <w:sz w:val="20"/>
          <w:szCs w:val="20"/>
          <w:lang w:eastAsia="ja-JP"/>
        </w:rPr>
        <w:t>1</w:t>
      </w:r>
      <w:r>
        <w:rPr>
          <w:rFonts w:ascii="Arial-BoldMT" w:hAnsi="Arial-BoldMT" w:cs="Arial-BoldMT"/>
          <w:b/>
          <w:bCs/>
          <w:sz w:val="20"/>
          <w:szCs w:val="20"/>
          <w:lang w:eastAsia="ja-JP"/>
        </w:rPr>
        <w:t>.</w:t>
      </w:r>
      <w:r>
        <w:rPr>
          <w:rFonts w:ascii="Arial-BoldMT" w:hAnsi="Arial-BoldMT" w:cs="Arial-BoldMT" w:hint="eastAsia"/>
          <w:b/>
          <w:bCs/>
          <w:sz w:val="20"/>
          <w:szCs w:val="20"/>
          <w:lang w:eastAsia="ja-JP"/>
        </w:rPr>
        <w:t>2</w:t>
      </w:r>
      <w:r w:rsidR="00512166">
        <w:rPr>
          <w:rFonts w:ascii="Arial-BoldMT" w:hAnsi="Arial-BoldMT" w:cs="Arial-BoldMT"/>
          <w:b/>
          <w:bCs/>
          <w:sz w:val="20"/>
          <w:szCs w:val="20"/>
          <w:lang w:eastAsia="ja-JP"/>
        </w:rPr>
        <w:t xml:space="preserve"> </w:t>
      </w:r>
      <w:r>
        <w:rPr>
          <w:rFonts w:ascii="Arial-BoldMT" w:hAnsi="Arial-BoldMT" w:cs="Arial-BoldMT"/>
          <w:b/>
          <w:bCs/>
          <w:sz w:val="20"/>
          <w:szCs w:val="20"/>
          <w:lang w:eastAsia="ja-JP"/>
        </w:rPr>
        <w:t>MIHF of a GMCS</w:t>
      </w:r>
    </w:p>
    <w:p w:rsidR="00EA313F" w:rsidRDefault="00EA313F" w:rsidP="00EA313F">
      <w:pPr>
        <w:widowControl w:val="0"/>
        <w:autoSpaceDE w:val="0"/>
        <w:autoSpaceDN w:val="0"/>
        <w:adjustRightInd w:val="0"/>
        <w:rPr>
          <w:rFonts w:ascii="TimesNewRomanPSMT" w:hAnsi="TimesNewRomanPSMT" w:cs="TimesNewRomanPSMT"/>
          <w:sz w:val="20"/>
          <w:szCs w:val="20"/>
          <w:lang w:eastAsia="ja-JP"/>
        </w:rPr>
      </w:pPr>
    </w:p>
    <w:p w:rsidR="00B22E6D" w:rsidRPr="00B22E6D" w:rsidRDefault="00B22E6D" w:rsidP="00B22E6D">
      <w:pPr>
        <w:widowControl w:val="0"/>
        <w:autoSpaceDE w:val="0"/>
        <w:autoSpaceDN w:val="0"/>
        <w:adjustRightInd w:val="0"/>
        <w:rPr>
          <w:rFonts w:ascii="TimesNewRomanPS-ItalicMT" w:hAnsi="TimesNewRomanPS-ItalicMT" w:cs="TimesNewRomanPS-ItalicMT"/>
          <w:i/>
          <w:iCs/>
          <w:strike/>
          <w:sz w:val="20"/>
          <w:szCs w:val="20"/>
          <w:lang w:eastAsia="ja-JP"/>
        </w:rPr>
      </w:pPr>
      <w:r w:rsidRPr="00B22E6D">
        <w:rPr>
          <w:rFonts w:ascii="TimesNewRomanPSMT" w:hAnsi="TimesNewRomanPSMT" w:cs="TimesNewRomanPSMT"/>
          <w:strike/>
          <w:sz w:val="20"/>
          <w:szCs w:val="20"/>
          <w:lang w:eastAsia="ja-JP"/>
        </w:rPr>
        <w:t xml:space="preserve">k) If a security association ID with respect to the DestinationIdentifier is stored in its own </w:t>
      </w:r>
      <w:r w:rsidRPr="00B22E6D">
        <w:rPr>
          <w:rFonts w:ascii="TimesNewRomanPS-ItalicMT" w:hAnsi="TimesNewRomanPS-ItalicMT" w:cs="TimesNewRomanPS-ItalicMT"/>
          <w:i/>
          <w:iCs/>
          <w:strike/>
          <w:sz w:val="20"/>
          <w:szCs w:val="20"/>
          <w:lang w:eastAsia="ja-JP"/>
        </w:rPr>
        <w:t>Recipient</w:t>
      </w:r>
      <w:r w:rsidRPr="00B22E6D">
        <w:rPr>
          <w:rFonts w:ascii="TimesNewRomanPSMT" w:hAnsi="TimesNewRomanPSMT" w:cs="TimesNewRomanPSMT"/>
          <w:strike/>
          <w:lang w:eastAsia="ja-JP"/>
        </w:rPr>
        <w:t xml:space="preserve"> </w:t>
      </w:r>
      <w:r w:rsidRPr="00B22E6D">
        <w:rPr>
          <w:rFonts w:ascii="TimesNewRomanPS-ItalicMT" w:hAnsi="TimesNewRomanPS-ItalicMT" w:cs="TimesNewRomanPS-ItalicMT"/>
          <w:i/>
          <w:iCs/>
          <w:strike/>
          <w:sz w:val="20"/>
          <w:szCs w:val="20"/>
          <w:lang w:eastAsia="ja-JP"/>
        </w:rPr>
        <w:t>Information Base</w:t>
      </w:r>
      <w:r w:rsidRPr="00B22E6D">
        <w:rPr>
          <w:rFonts w:ascii="TimesNewRomanPSMT" w:hAnsi="TimesNewRomanPSMT" w:cs="TimesNewRomanPSMT"/>
          <w:strike/>
          <w:sz w:val="20"/>
          <w:szCs w:val="20"/>
          <w:lang w:eastAsia="ja-JP"/>
        </w:rPr>
        <w:t>, it encrypts Service Specific TLVs of this group manipulation command as shownin 9.6.4.</w:t>
      </w:r>
    </w:p>
    <w:p w:rsidR="00B22E6D" w:rsidRPr="00B22E6D" w:rsidRDefault="00B22E6D" w:rsidP="00B22E6D">
      <w:pPr>
        <w:widowControl w:val="0"/>
        <w:autoSpaceDE w:val="0"/>
        <w:autoSpaceDN w:val="0"/>
        <w:adjustRightInd w:val="0"/>
        <w:rPr>
          <w:rFonts w:ascii="TimesNewRomanPSMT" w:hAnsi="TimesNewRomanPSMT" w:cs="TimesNewRomanPSMT"/>
          <w:strike/>
          <w:sz w:val="20"/>
          <w:szCs w:val="20"/>
          <w:lang w:eastAsia="ja-JP"/>
        </w:rPr>
      </w:pPr>
      <w:r w:rsidRPr="00B22E6D">
        <w:rPr>
          <w:rFonts w:ascii="TimesNewRomanPSMT" w:hAnsi="TimesNewRomanPSMT" w:cs="TimesNewRomanPSMT"/>
          <w:strike/>
          <w:sz w:val="20"/>
          <w:szCs w:val="20"/>
          <w:lang w:eastAsia="ja-JP"/>
        </w:rPr>
        <w:t>l) Generate a Signature TLV as shown in 9.6.4 using the signing key of the MIHF.</w:t>
      </w:r>
    </w:p>
    <w:p w:rsidR="00EA313F" w:rsidRPr="00B22E6D" w:rsidRDefault="00B22E6D" w:rsidP="00B22E6D">
      <w:pPr>
        <w:widowControl w:val="0"/>
        <w:autoSpaceDE w:val="0"/>
        <w:autoSpaceDN w:val="0"/>
        <w:adjustRightInd w:val="0"/>
        <w:rPr>
          <w:rFonts w:ascii="TimesNewRomanPSMT" w:hAnsi="TimesNewRomanPSMT" w:cs="TimesNewRomanPSMT"/>
          <w:sz w:val="20"/>
          <w:szCs w:val="20"/>
          <w:lang w:eastAsia="ja-JP"/>
        </w:rPr>
      </w:pPr>
      <w:r w:rsidRPr="00B22E6D">
        <w:rPr>
          <w:rFonts w:ascii="TimesNewRomanPSMT" w:hAnsi="TimesNewRomanPSMT" w:cs="TimesNewRomanPSMT"/>
          <w:strike/>
          <w:sz w:val="20"/>
          <w:szCs w:val="20"/>
          <w:lang w:eastAsia="ja-JP"/>
        </w:rPr>
        <w:t>m</w:t>
      </w:r>
      <w:r w:rsidRPr="00877DE3">
        <w:rPr>
          <w:rFonts w:ascii="TimesNewRomanPSMT" w:hAnsi="TimesNewRomanPSMT" w:cs="TimesNewRomanPSMT" w:hint="eastAsia"/>
          <w:color w:val="0070C0"/>
          <w:sz w:val="20"/>
          <w:szCs w:val="20"/>
          <w:lang w:eastAsia="ja-JP"/>
        </w:rPr>
        <w:t>k</w:t>
      </w:r>
      <w:r>
        <w:rPr>
          <w:rFonts w:ascii="TimesNewRomanPSMT" w:hAnsi="TimesNewRomanPSMT" w:cs="TimesNewRomanPSMT"/>
          <w:sz w:val="20"/>
          <w:szCs w:val="20"/>
          <w:lang w:eastAsia="ja-JP"/>
        </w:rPr>
        <w:t xml:space="preserve">) If ResponseFlag=0, generate an MIH_Net_Group_Manipulate indication using the preceding </w:t>
      </w:r>
      <w:r>
        <w:rPr>
          <w:rFonts w:ascii="TimesNewRomanPSMT" w:hAnsi="TimesNewRomanPSMT" w:cs="TimesNewRomanPSMT"/>
          <w:sz w:val="20"/>
          <w:szCs w:val="20"/>
          <w:lang w:eastAsia="ja-JP"/>
        </w:rPr>
        <w:lastRenderedPageBreak/>
        <w:t>TLVs,</w:t>
      </w:r>
      <w:r>
        <w:rPr>
          <w:rFonts w:ascii="TimesNewRomanPSMT" w:hAnsi="TimesNewRomanPSMT" w:cs="TimesNewRomanPSMT"/>
          <w:lang w:eastAsia="ja-JP"/>
        </w:rPr>
        <w:t xml:space="preserve"> </w:t>
      </w:r>
      <w:r>
        <w:rPr>
          <w:rFonts w:ascii="TimesNewRomanPSMT" w:hAnsi="TimesNewRomanPSMT" w:cs="TimesNewRomanPSMT"/>
          <w:sz w:val="20"/>
          <w:szCs w:val="20"/>
          <w:lang w:eastAsia="ja-JP"/>
        </w:rPr>
        <w:t>else generate an MIH_Net_Group_Manipulate request using the preceding TLVs.</w:t>
      </w:r>
    </w:p>
    <w:p w:rsidR="00B22E6D" w:rsidRPr="00877DE3" w:rsidRDefault="00F47481" w:rsidP="00EA313F">
      <w:pPr>
        <w:widowControl w:val="0"/>
        <w:autoSpaceDE w:val="0"/>
        <w:autoSpaceDN w:val="0"/>
        <w:adjustRightInd w:val="0"/>
        <w:rPr>
          <w:rFonts w:ascii="Arial-BoldMT" w:hAnsi="Arial-BoldMT" w:cs="Arial-BoldMT"/>
          <w:bCs/>
          <w:color w:val="0070C0"/>
          <w:sz w:val="20"/>
          <w:szCs w:val="20"/>
          <w:lang w:eastAsia="ja-JP"/>
        </w:rPr>
      </w:pPr>
      <w:r w:rsidRPr="00877DE3">
        <w:rPr>
          <w:rFonts w:ascii="Arial-BoldMT" w:hAnsi="Arial-BoldMT" w:cs="Arial-BoldMT" w:hint="eastAsia"/>
          <w:bCs/>
          <w:color w:val="0070C0"/>
          <w:sz w:val="20"/>
          <w:szCs w:val="20"/>
          <w:lang w:eastAsia="ja-JP"/>
        </w:rPr>
        <w:t>l) Protect the MIH_Net_Group_Manipulate indication message or the MIH_Net_Group_Manipulate request message as shown in 9.6.2.</w:t>
      </w:r>
    </w:p>
    <w:p w:rsidR="00B22E6D" w:rsidRDefault="00B22E6D" w:rsidP="00EA313F">
      <w:pPr>
        <w:widowControl w:val="0"/>
        <w:autoSpaceDE w:val="0"/>
        <w:autoSpaceDN w:val="0"/>
        <w:adjustRightInd w:val="0"/>
        <w:rPr>
          <w:rFonts w:ascii="Arial-BoldMT" w:hAnsi="Arial-BoldMT" w:cs="Arial-BoldMT"/>
          <w:bCs/>
          <w:sz w:val="20"/>
          <w:szCs w:val="20"/>
          <w:lang w:eastAsia="ja-JP"/>
        </w:rPr>
      </w:pPr>
    </w:p>
    <w:p w:rsidR="00F47481" w:rsidRDefault="00F47481" w:rsidP="00F47481">
      <w:pPr>
        <w:widowControl w:val="0"/>
        <w:autoSpaceDE w:val="0"/>
        <w:autoSpaceDN w:val="0"/>
        <w:adjustRightInd w:val="0"/>
        <w:rPr>
          <w:rFonts w:ascii="Arial-BoldMT" w:hAnsi="Arial-BoldMT" w:cs="Arial-BoldMT"/>
          <w:bCs/>
          <w:sz w:val="20"/>
          <w:szCs w:val="20"/>
          <w:lang w:eastAsia="ja-JP"/>
        </w:rPr>
      </w:pPr>
      <w:r>
        <w:rPr>
          <w:rFonts w:ascii="Arial-BoldMT" w:hAnsi="Arial-BoldMT" w:cs="Arial-BoldMT"/>
          <w:bCs/>
          <w:sz w:val="20"/>
          <w:szCs w:val="20"/>
          <w:lang w:eastAsia="ja-JP"/>
        </w:rPr>
        <w:t xml:space="preserve">[2] Change </w:t>
      </w:r>
      <w:r>
        <w:rPr>
          <w:rFonts w:ascii="Arial-BoldMT" w:hAnsi="Arial-BoldMT" w:cs="Arial-BoldMT" w:hint="eastAsia"/>
          <w:bCs/>
          <w:sz w:val="20"/>
          <w:szCs w:val="20"/>
          <w:lang w:eastAsia="ja-JP"/>
        </w:rPr>
        <w:t>Figure 40</w:t>
      </w:r>
      <w:r>
        <w:rPr>
          <w:rFonts w:ascii="Arial-BoldMT" w:hAnsi="Arial-BoldMT" w:cs="Arial-BoldMT"/>
          <w:bCs/>
          <w:sz w:val="20"/>
          <w:szCs w:val="20"/>
          <w:lang w:eastAsia="ja-JP"/>
        </w:rPr>
        <w:t xml:space="preserve"> as follows:</w:t>
      </w:r>
    </w:p>
    <w:p w:rsidR="00F47481" w:rsidRDefault="00EB2F63" w:rsidP="00EA313F">
      <w:pPr>
        <w:widowControl w:val="0"/>
        <w:autoSpaceDE w:val="0"/>
        <w:autoSpaceDN w:val="0"/>
        <w:adjustRightInd w:val="0"/>
        <w:rPr>
          <w:rFonts w:ascii="Arial-BoldMT" w:hAnsi="Arial-BoldMT" w:cs="Arial-BoldMT"/>
          <w:bCs/>
          <w:sz w:val="20"/>
          <w:szCs w:val="20"/>
          <w:lang w:eastAsia="ja-JP"/>
        </w:rPr>
      </w:pPr>
      <w:r>
        <w:rPr>
          <w:rFonts w:ascii="Arial-BoldMT" w:hAnsi="Arial-BoldMT" w:cs="Arial-BoldMT"/>
          <w:bCs/>
          <w:noProof/>
          <w:sz w:val="20"/>
          <w:szCs w:val="20"/>
          <w:lang w:eastAsia="ja-JP"/>
        </w:rPr>
        <w:pict>
          <v:shapetype id="_x0000_t32" coordsize="21600,21600" o:spt="32" o:oned="t" path="m,l21600,21600e" filled="f">
            <v:path arrowok="t" fillok="f" o:connecttype="none"/>
            <o:lock v:ext="edit" shapetype="t"/>
          </v:shapetype>
          <v:shape id="_x0000_s1036" type="#_x0000_t32" style="position:absolute;margin-left:259.5pt;margin-top:449.5pt;width:.75pt;height:60pt;flip:x;z-index:6" o:connectortype="straight" strokecolor="red"/>
        </w:pict>
      </w:r>
      <w:r>
        <w:rPr>
          <w:rFonts w:ascii="Arial-BoldMT" w:hAnsi="Arial-BoldMT" w:cs="Arial-BoldMT"/>
          <w:bCs/>
          <w:noProof/>
          <w:sz w:val="20"/>
          <w:szCs w:val="20"/>
          <w:lang w:eastAsia="ja-JP"/>
        </w:rPr>
        <w:pict>
          <v:shape id="_x0000_s1035" type="#_x0000_t32" style="position:absolute;margin-left:159pt;margin-top:487.75pt;width:.75pt;height:21.75pt;z-index:5" o:connectortype="straight" strokecolor="red"/>
        </w:pict>
      </w:r>
      <w:r>
        <w:rPr>
          <w:rFonts w:ascii="Arial-BoldMT" w:hAnsi="Arial-BoldMT" w:cs="Arial-BoldMT"/>
          <w:bCs/>
          <w:noProof/>
          <w:sz w:val="20"/>
          <w:szCs w:val="20"/>
          <w:lang w:eastAsia="ja-JP"/>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4" type="#_x0000_t61" style="position:absolute;margin-left:-77.25pt;margin-top:415pt;width:202.5pt;height:34.5pt;z-index:4" adj="21200,38410" strokecolor="red">
            <v:textbox style="mso-next-textbox:#_x0000_s1034" inset="5.85pt,.7pt,5.85pt,.7pt">
              <w:txbxContent>
                <w:p w:rsidR="00F47481" w:rsidRDefault="00F47481" w:rsidP="00F47481">
                  <w:pPr>
                    <w:rPr>
                      <w:lang w:eastAsia="ja-JP"/>
                    </w:rPr>
                  </w:pPr>
                  <w:r>
                    <w:rPr>
                      <w:rFonts w:hint="eastAsia"/>
                      <w:lang w:eastAsia="ja-JP"/>
                    </w:rPr>
                    <w:t xml:space="preserve">Change to </w:t>
                  </w:r>
                  <w:r>
                    <w:rPr>
                      <w:lang w:eastAsia="ja-JP"/>
                    </w:rPr>
                    <w:t>“</w:t>
                  </w:r>
                  <w:r>
                    <w:rPr>
                      <w:rFonts w:hint="eastAsia"/>
                      <w:lang w:eastAsia="ja-JP"/>
                    </w:rPr>
                    <w:t>Generate MIH_Group_Manipulate indication</w:t>
                  </w:r>
                  <w:r>
                    <w:rPr>
                      <w:lang w:eastAsia="ja-JP"/>
                    </w:rPr>
                    <w:t>”</w:t>
                  </w:r>
                </w:p>
              </w:txbxContent>
            </v:textbox>
          </v:shape>
        </w:pict>
      </w:r>
      <w:r>
        <w:rPr>
          <w:rFonts w:ascii="Arial-BoldMT" w:hAnsi="Arial-BoldMT" w:cs="Arial-BoldMT"/>
          <w:bCs/>
          <w:noProof/>
          <w:sz w:val="20"/>
          <w:szCs w:val="20"/>
          <w:lang w:eastAsia="ja-JP"/>
        </w:rPr>
        <w:pict>
          <v:shape id="_x0000_s1032" type="#_x0000_t61" style="position:absolute;margin-left:240pt;margin-top:380.5pt;width:228.75pt;height:34.5pt;z-index:3" adj="1841,33245" strokecolor="red">
            <v:textbox style="mso-next-textbox:#_x0000_s1032" inset="5.85pt,.7pt,5.85pt,.7pt">
              <w:txbxContent>
                <w:p w:rsidR="00F47481" w:rsidRDefault="00F47481">
                  <w:pPr>
                    <w:rPr>
                      <w:lang w:eastAsia="ja-JP"/>
                    </w:rPr>
                  </w:pPr>
                  <w:r>
                    <w:rPr>
                      <w:rFonts w:hint="eastAsia"/>
                      <w:lang w:eastAsia="ja-JP"/>
                    </w:rPr>
                    <w:t xml:space="preserve">Change to </w:t>
                  </w:r>
                  <w:r>
                    <w:rPr>
                      <w:lang w:eastAsia="ja-JP"/>
                    </w:rPr>
                    <w:t>“</w:t>
                  </w:r>
                  <w:r>
                    <w:rPr>
                      <w:rFonts w:hint="eastAsia"/>
                      <w:lang w:eastAsia="ja-JP"/>
                    </w:rPr>
                    <w:t>Generate MIH_Group_Manipulate request</w:t>
                  </w:r>
                  <w:r>
                    <w:rPr>
                      <w:lang w:eastAsia="ja-JP"/>
                    </w:rPr>
                    <w:t>”</w:t>
                  </w:r>
                </w:p>
              </w:txbxContent>
            </v:textbox>
          </v:shape>
        </w:pict>
      </w:r>
      <w:r>
        <w:rPr>
          <w:rFonts w:ascii="Arial-BoldMT" w:hAnsi="Arial-BoldMT" w:cs="Arial-BoldMT"/>
          <w:bCs/>
          <w:noProof/>
          <w:sz w:val="20"/>
          <w:szCs w:val="20"/>
          <w:lang w:eastAsia="ja-JP"/>
        </w:rPr>
        <w:pict>
          <v:shape id="_x0000_s1031" type="#_x0000_t32" style="position:absolute;margin-left:101.25pt;margin-top:392.5pt;width:113.25pt;height:0;z-index:2" o:connectortype="straight" strokecolor="red"/>
        </w:pict>
      </w:r>
      <w:r>
        <w:rPr>
          <w:rFonts w:ascii="Arial-BoldMT" w:hAnsi="Arial-BoldMT" w:cs="Arial-BoldMT"/>
          <w:bCs/>
          <w:noProof/>
          <w:sz w:val="20"/>
          <w:szCs w:val="20"/>
          <w:lang w:eastAsia="ja-JP"/>
        </w:rPr>
        <w:pict>
          <v:shape id="_x0000_s1030" type="#_x0000_t32" style="position:absolute;margin-left:101.25pt;margin-top:388pt;width:113.25pt;height:0;z-index:1" o:connectortype="straight" strokecolor="red"/>
        </w:pict>
      </w:r>
      <w:r w:rsidR="004E1E58">
        <w:rPr>
          <w:rFonts w:ascii="Arial-BoldMT" w:hAnsi="Arial-BoldMT" w:cs="Arial-BoldMT"/>
          <w:bCs/>
          <w:sz w:val="20"/>
          <w:szCs w:val="20"/>
          <w:lang w:eastAsia="ja-JP"/>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5pt;height:489.75pt">
            <v:imagedata r:id="rId13" o:title=""/>
          </v:shape>
        </w:pict>
      </w:r>
    </w:p>
    <w:p w:rsidR="00F47481" w:rsidRPr="00F47481" w:rsidRDefault="00F47481" w:rsidP="00EA313F">
      <w:pPr>
        <w:widowControl w:val="0"/>
        <w:autoSpaceDE w:val="0"/>
        <w:autoSpaceDN w:val="0"/>
        <w:adjustRightInd w:val="0"/>
        <w:rPr>
          <w:rFonts w:ascii="Arial-BoldMT" w:hAnsi="Arial-BoldMT" w:cs="Arial-BoldMT"/>
          <w:bCs/>
          <w:sz w:val="20"/>
          <w:szCs w:val="20"/>
          <w:lang w:eastAsia="ja-JP"/>
        </w:rPr>
      </w:pPr>
    </w:p>
    <w:p w:rsidR="00F47481" w:rsidRDefault="00EB2F63" w:rsidP="00EA313F">
      <w:pPr>
        <w:widowControl w:val="0"/>
        <w:autoSpaceDE w:val="0"/>
        <w:autoSpaceDN w:val="0"/>
        <w:adjustRightInd w:val="0"/>
        <w:rPr>
          <w:rFonts w:ascii="Arial-BoldMT" w:hAnsi="Arial-BoldMT" w:cs="Arial-BoldMT"/>
          <w:bCs/>
          <w:sz w:val="20"/>
          <w:szCs w:val="20"/>
          <w:lang w:eastAsia="ja-JP"/>
        </w:rPr>
      </w:pPr>
      <w:r>
        <w:rPr>
          <w:rFonts w:ascii="Arial-BoldMT" w:hAnsi="Arial-BoldMT" w:cs="Arial-BoldMT"/>
          <w:bCs/>
          <w:noProof/>
          <w:sz w:val="20"/>
          <w:szCs w:val="20"/>
          <w:lang w:eastAsia="ja-JP"/>
        </w:rPr>
        <w:pict>
          <v:shape id="_x0000_s1038" type="#_x0000_t32" style="position:absolute;margin-left:214.5pt;margin-top:8.15pt;width:0;height:24pt;z-index:8" o:connectortype="straight" strokecolor="red">
            <v:stroke endarrow="block"/>
          </v:shape>
        </w:pict>
      </w:r>
      <w:r>
        <w:rPr>
          <w:rFonts w:ascii="Arial-BoldMT" w:hAnsi="Arial-BoldMT" w:cs="Arial-BoldMT"/>
          <w:bCs/>
          <w:noProof/>
          <w:sz w:val="20"/>
          <w:szCs w:val="20"/>
          <w:lang w:eastAsia="ja-JP"/>
        </w:rPr>
        <w:pict>
          <v:shape id="_x0000_s1037" type="#_x0000_t32" style="position:absolute;margin-left:159.75pt;margin-top:8.15pt;width:100.5pt;height:0;z-index:7" o:connectortype="straight" strokecolor="red"/>
        </w:pict>
      </w:r>
    </w:p>
    <w:p w:rsidR="00F47481" w:rsidRDefault="00F47481" w:rsidP="00EA313F">
      <w:pPr>
        <w:widowControl w:val="0"/>
        <w:autoSpaceDE w:val="0"/>
        <w:autoSpaceDN w:val="0"/>
        <w:adjustRightInd w:val="0"/>
        <w:rPr>
          <w:rFonts w:ascii="Arial-BoldMT" w:hAnsi="Arial-BoldMT" w:cs="Arial-BoldMT"/>
          <w:bCs/>
          <w:sz w:val="20"/>
          <w:szCs w:val="20"/>
          <w:lang w:eastAsia="ja-JP"/>
        </w:rPr>
      </w:pPr>
    </w:p>
    <w:p w:rsidR="00F47481" w:rsidRPr="00877DE3" w:rsidRDefault="00EB2F63" w:rsidP="00EA313F">
      <w:pPr>
        <w:widowControl w:val="0"/>
        <w:autoSpaceDE w:val="0"/>
        <w:autoSpaceDN w:val="0"/>
        <w:adjustRightInd w:val="0"/>
        <w:rPr>
          <w:rFonts w:ascii="Arial-BoldMT" w:hAnsi="Arial-BoldMT" w:cs="Arial-BoldMT"/>
          <w:bCs/>
          <w:color w:val="FF0000"/>
          <w:sz w:val="20"/>
          <w:szCs w:val="20"/>
          <w:lang w:eastAsia="ja-JP"/>
        </w:rPr>
      </w:pPr>
      <w:r>
        <w:rPr>
          <w:rFonts w:ascii="Arial-BoldMT" w:hAnsi="Arial-BoldMT" w:cs="Arial-BoldMT"/>
          <w:bCs/>
          <w:noProof/>
          <w:color w:val="FF0000"/>
          <w:sz w:val="20"/>
          <w:szCs w:val="20"/>
          <w:lang w:eastAsia="ja-JP"/>
        </w:rPr>
        <w:pict>
          <v:shapetype id="_x0000_t202" coordsize="21600,21600" o:spt="202" path="m,l,21600r21600,l21600,xe">
            <v:stroke joinstyle="miter"/>
            <v:path gradientshapeok="t" o:connecttype="rect"/>
          </v:shapetype>
          <v:shape id="_x0000_s1040" type="#_x0000_t202" style="position:absolute;margin-left:159.75pt;margin-top:9.15pt;width:113.25pt;height:15pt;z-index:9" strokecolor="red">
            <v:textbox inset="5.85pt,.7pt,5.85pt,.7pt">
              <w:txbxContent>
                <w:p w:rsidR="00877DE3" w:rsidRPr="00877DE3" w:rsidRDefault="00877DE3">
                  <w:pPr>
                    <w:rPr>
                      <w:color w:val="0070C0"/>
                      <w:lang w:eastAsia="ja-JP"/>
                    </w:rPr>
                  </w:pPr>
                  <w:r w:rsidRPr="00877DE3">
                    <w:rPr>
                      <w:rFonts w:hint="eastAsia"/>
                      <w:color w:val="0070C0"/>
                      <w:lang w:eastAsia="ja-JP"/>
                    </w:rPr>
                    <w:t>Protect the message</w:t>
                  </w:r>
                </w:p>
              </w:txbxContent>
            </v:textbox>
          </v:shape>
        </w:pict>
      </w:r>
    </w:p>
    <w:p w:rsidR="00F47481" w:rsidRPr="00877DE3" w:rsidRDefault="00F47481" w:rsidP="00EA313F">
      <w:pPr>
        <w:widowControl w:val="0"/>
        <w:autoSpaceDE w:val="0"/>
        <w:autoSpaceDN w:val="0"/>
        <w:adjustRightInd w:val="0"/>
        <w:rPr>
          <w:rFonts w:ascii="Arial-BoldMT" w:hAnsi="Arial-BoldMT" w:cs="Arial-BoldMT"/>
          <w:bCs/>
          <w:color w:val="FF0000"/>
          <w:sz w:val="20"/>
          <w:szCs w:val="20"/>
          <w:lang w:eastAsia="ja-JP"/>
        </w:rPr>
      </w:pPr>
    </w:p>
    <w:p w:rsidR="00F47481" w:rsidRPr="00877DE3" w:rsidRDefault="00EB2F63" w:rsidP="00EA313F">
      <w:pPr>
        <w:widowControl w:val="0"/>
        <w:autoSpaceDE w:val="0"/>
        <w:autoSpaceDN w:val="0"/>
        <w:adjustRightInd w:val="0"/>
        <w:rPr>
          <w:rFonts w:ascii="Arial-BoldMT" w:hAnsi="Arial-BoldMT" w:cs="Arial-BoldMT"/>
          <w:bCs/>
          <w:color w:val="FF0000"/>
          <w:sz w:val="20"/>
          <w:szCs w:val="20"/>
          <w:lang w:eastAsia="ja-JP"/>
        </w:rPr>
      </w:pPr>
      <w:r>
        <w:rPr>
          <w:rFonts w:ascii="Arial-BoldMT" w:hAnsi="Arial-BoldMT" w:cs="Arial-BoldMT"/>
          <w:bCs/>
          <w:noProof/>
          <w:color w:val="FF0000"/>
          <w:sz w:val="20"/>
          <w:szCs w:val="20"/>
          <w:lang w:eastAsia="ja-JP"/>
        </w:rPr>
        <w:pict>
          <v:shape id="_x0000_s1041" type="#_x0000_t32" style="position:absolute;margin-left:214.5pt;margin-top:1.15pt;width:0;height:16.5pt;z-index:10" o:connectortype="straight" strokecolor="red">
            <v:stroke endarrow="block"/>
          </v:shape>
        </w:pict>
      </w:r>
    </w:p>
    <w:p w:rsidR="00F47481" w:rsidRDefault="00EB2F63" w:rsidP="00EA313F">
      <w:pPr>
        <w:widowControl w:val="0"/>
        <w:autoSpaceDE w:val="0"/>
        <w:autoSpaceDN w:val="0"/>
        <w:adjustRightInd w:val="0"/>
        <w:rPr>
          <w:rFonts w:ascii="Arial-BoldMT" w:hAnsi="Arial-BoldMT" w:cs="Arial-BoldMT"/>
          <w:bCs/>
          <w:sz w:val="20"/>
          <w:szCs w:val="20"/>
          <w:lang w:eastAsia="ja-JP"/>
        </w:rPr>
      </w:pPr>
      <w:r>
        <w:rPr>
          <w:rFonts w:ascii="Arial-BoldMT" w:hAnsi="Arial-BoldMT" w:cs="Arial-BoldMT"/>
          <w:bCs/>
          <w:noProof/>
          <w:color w:val="FF0000"/>
          <w:sz w:val="20"/>
          <w:szCs w:val="20"/>
          <w:lang w:eastAsia="ja-JP"/>
        </w:rPr>
        <w:pict>
          <v:shape id="_x0000_s1042" type="#_x0000_t202" style="position:absolute;margin-left:159pt;margin-top:6.15pt;width:113.25pt;height:15pt;z-index:11" strokecolor="red">
            <v:textbox inset="5.85pt,.7pt,5.85pt,.7pt">
              <w:txbxContent>
                <w:p w:rsidR="00877DE3" w:rsidRPr="00877DE3" w:rsidRDefault="00877DE3" w:rsidP="00877DE3">
                  <w:pPr>
                    <w:rPr>
                      <w:color w:val="0070C0"/>
                      <w:lang w:eastAsia="ja-JP"/>
                    </w:rPr>
                  </w:pPr>
                  <w:r w:rsidRPr="00877DE3">
                    <w:rPr>
                      <w:rFonts w:hint="eastAsia"/>
                      <w:color w:val="0070C0"/>
                      <w:lang w:eastAsia="ja-JP"/>
                    </w:rPr>
                    <w:t>Send the message</w:t>
                  </w:r>
                </w:p>
              </w:txbxContent>
            </v:textbox>
          </v:shape>
        </w:pict>
      </w:r>
    </w:p>
    <w:p w:rsidR="00F47481" w:rsidRPr="00F47481" w:rsidRDefault="00F47481" w:rsidP="00EA313F">
      <w:pPr>
        <w:widowControl w:val="0"/>
        <w:autoSpaceDE w:val="0"/>
        <w:autoSpaceDN w:val="0"/>
        <w:adjustRightInd w:val="0"/>
        <w:rPr>
          <w:rFonts w:ascii="Arial-BoldMT" w:hAnsi="Arial-BoldMT" w:cs="Arial-BoldMT"/>
          <w:bCs/>
          <w:sz w:val="20"/>
          <w:szCs w:val="20"/>
          <w:lang w:eastAsia="ja-JP"/>
        </w:rPr>
      </w:pPr>
    </w:p>
    <w:p w:rsidR="00EA313F" w:rsidRDefault="00877DE3" w:rsidP="00EA313F">
      <w:pPr>
        <w:widowControl w:val="0"/>
        <w:autoSpaceDE w:val="0"/>
        <w:autoSpaceDN w:val="0"/>
        <w:adjustRightInd w:val="0"/>
        <w:rPr>
          <w:rFonts w:ascii="Arial-BoldMT" w:hAnsi="Arial-BoldMT" w:cs="Arial-BoldMT"/>
          <w:bCs/>
          <w:sz w:val="20"/>
          <w:szCs w:val="20"/>
          <w:lang w:eastAsia="ja-JP"/>
        </w:rPr>
      </w:pPr>
      <w:r>
        <w:rPr>
          <w:rFonts w:ascii="Arial-BoldMT" w:hAnsi="Arial-BoldMT" w:cs="Arial-BoldMT"/>
          <w:bCs/>
          <w:sz w:val="20"/>
          <w:szCs w:val="20"/>
          <w:lang w:eastAsia="ja-JP"/>
        </w:rPr>
        <w:lastRenderedPageBreak/>
        <w:t>[</w:t>
      </w:r>
      <w:r>
        <w:rPr>
          <w:rFonts w:ascii="Arial-BoldMT" w:hAnsi="Arial-BoldMT" w:cs="Arial-BoldMT" w:hint="eastAsia"/>
          <w:bCs/>
          <w:sz w:val="20"/>
          <w:szCs w:val="20"/>
          <w:lang w:eastAsia="ja-JP"/>
        </w:rPr>
        <w:t>3</w:t>
      </w:r>
      <w:r>
        <w:rPr>
          <w:rFonts w:ascii="Arial-BoldMT" w:hAnsi="Arial-BoldMT" w:cs="Arial-BoldMT"/>
          <w:bCs/>
          <w:sz w:val="20"/>
          <w:szCs w:val="20"/>
          <w:lang w:eastAsia="ja-JP"/>
        </w:rPr>
        <w:t xml:space="preserve">] Change </w:t>
      </w:r>
      <w:r>
        <w:rPr>
          <w:rFonts w:ascii="Arial-BoldMT" w:hAnsi="Arial-BoldMT" w:cs="Arial-BoldMT" w:hint="eastAsia"/>
          <w:bCs/>
          <w:sz w:val="20"/>
          <w:szCs w:val="20"/>
          <w:lang w:eastAsia="ja-JP"/>
        </w:rPr>
        <w:t>9.6.2</w:t>
      </w:r>
      <w:r w:rsidR="00EA313F">
        <w:rPr>
          <w:rFonts w:ascii="Arial-BoldMT" w:hAnsi="Arial-BoldMT" w:cs="Arial-BoldMT"/>
          <w:bCs/>
          <w:sz w:val="20"/>
          <w:szCs w:val="20"/>
          <w:lang w:eastAsia="ja-JP"/>
        </w:rPr>
        <w:t xml:space="preserve"> as follows:</w:t>
      </w:r>
    </w:p>
    <w:p w:rsidR="00EA313F" w:rsidRDefault="00EA313F" w:rsidP="00EA313F">
      <w:pPr>
        <w:widowControl w:val="0"/>
        <w:autoSpaceDE w:val="0"/>
        <w:autoSpaceDN w:val="0"/>
        <w:adjustRightInd w:val="0"/>
        <w:rPr>
          <w:rFonts w:ascii="Arial-BoldMT" w:hAnsi="Arial-BoldMT" w:cs="Arial-BoldMT"/>
          <w:bCs/>
          <w:sz w:val="20"/>
          <w:szCs w:val="20"/>
          <w:lang w:eastAsia="ja-JP"/>
        </w:rPr>
      </w:pPr>
    </w:p>
    <w:p w:rsidR="00877DE3" w:rsidRDefault="00877DE3" w:rsidP="00877DE3">
      <w:pPr>
        <w:widowControl w:val="0"/>
        <w:autoSpaceDE w:val="0"/>
        <w:autoSpaceDN w:val="0"/>
        <w:adjustRightInd w:val="0"/>
        <w:rPr>
          <w:rFonts w:ascii="Arial-BoldMT" w:hAnsi="Arial-BoldMT" w:cs="Arial-BoldMT"/>
          <w:b/>
          <w:bCs/>
          <w:sz w:val="20"/>
          <w:szCs w:val="20"/>
          <w:lang w:eastAsia="ja-JP"/>
        </w:rPr>
      </w:pPr>
      <w:r>
        <w:rPr>
          <w:rFonts w:ascii="Arial-BoldMT" w:hAnsi="Arial-BoldMT" w:cs="Arial-BoldMT"/>
          <w:b/>
          <w:bCs/>
          <w:sz w:val="20"/>
          <w:szCs w:val="20"/>
          <w:lang w:eastAsia="ja-JP"/>
        </w:rPr>
        <w:t xml:space="preserve">9.6.2 Multicast message </w:t>
      </w:r>
      <w:r w:rsidRPr="007A25D8">
        <w:rPr>
          <w:rFonts w:ascii="Arial-BoldMT" w:hAnsi="Arial-BoldMT" w:cs="Arial-BoldMT"/>
          <w:b/>
          <w:bCs/>
          <w:strike/>
          <w:sz w:val="20"/>
          <w:szCs w:val="20"/>
          <w:lang w:eastAsia="ja-JP"/>
        </w:rPr>
        <w:t>encrypton</w:t>
      </w:r>
      <w:r w:rsidR="007A25D8" w:rsidRPr="007A25D8">
        <w:rPr>
          <w:rFonts w:ascii="Arial-BoldMT" w:hAnsi="Arial-BoldMT" w:cs="Arial-BoldMT" w:hint="eastAsia"/>
          <w:b/>
          <w:bCs/>
          <w:color w:val="0070C0"/>
          <w:sz w:val="20"/>
          <w:szCs w:val="20"/>
          <w:lang w:eastAsia="ja-JP"/>
        </w:rPr>
        <w:t xml:space="preserve"> protection</w:t>
      </w:r>
    </w:p>
    <w:p w:rsidR="00877DE3" w:rsidRDefault="00877DE3" w:rsidP="00877DE3">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sz w:val="20"/>
          <w:szCs w:val="20"/>
          <w:lang w:eastAsia="ja-JP"/>
        </w:rPr>
        <w:t>In order to send a multicast MIH request or MIH indication message, the MIH User of the command center</w:t>
      </w:r>
      <w:r>
        <w:rPr>
          <w:rFonts w:ascii="TimesNewRomanPSMT" w:hAnsi="TimesNewRomanPSMT" w:cs="TimesNewRomanPSMT"/>
          <w:lang w:eastAsia="ja-JP"/>
        </w:rPr>
        <w:t xml:space="preserve"> </w:t>
      </w:r>
      <w:r>
        <w:rPr>
          <w:rFonts w:ascii="TimesNewRomanPSMT" w:hAnsi="TimesNewRomanPSMT" w:cs="TimesNewRomanPSMT"/>
          <w:sz w:val="20"/>
          <w:szCs w:val="20"/>
          <w:lang w:eastAsia="ja-JP"/>
        </w:rPr>
        <w:t>generates a request primitive and delivers it to the local MIHF. Upon receiving the request, the MIHF of</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the command center behaves as follows:</w:t>
      </w:r>
    </w:p>
    <w:p w:rsidR="00877DE3" w:rsidRDefault="00877DE3" w:rsidP="00877DE3">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a) The MIHF generates a Source MIHF ID TLV based on its own MIHF ID.</w:t>
      </w:r>
    </w:p>
    <w:p w:rsidR="00877DE3" w:rsidRDefault="00877DE3" w:rsidP="00877DE3">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b) The MIHF generates a Destination MIHF ID TLV based on the DestinationIdentifier in the received</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request.</w:t>
      </w:r>
    </w:p>
    <w:p w:rsidR="00877DE3" w:rsidRDefault="00877DE3" w:rsidP="00877DE3">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c) The MIHF generates service specific TLVs based on the received request primitive.</w:t>
      </w:r>
    </w:p>
    <w:p w:rsidR="00877DE3" w:rsidRDefault="00877DE3" w:rsidP="00877DE3">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d) Consulting with the Multicast Address Information Base, the MIHF finds the multicast address</w:t>
      </w:r>
      <w:r>
        <w:rPr>
          <w:rFonts w:ascii="TimesNewRomanPSMT" w:hAnsi="TimesNewRomanPSMT" w:cs="TimesNewRomanPSMT" w:hint="eastAsia"/>
          <w:sz w:val="20"/>
          <w:szCs w:val="20"/>
          <w:lang w:eastAsia="ja-JP"/>
        </w:rPr>
        <w:t xml:space="preserve"> </w:t>
      </w:r>
      <w:r>
        <w:rPr>
          <w:rFonts w:ascii="TimesNewRomanPSMT" w:hAnsi="TimesNewRomanPSMT" w:cs="TimesNewRomanPSMT"/>
          <w:lang w:eastAsia="ja-JP"/>
        </w:rPr>
        <w:t xml:space="preserve"> </w:t>
      </w:r>
      <w:r>
        <w:rPr>
          <w:rFonts w:ascii="TimesNewRomanPSMT" w:hAnsi="TimesNewRomanPSMT" w:cs="TimesNewRomanPSMT"/>
          <w:sz w:val="20"/>
          <w:szCs w:val="20"/>
          <w:lang w:eastAsia="ja-JP"/>
        </w:rPr>
        <w:t>associated with the DestinationIdentifer in the received request.</w:t>
      </w:r>
    </w:p>
    <w:p w:rsidR="00877DE3" w:rsidRDefault="00877DE3" w:rsidP="00877DE3">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e) The MIHF generates an MIH request or indication message</w:t>
      </w:r>
      <w:r w:rsidRPr="007A25D8">
        <w:rPr>
          <w:rFonts w:ascii="TimesNewRomanPSMT" w:hAnsi="TimesNewRomanPSMT" w:cs="TimesNewRomanPSMT"/>
          <w:strike/>
          <w:sz w:val="20"/>
          <w:szCs w:val="20"/>
          <w:lang w:eastAsia="ja-JP"/>
        </w:rPr>
        <w:t>, and it sends the message to the multicast</w:t>
      </w:r>
      <w:r w:rsidRPr="007A25D8">
        <w:rPr>
          <w:rFonts w:ascii="TimesNewRomanPSMT" w:hAnsi="TimesNewRomanPSMT" w:cs="TimesNewRomanPSMT" w:hint="eastAsia"/>
          <w:strike/>
          <w:sz w:val="20"/>
          <w:szCs w:val="20"/>
          <w:lang w:eastAsia="ja-JP"/>
        </w:rPr>
        <w:t xml:space="preserve"> </w:t>
      </w:r>
      <w:r w:rsidRPr="007A25D8">
        <w:rPr>
          <w:rFonts w:ascii="TimesNewRomanPSMT" w:hAnsi="TimesNewRomanPSMT" w:cs="TimesNewRomanPSMT"/>
          <w:strike/>
          <w:sz w:val="20"/>
          <w:szCs w:val="20"/>
          <w:lang w:eastAsia="ja-JP"/>
        </w:rPr>
        <w:t>address found in Step d)</w:t>
      </w:r>
      <w:r>
        <w:rPr>
          <w:rFonts w:ascii="TimesNewRomanPSMT" w:hAnsi="TimesNewRomanPSMT" w:cs="TimesNewRomanPSMT"/>
          <w:sz w:val="20"/>
          <w:szCs w:val="20"/>
          <w:lang w:eastAsia="ja-JP"/>
        </w:rPr>
        <w:t>.</w:t>
      </w:r>
    </w:p>
    <w:p w:rsidR="00877DE3" w:rsidRDefault="00877DE3" w:rsidP="00877DE3">
      <w:pPr>
        <w:widowControl w:val="0"/>
        <w:autoSpaceDE w:val="0"/>
        <w:autoSpaceDN w:val="0"/>
        <w:adjustRightInd w:val="0"/>
        <w:ind w:firstLineChars="50" w:firstLine="12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 xml:space="preserve">1) The service specific TLVs may be encrypted </w:t>
      </w:r>
      <w:r w:rsidR="007A25D8">
        <w:rPr>
          <w:rFonts w:ascii="TimesNewRomanPSMT" w:hAnsi="TimesNewRomanPSMT" w:cs="TimesNewRomanPSMT" w:hint="eastAsia"/>
          <w:color w:val="0070C0"/>
          <w:sz w:val="20"/>
          <w:szCs w:val="20"/>
          <w:lang w:eastAsia="ja-JP"/>
        </w:rPr>
        <w:t>with</w:t>
      </w:r>
      <w:r w:rsidR="007A25D8" w:rsidRPr="007A25D8">
        <w:rPr>
          <w:rFonts w:ascii="TimesNewRomanPSMT" w:hAnsi="TimesNewRomanPSMT" w:cs="TimesNewRomanPSMT" w:hint="eastAsia"/>
          <w:color w:val="0070C0"/>
          <w:sz w:val="20"/>
          <w:szCs w:val="20"/>
          <w:lang w:eastAsia="ja-JP"/>
        </w:rPr>
        <w:t xml:space="preserve"> an MIGSK</w:t>
      </w:r>
      <w:r w:rsidR="007A25D8">
        <w:rPr>
          <w:rFonts w:ascii="TimesNewRomanPSMT" w:hAnsi="TimesNewRomanPSMT" w:cs="TimesNewRomanPSMT" w:hint="eastAsia"/>
          <w:color w:val="0070C0"/>
          <w:sz w:val="20"/>
          <w:szCs w:val="20"/>
          <w:lang w:eastAsia="ja-JP"/>
        </w:rPr>
        <w:t xml:space="preserve"> associated to the DestinationIdentifier</w:t>
      </w:r>
      <w:r w:rsidR="007A25D8">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to make a Security TLV if necessary in the scheme</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described in 8.4.2.</w:t>
      </w:r>
    </w:p>
    <w:p w:rsidR="007A25D8" w:rsidRPr="007A25D8" w:rsidRDefault="007A25D8" w:rsidP="007A25D8">
      <w:pPr>
        <w:widowControl w:val="0"/>
        <w:autoSpaceDE w:val="0"/>
        <w:autoSpaceDN w:val="0"/>
        <w:adjustRightInd w:val="0"/>
        <w:ind w:firstLineChars="50" w:firstLine="100"/>
        <w:rPr>
          <w:rFonts w:ascii="TimesNewRomanPSMT" w:hAnsi="TimesNewRomanPSMT" w:cs="TimesNewRomanPSMT"/>
          <w:color w:val="0070C0"/>
          <w:sz w:val="20"/>
          <w:szCs w:val="20"/>
          <w:lang w:eastAsia="ja-JP"/>
        </w:rPr>
      </w:pPr>
      <w:r w:rsidRPr="007A25D8">
        <w:rPr>
          <w:rFonts w:ascii="TimesNewRomanPSMT" w:hAnsi="TimesNewRomanPSMT" w:cs="TimesNewRomanPSMT" w:hint="eastAsia"/>
          <w:color w:val="0070C0"/>
          <w:sz w:val="20"/>
          <w:szCs w:val="20"/>
          <w:lang w:eastAsia="ja-JP"/>
        </w:rPr>
        <w:t xml:space="preserve"> 2)</w:t>
      </w:r>
      <w:r>
        <w:rPr>
          <w:rFonts w:ascii="TimesNewRomanPSMT" w:hAnsi="TimesNewRomanPSMT" w:cs="TimesNewRomanPSMT" w:hint="eastAsia"/>
          <w:color w:val="0070C0"/>
          <w:sz w:val="20"/>
          <w:szCs w:val="20"/>
          <w:lang w:eastAsia="ja-JP"/>
        </w:rPr>
        <w:t xml:space="preserve"> The signature TLV may be generated </w:t>
      </w:r>
      <w:r w:rsidRPr="007A25D8">
        <w:rPr>
          <w:rFonts w:ascii="TimesNewRomanPSMT" w:hAnsi="TimesNewRomanPSMT" w:cs="TimesNewRomanPSMT" w:hint="eastAsia"/>
          <w:color w:val="0070C0"/>
          <w:sz w:val="20"/>
          <w:szCs w:val="20"/>
          <w:lang w:eastAsia="ja-JP"/>
        </w:rPr>
        <w:t>a</w:t>
      </w:r>
      <w:r w:rsidRPr="007A25D8">
        <w:rPr>
          <w:rFonts w:ascii="TimesNewRomanPSMT" w:hAnsi="TimesNewRomanPSMT" w:cs="TimesNewRomanPSMT"/>
          <w:color w:val="0070C0"/>
          <w:sz w:val="20"/>
          <w:szCs w:val="20"/>
          <w:lang w:eastAsia="ja-JP"/>
        </w:rPr>
        <w:t>s shown in 9.6.4 using the signing key of the MIHF</w:t>
      </w:r>
      <w:r w:rsidRPr="007A25D8">
        <w:rPr>
          <w:rFonts w:ascii="TimesNewRomanPSMT" w:hAnsi="TimesNewRomanPSMT" w:cs="TimesNewRomanPSMT" w:hint="eastAsia"/>
          <w:color w:val="0070C0"/>
          <w:sz w:val="20"/>
          <w:szCs w:val="20"/>
          <w:lang w:eastAsia="ja-JP"/>
        </w:rPr>
        <w:t>.</w:t>
      </w:r>
    </w:p>
    <w:p w:rsidR="007A25D8" w:rsidRPr="007A25D8" w:rsidRDefault="007A25D8" w:rsidP="007A25D8">
      <w:pPr>
        <w:widowControl w:val="0"/>
        <w:autoSpaceDE w:val="0"/>
        <w:autoSpaceDN w:val="0"/>
        <w:adjustRightInd w:val="0"/>
        <w:ind w:firstLineChars="50" w:firstLine="100"/>
        <w:rPr>
          <w:rFonts w:ascii="TimesNewRomanPSMT" w:hAnsi="TimesNewRomanPSMT" w:cs="TimesNewRomanPSMT"/>
          <w:color w:val="0070C0"/>
          <w:sz w:val="20"/>
          <w:szCs w:val="20"/>
          <w:lang w:eastAsia="ja-JP"/>
        </w:rPr>
      </w:pPr>
      <w:r w:rsidRPr="007A25D8">
        <w:rPr>
          <w:rFonts w:ascii="TimesNewRomanPSMT" w:hAnsi="TimesNewRomanPSMT" w:cs="TimesNewRomanPSMT" w:hint="eastAsia"/>
          <w:color w:val="0070C0"/>
          <w:sz w:val="20"/>
          <w:szCs w:val="20"/>
          <w:lang w:eastAsia="ja-JP"/>
        </w:rPr>
        <w:t xml:space="preserve">f) </w:t>
      </w:r>
      <w:r w:rsidRPr="007A25D8">
        <w:rPr>
          <w:rFonts w:ascii="TimesNewRomanPSMT" w:hAnsi="TimesNewRomanPSMT" w:cs="TimesNewRomanPSMT"/>
          <w:color w:val="0070C0"/>
          <w:sz w:val="20"/>
          <w:szCs w:val="20"/>
          <w:lang w:eastAsia="ja-JP"/>
        </w:rPr>
        <w:t xml:space="preserve"> </w:t>
      </w:r>
      <w:r w:rsidRPr="007A25D8">
        <w:rPr>
          <w:rFonts w:ascii="TimesNewRomanPSMT" w:hAnsi="TimesNewRomanPSMT" w:cs="TimesNewRomanPSMT" w:hint="eastAsia"/>
          <w:color w:val="0070C0"/>
          <w:sz w:val="20"/>
          <w:szCs w:val="20"/>
          <w:lang w:eastAsia="ja-JP"/>
        </w:rPr>
        <w:t>The</w:t>
      </w:r>
      <w:r w:rsidRPr="007A25D8">
        <w:rPr>
          <w:rFonts w:ascii="TimesNewRomanPSMT" w:hAnsi="TimesNewRomanPSMT" w:cs="TimesNewRomanPSMT"/>
          <w:color w:val="0070C0"/>
          <w:sz w:val="20"/>
          <w:szCs w:val="20"/>
          <w:lang w:eastAsia="ja-JP"/>
        </w:rPr>
        <w:t xml:space="preserve"> </w:t>
      </w:r>
      <w:r w:rsidRPr="007A25D8">
        <w:rPr>
          <w:rFonts w:ascii="TimesNewRomanPSMT" w:hAnsi="TimesNewRomanPSMT" w:cs="TimesNewRomanPSMT" w:hint="eastAsia"/>
          <w:color w:val="0070C0"/>
          <w:sz w:val="20"/>
          <w:szCs w:val="20"/>
          <w:lang w:eastAsia="ja-JP"/>
        </w:rPr>
        <w:t xml:space="preserve">MIHF </w:t>
      </w:r>
      <w:r w:rsidRPr="007A25D8">
        <w:rPr>
          <w:rFonts w:ascii="TimesNewRomanPSMT" w:hAnsi="TimesNewRomanPSMT" w:cs="TimesNewRomanPSMT"/>
          <w:color w:val="0070C0"/>
          <w:sz w:val="20"/>
          <w:szCs w:val="20"/>
          <w:lang w:eastAsia="ja-JP"/>
        </w:rPr>
        <w:t>sends the message to the multicast</w:t>
      </w:r>
      <w:r w:rsidRPr="007A25D8">
        <w:rPr>
          <w:rFonts w:ascii="TimesNewRomanPSMT" w:hAnsi="TimesNewRomanPSMT" w:cs="TimesNewRomanPSMT" w:hint="eastAsia"/>
          <w:color w:val="0070C0"/>
          <w:sz w:val="20"/>
          <w:szCs w:val="20"/>
          <w:lang w:eastAsia="ja-JP"/>
        </w:rPr>
        <w:t xml:space="preserve"> </w:t>
      </w:r>
      <w:r w:rsidRPr="007A25D8">
        <w:rPr>
          <w:rFonts w:ascii="TimesNewRomanPSMT" w:hAnsi="TimesNewRomanPSMT" w:cs="TimesNewRomanPSMT"/>
          <w:color w:val="0070C0"/>
          <w:sz w:val="20"/>
          <w:szCs w:val="20"/>
          <w:lang w:eastAsia="ja-JP"/>
        </w:rPr>
        <w:t>address found in Step d)</w:t>
      </w:r>
      <w:r w:rsidRPr="007A25D8">
        <w:rPr>
          <w:rFonts w:ascii="TimesNewRomanPSMT" w:hAnsi="TimesNewRomanPSMT" w:cs="TimesNewRomanPSMT" w:hint="eastAsia"/>
          <w:color w:val="0070C0"/>
          <w:sz w:val="20"/>
          <w:szCs w:val="20"/>
          <w:lang w:eastAsia="ja-JP"/>
        </w:rPr>
        <w:t>.</w:t>
      </w:r>
    </w:p>
    <w:p w:rsidR="00877DE3" w:rsidRDefault="00877DE3" w:rsidP="00877DE3">
      <w:pPr>
        <w:widowControl w:val="0"/>
        <w:autoSpaceDE w:val="0"/>
        <w:autoSpaceDN w:val="0"/>
        <w:adjustRightInd w:val="0"/>
        <w:rPr>
          <w:rFonts w:ascii="TimesNewRomanPSMT" w:hAnsi="TimesNewRomanPSMT" w:cs="TimesNewRomanPSMT"/>
          <w:lang w:eastAsia="ja-JP"/>
        </w:rPr>
      </w:pPr>
      <w:r>
        <w:rPr>
          <w:rFonts w:ascii="TimesNewRomanPSMT" w:hAnsi="TimesNewRomanPSMT" w:cs="TimesNewRomanPSMT"/>
          <w:lang w:eastAsia="ja-JP"/>
        </w:rPr>
        <w:t xml:space="preserve"> </w:t>
      </w:r>
    </w:p>
    <w:p w:rsidR="00877DE3" w:rsidRDefault="00877DE3" w:rsidP="00877DE3">
      <w:pPr>
        <w:widowControl w:val="0"/>
        <w:autoSpaceDE w:val="0"/>
        <w:autoSpaceDN w:val="0"/>
        <w:adjustRightInd w:val="0"/>
        <w:ind w:firstLineChars="50" w:firstLine="100"/>
        <w:rPr>
          <w:rFonts w:ascii="TimesNewRomanPSMT" w:hAnsi="TimesNewRomanPSMT" w:cs="TimesNewRomanPSMT"/>
          <w:sz w:val="20"/>
          <w:szCs w:val="20"/>
          <w:lang w:eastAsia="ja-JP"/>
        </w:rPr>
      </w:pPr>
      <w:r>
        <w:rPr>
          <w:rFonts w:ascii="TimesNewRomanPSMT" w:hAnsi="TimesNewRomanPSMT" w:cs="TimesNewRomanPSMT"/>
          <w:sz w:val="20"/>
          <w:szCs w:val="20"/>
          <w:lang w:eastAsia="ja-JP"/>
        </w:rPr>
        <w:t>When an MIHF of a recipient receives the message, it issues an indication primitive to its local MIH User,</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following the next steps:</w:t>
      </w:r>
    </w:p>
    <w:p w:rsidR="00877DE3" w:rsidRDefault="00877DE3" w:rsidP="00877DE3">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t xml:space="preserve"> </w:t>
      </w:r>
      <w:r w:rsidRPr="00877DE3">
        <w:rPr>
          <w:rFonts w:ascii="TimesNewRomanPSMT" w:hAnsi="TimesNewRomanPSMT" w:cs="TimesNewRomanPSMT"/>
          <w:strike/>
          <w:sz w:val="20"/>
          <w:szCs w:val="20"/>
          <w:lang w:eastAsia="ja-JP"/>
        </w:rPr>
        <w:t>f</w:t>
      </w:r>
      <w:r w:rsidRPr="00877DE3">
        <w:rPr>
          <w:rFonts w:ascii="TimesNewRomanPSMT" w:hAnsi="TimesNewRomanPSMT" w:cs="TimesNewRomanPSMT" w:hint="eastAsia"/>
          <w:color w:val="0070C0"/>
          <w:sz w:val="20"/>
          <w:szCs w:val="20"/>
          <w:lang w:eastAsia="ja-JP"/>
        </w:rPr>
        <w:t>a</w:t>
      </w:r>
      <w:r>
        <w:rPr>
          <w:rFonts w:ascii="TimesNewRomanPSMT" w:hAnsi="TimesNewRomanPSMT" w:cs="TimesNewRomanPSMT"/>
          <w:sz w:val="20"/>
          <w:szCs w:val="20"/>
          <w:lang w:eastAsia="ja-JP"/>
        </w:rPr>
        <w:t>) The Destination Identifier is retrieved from the Destination MIHF ID TLV. The MIHF checks if the</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Destination Identifier is registered in the Group Information Base or not. If it is not, the message is</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not for the recipient. Thus, it cancels the following steps and stops processing.</w:t>
      </w:r>
    </w:p>
    <w:p w:rsidR="00877DE3" w:rsidRDefault="00877DE3" w:rsidP="00877DE3">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t xml:space="preserve"> </w:t>
      </w:r>
      <w:r w:rsidRPr="00877DE3">
        <w:rPr>
          <w:rFonts w:ascii="TimesNewRomanPSMT" w:hAnsi="TimesNewRomanPSMT" w:cs="TimesNewRomanPSMT"/>
          <w:strike/>
          <w:sz w:val="20"/>
          <w:szCs w:val="20"/>
          <w:lang w:eastAsia="ja-JP"/>
        </w:rPr>
        <w:t>g</w:t>
      </w:r>
      <w:r w:rsidRPr="00877DE3">
        <w:rPr>
          <w:rFonts w:ascii="TimesNewRomanPSMT" w:hAnsi="TimesNewRomanPSMT" w:cs="TimesNewRomanPSMT" w:hint="eastAsia"/>
          <w:color w:val="0070C0"/>
          <w:sz w:val="20"/>
          <w:szCs w:val="20"/>
          <w:lang w:eastAsia="ja-JP"/>
        </w:rPr>
        <w:t>b</w:t>
      </w:r>
      <w:r>
        <w:rPr>
          <w:rFonts w:ascii="TimesNewRomanPSMT" w:hAnsi="TimesNewRomanPSMT" w:cs="TimesNewRomanPSMT"/>
          <w:sz w:val="20"/>
          <w:szCs w:val="20"/>
          <w:lang w:eastAsia="ja-JP"/>
        </w:rPr>
        <w:t>) The Source Identifier is retrieved from the Source MIHF ID TLV.</w:t>
      </w:r>
    </w:p>
    <w:p w:rsidR="00877DE3" w:rsidRDefault="00877DE3" w:rsidP="00877DE3">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t xml:space="preserve"> </w:t>
      </w:r>
      <w:r w:rsidRPr="00877DE3">
        <w:rPr>
          <w:rFonts w:ascii="TimesNewRomanPSMT" w:hAnsi="TimesNewRomanPSMT" w:cs="TimesNewRomanPSMT"/>
          <w:strike/>
          <w:sz w:val="20"/>
          <w:szCs w:val="20"/>
          <w:lang w:eastAsia="ja-JP"/>
        </w:rPr>
        <w:t>h</w:t>
      </w:r>
      <w:r w:rsidRPr="00877DE3">
        <w:rPr>
          <w:rFonts w:ascii="TimesNewRomanPSMT" w:hAnsi="TimesNewRomanPSMT" w:cs="TimesNewRomanPSMT" w:hint="eastAsia"/>
          <w:color w:val="0070C0"/>
          <w:sz w:val="20"/>
          <w:szCs w:val="20"/>
          <w:lang w:eastAsia="ja-JP"/>
        </w:rPr>
        <w:t>c</w:t>
      </w:r>
      <w:r>
        <w:rPr>
          <w:rFonts w:ascii="TimesNewRomanPSMT" w:hAnsi="TimesNewRomanPSMT" w:cs="TimesNewRomanPSMT"/>
          <w:sz w:val="20"/>
          <w:szCs w:val="20"/>
          <w:lang w:eastAsia="ja-JP"/>
        </w:rPr>
        <w:t>) The MIHF verifies the Signature TLV using the verification key corresponding with the preceding</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Source Identifier. If the verification fails, it cancels the following steps and abort.</w:t>
      </w:r>
    </w:p>
    <w:p w:rsidR="00EA313F" w:rsidRDefault="00877DE3" w:rsidP="00877DE3">
      <w:pPr>
        <w:widowControl w:val="0"/>
        <w:autoSpaceDE w:val="0"/>
        <w:autoSpaceDN w:val="0"/>
        <w:adjustRightInd w:val="0"/>
        <w:rPr>
          <w:rFonts w:ascii="Arial-BoldMT" w:hAnsi="Arial-BoldMT" w:cs="Arial-BoldMT"/>
          <w:bCs/>
          <w:sz w:val="20"/>
          <w:szCs w:val="20"/>
          <w:lang w:eastAsia="ja-JP"/>
        </w:rPr>
      </w:pPr>
      <w:r>
        <w:rPr>
          <w:rFonts w:ascii="TimesNewRomanPSMT" w:hAnsi="TimesNewRomanPSMT" w:cs="TimesNewRomanPSMT"/>
          <w:lang w:eastAsia="ja-JP"/>
        </w:rPr>
        <w:t xml:space="preserve"> </w:t>
      </w:r>
      <w:r w:rsidRPr="00877DE3">
        <w:rPr>
          <w:rFonts w:ascii="TimesNewRomanPSMT" w:hAnsi="TimesNewRomanPSMT" w:cs="TimesNewRomanPSMT"/>
          <w:strike/>
          <w:sz w:val="20"/>
          <w:szCs w:val="20"/>
          <w:lang w:eastAsia="ja-JP"/>
        </w:rPr>
        <w:t>i</w:t>
      </w:r>
      <w:r w:rsidRPr="00877DE3">
        <w:rPr>
          <w:rFonts w:ascii="TimesNewRomanPSMT" w:hAnsi="TimesNewRomanPSMT" w:cs="TimesNewRomanPSMT" w:hint="eastAsia"/>
          <w:color w:val="0070C0"/>
          <w:sz w:val="20"/>
          <w:szCs w:val="20"/>
          <w:lang w:eastAsia="ja-JP"/>
        </w:rPr>
        <w:t>d</w:t>
      </w:r>
      <w:r>
        <w:rPr>
          <w:rFonts w:ascii="TimesNewRomanPSMT" w:hAnsi="TimesNewRomanPSMT" w:cs="TimesNewRomanPSMT"/>
          <w:sz w:val="20"/>
          <w:szCs w:val="20"/>
          <w:lang w:eastAsia="ja-JP"/>
        </w:rPr>
        <w:t>) The service specific parameters are retrieved from the service specific TLVs. If the service specific</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 xml:space="preserve">TLVs are encrypted in a Security TLV, the MIHF decrypts the Security TLV with the </w:t>
      </w:r>
      <w:r w:rsidRPr="007A25D8">
        <w:rPr>
          <w:rFonts w:ascii="TimesNewRomanPSMT" w:hAnsi="TimesNewRomanPSMT" w:cs="TimesNewRomanPSMT"/>
          <w:strike/>
          <w:sz w:val="20"/>
          <w:szCs w:val="20"/>
          <w:lang w:eastAsia="ja-JP"/>
        </w:rPr>
        <w:t>group key</w:t>
      </w:r>
      <w:r w:rsidR="007A25D8" w:rsidRPr="007A25D8">
        <w:rPr>
          <w:rFonts w:ascii="TimesNewRomanPSMT" w:hAnsi="TimesNewRomanPSMT" w:cs="TimesNewRomanPSMT" w:hint="eastAsia"/>
          <w:color w:val="0070C0"/>
          <w:sz w:val="20"/>
          <w:szCs w:val="20"/>
          <w:lang w:eastAsia="ja-JP"/>
        </w:rPr>
        <w:t>MIGSK</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associated with the Destination Identifier that is available in the Group Information Base.</w:t>
      </w:r>
    </w:p>
    <w:sectPr w:rsidR="00EA313F">
      <w:headerReference w:type="default" r:id="rId14"/>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F63" w:rsidRDefault="00EB2F63">
      <w:r>
        <w:separator/>
      </w:r>
    </w:p>
  </w:endnote>
  <w:endnote w:type="continuationSeparator" w:id="0">
    <w:p w:rsidR="00EB2F63" w:rsidRDefault="00EB2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NewRomanPS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Italic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6C7" w:rsidRDefault="00DD36C7">
    <w:pPr>
      <w:pStyle w:val="a7"/>
      <w:jc w:val="center"/>
    </w:pPr>
    <w:r>
      <w:rPr>
        <w:rStyle w:val="a8"/>
      </w:rPr>
      <w:fldChar w:fldCharType="begin"/>
    </w:r>
    <w:r>
      <w:rPr>
        <w:rStyle w:val="a8"/>
      </w:rPr>
      <w:instrText xml:space="preserve"> PAGE </w:instrText>
    </w:r>
    <w:r>
      <w:rPr>
        <w:rStyle w:val="a8"/>
      </w:rPr>
      <w:fldChar w:fldCharType="separate"/>
    </w:r>
    <w:r w:rsidR="004E1E58">
      <w:rPr>
        <w:rStyle w:val="a8"/>
        <w:noProof/>
      </w:rPr>
      <w:t>1</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F63" w:rsidRDefault="00EB2F63">
      <w:r>
        <w:separator/>
      </w:r>
    </w:p>
  </w:footnote>
  <w:footnote w:type="continuationSeparator" w:id="0">
    <w:p w:rsidR="00EB2F63" w:rsidRDefault="00EB2F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6C7" w:rsidRDefault="00AA5C8A">
    <w:pPr>
      <w:pStyle w:val="a6"/>
      <w:tabs>
        <w:tab w:val="clear" w:pos="4320"/>
      </w:tabs>
      <w:rPr>
        <w:b/>
        <w:bCs/>
        <w:lang w:eastAsia="ja-JP"/>
      </w:rPr>
    </w:pPr>
    <w:r>
      <w:rPr>
        <w:b/>
        <w:bCs/>
      </w:rPr>
      <w:tab/>
      <w:t>21-</w:t>
    </w:r>
    <w:r w:rsidR="002E27B1">
      <w:rPr>
        <w:rFonts w:hint="eastAsia"/>
        <w:b/>
        <w:bCs/>
        <w:lang w:eastAsia="ja-JP"/>
      </w:rPr>
      <w:t>14</w:t>
    </w:r>
    <w:r w:rsidR="00AC2C8A">
      <w:rPr>
        <w:b/>
        <w:bCs/>
      </w:rPr>
      <w:t>-</w:t>
    </w:r>
    <w:r w:rsidR="00AC2C8A">
      <w:rPr>
        <w:rFonts w:hint="eastAsia"/>
        <w:b/>
        <w:bCs/>
        <w:lang w:eastAsia="ja-JP"/>
      </w:rPr>
      <w:t>0</w:t>
    </w:r>
    <w:r w:rsidR="004E1E58">
      <w:rPr>
        <w:rFonts w:hint="eastAsia"/>
        <w:b/>
        <w:bCs/>
        <w:lang w:eastAsia="ja-JP"/>
      </w:rPr>
      <w:t>095</w:t>
    </w:r>
    <w:r w:rsidR="00DD36C7">
      <w:rPr>
        <w:b/>
        <w:bCs/>
      </w:rPr>
      <w:t>-0</w:t>
    </w:r>
    <w:r w:rsidR="002E27B1">
      <w:rPr>
        <w:rFonts w:hint="eastAsia"/>
        <w:b/>
        <w:bCs/>
        <w:lang w:eastAsia="ja-JP"/>
      </w:rPr>
      <w:t>0</w:t>
    </w:r>
    <w:r w:rsidR="00DD36C7">
      <w:rPr>
        <w:b/>
        <w:bCs/>
      </w:rPr>
      <w:t>-</w:t>
    </w:r>
    <w:r w:rsidR="00AC2C8A">
      <w:rPr>
        <w:rFonts w:hint="eastAsia"/>
        <w:b/>
        <w:bCs/>
        <w:lang w:eastAsia="ja-JP"/>
      </w:rPr>
      <w:t>MuGM</w:t>
    </w:r>
    <w:r w:rsidR="00DD36C7">
      <w:rPr>
        <w:b/>
        <w:bCs/>
      </w:rPr>
      <w:t>.doc</w:t>
    </w:r>
    <w:r>
      <w:rPr>
        <w:rFonts w:hint="eastAsia"/>
        <w:b/>
        <w:bCs/>
        <w:lang w:eastAsia="ja-JP"/>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20A98"/>
    <w:multiLevelType w:val="hybridMultilevel"/>
    <w:tmpl w:val="3C0618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77C27BD"/>
    <w:multiLevelType w:val="hybridMultilevel"/>
    <w:tmpl w:val="59A816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448227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26D026B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28C37B20"/>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5">
    <w:nsid w:val="442A5215"/>
    <w:multiLevelType w:val="hybridMultilevel"/>
    <w:tmpl w:val="4888F5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6AC4BF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nsid w:val="56B22A34"/>
    <w:multiLevelType w:val="hybridMultilevel"/>
    <w:tmpl w:val="845AFF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73B2A5E"/>
    <w:multiLevelType w:val="multilevel"/>
    <w:tmpl w:val="23BE7744"/>
    <w:lvl w:ilvl="0">
      <w:start w:val="1"/>
      <w:numFmt w:val="bullet"/>
      <w:lvlText w:val=""/>
      <w:lvlJc w:val="left"/>
      <w:pPr>
        <w:ind w:left="425" w:hanging="425"/>
      </w:pPr>
      <w:rPr>
        <w:rFonts w:ascii="Wingdings" w:hAnsi="Wingding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num w:numId="1">
    <w:abstractNumId w:val="7"/>
  </w:num>
  <w:num w:numId="2">
    <w:abstractNumId w:val="0"/>
  </w:num>
  <w:num w:numId="3">
    <w:abstractNumId w:val="4"/>
  </w:num>
  <w:num w:numId="4">
    <w:abstractNumId w:val="1"/>
  </w:num>
  <w:num w:numId="5">
    <w:abstractNumId w:val="5"/>
  </w:num>
  <w:num w:numId="6">
    <w:abstractNumId w:val="6"/>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47C3"/>
    <w:rsid w:val="0001169A"/>
    <w:rsid w:val="00073E21"/>
    <w:rsid w:val="000779C6"/>
    <w:rsid w:val="000D6CAE"/>
    <w:rsid w:val="001037EE"/>
    <w:rsid w:val="00160734"/>
    <w:rsid w:val="0017725C"/>
    <w:rsid w:val="001847C3"/>
    <w:rsid w:val="001A2D27"/>
    <w:rsid w:val="001E434A"/>
    <w:rsid w:val="00213447"/>
    <w:rsid w:val="00235FC3"/>
    <w:rsid w:val="00270073"/>
    <w:rsid w:val="00283CBE"/>
    <w:rsid w:val="002B3E53"/>
    <w:rsid w:val="002E27B1"/>
    <w:rsid w:val="003625F8"/>
    <w:rsid w:val="003A4ED3"/>
    <w:rsid w:val="003E73A0"/>
    <w:rsid w:val="003F4353"/>
    <w:rsid w:val="00421619"/>
    <w:rsid w:val="004366B1"/>
    <w:rsid w:val="004663F7"/>
    <w:rsid w:val="00493815"/>
    <w:rsid w:val="004D438C"/>
    <w:rsid w:val="004E1E58"/>
    <w:rsid w:val="00512166"/>
    <w:rsid w:val="00514557"/>
    <w:rsid w:val="00532666"/>
    <w:rsid w:val="005D7B8A"/>
    <w:rsid w:val="00615C76"/>
    <w:rsid w:val="00756ACA"/>
    <w:rsid w:val="00767467"/>
    <w:rsid w:val="007A25D8"/>
    <w:rsid w:val="007E0C36"/>
    <w:rsid w:val="007E1409"/>
    <w:rsid w:val="008764B3"/>
    <w:rsid w:val="00877DE3"/>
    <w:rsid w:val="008915C2"/>
    <w:rsid w:val="008B12B5"/>
    <w:rsid w:val="008D3F7F"/>
    <w:rsid w:val="009C78BA"/>
    <w:rsid w:val="009D7BF9"/>
    <w:rsid w:val="00A125CF"/>
    <w:rsid w:val="00A15AB9"/>
    <w:rsid w:val="00A21523"/>
    <w:rsid w:val="00A31F81"/>
    <w:rsid w:val="00A70265"/>
    <w:rsid w:val="00A825EA"/>
    <w:rsid w:val="00A870A4"/>
    <w:rsid w:val="00AA5C8A"/>
    <w:rsid w:val="00AC1A82"/>
    <w:rsid w:val="00AC2C8A"/>
    <w:rsid w:val="00AC4AF0"/>
    <w:rsid w:val="00B22E6D"/>
    <w:rsid w:val="00BC5D65"/>
    <w:rsid w:val="00BD5F0B"/>
    <w:rsid w:val="00C052E7"/>
    <w:rsid w:val="00C07D64"/>
    <w:rsid w:val="00C2266A"/>
    <w:rsid w:val="00C23A70"/>
    <w:rsid w:val="00C3013B"/>
    <w:rsid w:val="00CD72FD"/>
    <w:rsid w:val="00D0149F"/>
    <w:rsid w:val="00D03462"/>
    <w:rsid w:val="00DB5A06"/>
    <w:rsid w:val="00DC7960"/>
    <w:rsid w:val="00DD36C7"/>
    <w:rsid w:val="00E15DA2"/>
    <w:rsid w:val="00E1705D"/>
    <w:rsid w:val="00EA313F"/>
    <w:rsid w:val="00EB2F63"/>
    <w:rsid w:val="00EE4C04"/>
    <w:rsid w:val="00EF092A"/>
    <w:rsid w:val="00F351AE"/>
    <w:rsid w:val="00F47481"/>
    <w:rsid w:val="00F5445A"/>
    <w:rsid w:val="00F61230"/>
    <w:rsid w:val="00F71287"/>
    <w:rsid w:val="00F77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allout" idref="#_x0000_s1034"/>
        <o:r id="V:Rule2" type="callout" idref="#_x0000_s1032"/>
        <o:r id="V:Rule3" type="connector" idref="#_x0000_s1030"/>
        <o:r id="V:Rule4" type="connector" idref="#_x0000_s1031"/>
        <o:r id="V:Rule5" type="connector" idref="#_x0000_s1037"/>
        <o:r id="V:Rule6" type="connector" idref="#_x0000_s1036"/>
        <o:r id="V:Rule7" type="connector" idref="#_x0000_s1035"/>
        <o:r id="V:Rule8" type="connector" idref="#_x0000_s1038"/>
        <o:r id="V:Rule9" type="connector" idref="#_x0000_s104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en-US"/>
    </w:rPr>
  </w:style>
  <w:style w:type="paragraph" w:styleId="1">
    <w:name w:val="heading 1"/>
    <w:basedOn w:val="a"/>
    <w:next w:val="a"/>
    <w:link w:val="10"/>
    <w:qFormat/>
    <w:rsid w:val="00AC2C8A"/>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3366FF"/>
      <w:u w:val="single"/>
    </w:rPr>
  </w:style>
  <w:style w:type="character" w:styleId="a4">
    <w:name w:val="FollowedHyperlink"/>
    <w:rPr>
      <w:color w:val="0000FF"/>
    </w:rPr>
  </w:style>
  <w:style w:type="paragraph" w:customStyle="1" w:styleId="Body">
    <w:name w:val="Body"/>
    <w:basedOn w:val="a"/>
    <w:pPr>
      <w:spacing w:after="120"/>
      <w:jc w:val="both"/>
    </w:pPr>
    <w:rPr>
      <w:rFonts w:ascii="Times" w:hAnsi="Times"/>
      <w:kern w:val="28"/>
      <w:lang w:bidi="he-IL"/>
    </w:rPr>
  </w:style>
  <w:style w:type="paragraph" w:customStyle="1" w:styleId="covertext">
    <w:name w:val="cover text"/>
    <w:basedOn w:val="a"/>
    <w:pPr>
      <w:spacing w:before="120" w:after="120"/>
    </w:pPr>
    <w:rPr>
      <w:rFonts w:ascii="Times" w:hAnsi="Times"/>
      <w:lang w:bidi="he-IL"/>
    </w:rPr>
  </w:style>
  <w:style w:type="paragraph" w:styleId="a5">
    <w:name w:val="Body Text"/>
    <w:basedOn w:val="a"/>
    <w:rPr>
      <w:b/>
      <w:bCs/>
    </w:rPr>
  </w:style>
  <w:style w:type="paragraph" w:styleId="a6">
    <w:name w:val="header"/>
    <w:basedOn w:val="a"/>
    <w:pPr>
      <w:tabs>
        <w:tab w:val="center" w:pos="4320"/>
        <w:tab w:val="right" w:pos="8640"/>
      </w:tabs>
    </w:pPr>
  </w:style>
  <w:style w:type="paragraph" w:styleId="a7">
    <w:name w:val="footer"/>
    <w:basedOn w:val="a"/>
    <w:pPr>
      <w:tabs>
        <w:tab w:val="center" w:pos="4320"/>
        <w:tab w:val="right" w:pos="8640"/>
      </w:tabs>
    </w:pPr>
  </w:style>
  <w:style w:type="character" w:styleId="a8">
    <w:name w:val="page number"/>
    <w:basedOn w:val="a0"/>
  </w:style>
  <w:style w:type="paragraph" w:customStyle="1" w:styleId="T1">
    <w:name w:val="T1"/>
    <w:basedOn w:val="a"/>
    <w:rsid w:val="00AC2C8A"/>
    <w:pPr>
      <w:spacing w:after="200"/>
      <w:jc w:val="center"/>
    </w:pPr>
    <w:rPr>
      <w:b/>
      <w:sz w:val="28"/>
    </w:rPr>
  </w:style>
  <w:style w:type="character" w:customStyle="1" w:styleId="10">
    <w:name w:val="見出し 1 (文字)"/>
    <w:link w:val="1"/>
    <w:rsid w:val="00AC2C8A"/>
    <w:rPr>
      <w:rFonts w:ascii="Arial" w:eastAsia="ＭＳ ゴシック" w:hAnsi="Arial" w:cs="Times New Roman"/>
      <w:sz w:val="24"/>
      <w:szCs w:val="24"/>
      <w:lang w:eastAsia="en-US"/>
    </w:rPr>
  </w:style>
  <w:style w:type="paragraph" w:styleId="a9">
    <w:name w:val="Balloon Text"/>
    <w:basedOn w:val="a"/>
    <w:link w:val="aa"/>
    <w:rsid w:val="00514557"/>
    <w:rPr>
      <w:rFonts w:ascii="Arial" w:eastAsia="ＭＳ ゴシック" w:hAnsi="Arial"/>
      <w:sz w:val="18"/>
      <w:szCs w:val="18"/>
    </w:rPr>
  </w:style>
  <w:style w:type="character" w:customStyle="1" w:styleId="aa">
    <w:name w:val="吹き出し (文字)"/>
    <w:link w:val="a9"/>
    <w:rsid w:val="00514557"/>
    <w:rPr>
      <w:rFonts w:ascii="Arial" w:eastAsia="ＭＳ ゴシック" w:hAnsi="Arial" w:cs="Times New Roman"/>
      <w:sz w:val="18"/>
      <w:szCs w:val="18"/>
      <w:lang w:eastAsia="en-US"/>
    </w:rPr>
  </w:style>
  <w:style w:type="table" w:styleId="ab">
    <w:name w:val="Table Grid"/>
    <w:basedOn w:val="a1"/>
    <w:uiPriority w:val="39"/>
    <w:rsid w:val="00532666"/>
    <w:rPr>
      <w:rFonts w:ascii="Arial" w:eastAsia="Times New Roman" w:hAnsi="Arial"/>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760543">
      <w:bodyDiv w:val="1"/>
      <w:marLeft w:val="0"/>
      <w:marRight w:val="0"/>
      <w:marTop w:val="0"/>
      <w:marBottom w:val="0"/>
      <w:divBdr>
        <w:top w:val="none" w:sz="0" w:space="0" w:color="auto"/>
        <w:left w:val="none" w:sz="0" w:space="0" w:color="auto"/>
        <w:bottom w:val="none" w:sz="0" w:space="0" w:color="auto"/>
        <w:right w:val="none" w:sz="0" w:space="0" w:color="auto"/>
      </w:divBdr>
      <w:divsChild>
        <w:div w:id="62340308">
          <w:marLeft w:val="0"/>
          <w:marRight w:val="0"/>
          <w:marTop w:val="0"/>
          <w:marBottom w:val="0"/>
          <w:divBdr>
            <w:top w:val="none" w:sz="0" w:space="0" w:color="auto"/>
            <w:left w:val="none" w:sz="0" w:space="0" w:color="auto"/>
            <w:bottom w:val="none" w:sz="0" w:space="0" w:color="auto"/>
            <w:right w:val="none" w:sz="0" w:space="0" w:color="auto"/>
          </w:divBdr>
        </w:div>
      </w:divsChild>
    </w:div>
    <w:div w:id="464667536">
      <w:bodyDiv w:val="1"/>
      <w:marLeft w:val="0"/>
      <w:marRight w:val="0"/>
      <w:marTop w:val="0"/>
      <w:marBottom w:val="0"/>
      <w:divBdr>
        <w:top w:val="none" w:sz="0" w:space="0" w:color="auto"/>
        <w:left w:val="none" w:sz="0" w:space="0" w:color="auto"/>
        <w:bottom w:val="none" w:sz="0" w:space="0" w:color="auto"/>
        <w:right w:val="none" w:sz="0" w:space="0" w:color="auto"/>
      </w:divBdr>
    </w:div>
    <w:div w:id="478228785">
      <w:bodyDiv w:val="1"/>
      <w:marLeft w:val="0"/>
      <w:marRight w:val="0"/>
      <w:marTop w:val="0"/>
      <w:marBottom w:val="0"/>
      <w:divBdr>
        <w:top w:val="none" w:sz="0" w:space="0" w:color="auto"/>
        <w:left w:val="none" w:sz="0" w:space="0" w:color="auto"/>
        <w:bottom w:val="none" w:sz="0" w:space="0" w:color="auto"/>
        <w:right w:val="none" w:sz="0" w:space="0" w:color="auto"/>
      </w:divBdr>
    </w:div>
    <w:div w:id="608582343">
      <w:bodyDiv w:val="1"/>
      <w:marLeft w:val="0"/>
      <w:marRight w:val="0"/>
      <w:marTop w:val="0"/>
      <w:marBottom w:val="0"/>
      <w:divBdr>
        <w:top w:val="none" w:sz="0" w:space="0" w:color="auto"/>
        <w:left w:val="none" w:sz="0" w:space="0" w:color="auto"/>
        <w:bottom w:val="none" w:sz="0" w:space="0" w:color="auto"/>
        <w:right w:val="none" w:sz="0" w:space="0" w:color="auto"/>
      </w:divBdr>
    </w:div>
    <w:div w:id="843400900">
      <w:bodyDiv w:val="1"/>
      <w:marLeft w:val="0"/>
      <w:marRight w:val="0"/>
      <w:marTop w:val="0"/>
      <w:marBottom w:val="0"/>
      <w:divBdr>
        <w:top w:val="none" w:sz="0" w:space="0" w:color="auto"/>
        <w:left w:val="none" w:sz="0" w:space="0" w:color="auto"/>
        <w:bottom w:val="none" w:sz="0" w:space="0" w:color="auto"/>
        <w:right w:val="none" w:sz="0" w:space="0" w:color="auto"/>
      </w:divBdr>
    </w:div>
    <w:div w:id="959334117">
      <w:bodyDiv w:val="1"/>
      <w:marLeft w:val="0"/>
      <w:marRight w:val="0"/>
      <w:marTop w:val="0"/>
      <w:marBottom w:val="0"/>
      <w:divBdr>
        <w:top w:val="none" w:sz="0" w:space="0" w:color="auto"/>
        <w:left w:val="none" w:sz="0" w:space="0" w:color="auto"/>
        <w:bottom w:val="none" w:sz="0" w:space="0" w:color="auto"/>
        <w:right w:val="none" w:sz="0" w:space="0" w:color="auto"/>
      </w:divBdr>
    </w:div>
    <w:div w:id="1269582514">
      <w:bodyDiv w:val="1"/>
      <w:marLeft w:val="0"/>
      <w:marRight w:val="0"/>
      <w:marTop w:val="0"/>
      <w:marBottom w:val="0"/>
      <w:divBdr>
        <w:top w:val="none" w:sz="0" w:space="0" w:color="auto"/>
        <w:left w:val="none" w:sz="0" w:space="0" w:color="auto"/>
        <w:bottom w:val="none" w:sz="0" w:space="0" w:color="auto"/>
        <w:right w:val="none" w:sz="0" w:space="0" w:color="auto"/>
      </w:divBdr>
    </w:div>
    <w:div w:id="1615014489">
      <w:bodyDiv w:val="1"/>
      <w:marLeft w:val="0"/>
      <w:marRight w:val="0"/>
      <w:marTop w:val="0"/>
      <w:marBottom w:val="0"/>
      <w:divBdr>
        <w:top w:val="none" w:sz="0" w:space="0" w:color="auto"/>
        <w:left w:val="none" w:sz="0" w:space="0" w:color="auto"/>
        <w:bottom w:val="none" w:sz="0" w:space="0" w:color="auto"/>
        <w:right w:val="none" w:sz="0" w:space="0" w:color="auto"/>
      </w:divBdr>
    </w:div>
    <w:div w:id="174850158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andards.ieee.org/board/pat/faq.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27.0.0.1:4664/cache?event_id=757737&amp;schema_id=1&amp;s=5X0vID10lu_E6yrIkWkNd4Wz2H8&amp;q=hancoc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tandards.ieee.org/guides/opman/sect6.html" TargetMode="External"/><Relationship Id="rId4" Type="http://schemas.microsoft.com/office/2007/relationships/stylesWithEffects" Target="stylesWithEffects.xml"/><Relationship Id="rId9" Type="http://schemas.openxmlformats.org/officeDocument/2006/relationships/hyperlink" Target="http://www.ieee802.org/21/"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2A9E3-3D9C-49FF-9273-575F62AA1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2334</TotalTime>
  <Pages>3</Pages>
  <Words>751</Words>
  <Characters>4285</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IEEE 802.21 Contribution Title Page</vt:lpstr>
      <vt:lpstr>IEEE 802.21 Contribution Title Page</vt:lpstr>
    </vt:vector>
  </TitlesOfParts>
  <Company>IEEE 802.21 WG</Company>
  <LinksUpToDate>false</LinksUpToDate>
  <CharactersWithSpaces>5026</CharactersWithSpaces>
  <SharedDoc>false</SharedDoc>
  <HLinks>
    <vt:vector size="24" baseType="variant">
      <vt:variant>
        <vt:i4>7602228</vt:i4>
      </vt:variant>
      <vt:variant>
        <vt:i4>9</vt:i4>
      </vt:variant>
      <vt:variant>
        <vt:i4>0</vt:i4>
      </vt:variant>
      <vt:variant>
        <vt:i4>5</vt:i4>
      </vt:variant>
      <vt:variant>
        <vt:lpwstr>http://standards.ieee.org/board/pat/faq.pdf</vt:lpwstr>
      </vt:variant>
      <vt:variant>
        <vt:lpwstr/>
      </vt:variant>
      <vt:variant>
        <vt:i4>393337</vt:i4>
      </vt:variant>
      <vt:variant>
        <vt:i4>6</vt:i4>
      </vt:variant>
      <vt:variant>
        <vt:i4>0</vt:i4>
      </vt:variant>
      <vt:variant>
        <vt:i4>5</vt:i4>
      </vt:variant>
      <vt:variant>
        <vt:lpwstr>http://127.0.0.1:4664/cache?event_id=757737&amp;schema_id=1&amp;s=5X0vID10lu_E6yrIkWkNd4Wz2H8&amp;q=hancock</vt:lpwstr>
      </vt:variant>
      <vt:variant>
        <vt:lpwstr/>
      </vt:variant>
      <vt:variant>
        <vt:i4>2097207</vt:i4>
      </vt:variant>
      <vt:variant>
        <vt:i4>3</vt:i4>
      </vt:variant>
      <vt:variant>
        <vt:i4>0</vt:i4>
      </vt:variant>
      <vt:variant>
        <vt:i4>5</vt:i4>
      </vt:variant>
      <vt:variant>
        <vt:lpwstr>http://standards.ieee.org/guides/opman/sect6.html</vt:lpwstr>
      </vt:variant>
      <vt:variant>
        <vt:lpwstr>6.3</vt:lpwstr>
      </vt:variant>
      <vt:variant>
        <vt:i4>3670050</vt:i4>
      </vt:variant>
      <vt:variant>
        <vt:i4>0</vt:i4>
      </vt:variant>
      <vt:variant>
        <vt:i4>0</vt:i4>
      </vt:variant>
      <vt:variant>
        <vt:i4>5</vt:i4>
      </vt:variant>
      <vt:variant>
        <vt:lpwstr>http://www.ieee802.org/21/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802.21 Contribution Title Page</dc:title>
  <dc:creator>Michael G. Williams</dc:creator>
  <cp:lastModifiedBy>hana</cp:lastModifiedBy>
  <cp:revision>48</cp:revision>
  <dcterms:created xsi:type="dcterms:W3CDTF">2013-10-19T12:58:00Z</dcterms:created>
  <dcterms:modified xsi:type="dcterms:W3CDTF">2014-05-14T20:04:00Z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843975488</vt:i4>
  </property>
  <property fmtid="{D5CDD505-2E9C-101B-9397-08002B2CF9AE}" pid="3" name="_EmailSubject">
    <vt:lpwstr>802.20 MBWA Contribution</vt:lpwstr>
  </property>
  <property fmtid="{D5CDD505-2E9C-101B-9397-08002B2CF9AE}" pid="4" name="_AuthorEmail">
    <vt:lpwstr>Park@flarion.com</vt:lpwstr>
  </property>
  <property fmtid="{D5CDD505-2E9C-101B-9397-08002B2CF9AE}" pid="5" name="_AuthorEmailDisplayName">
    <vt:lpwstr>Park Vincent</vt:lpwstr>
  </property>
  <property fmtid="{D5CDD505-2E9C-101B-9397-08002B2CF9AE}" pid="6" name="_ReviewingToolsShownOnce">
    <vt:lpwstr/>
  </property>
</Properties>
</file>