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BC2" w:rsidRDefault="00C83BC2" w:rsidP="00C83BC2">
      <w:pPr>
        <w:pStyle w:val="T1"/>
        <w:pBdr>
          <w:bottom w:val="single" w:sz="6" w:space="0" w:color="auto"/>
        </w:pBdr>
        <w:spacing w:after="240"/>
      </w:pPr>
      <w:r>
        <w:t>IEEE P802.21</w:t>
      </w:r>
      <w:r>
        <w:br/>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83BC2" w:rsidTr="00C83BC2">
        <w:trPr>
          <w:trHeight w:val="485"/>
          <w:jc w:val="center"/>
        </w:trPr>
        <w:tc>
          <w:tcPr>
            <w:tcW w:w="9576" w:type="dxa"/>
            <w:gridSpan w:val="5"/>
            <w:vAlign w:val="center"/>
          </w:tcPr>
          <w:p w:rsidR="00C83BC2" w:rsidRDefault="00814BF4" w:rsidP="002D7AFF">
            <w:pPr>
              <w:pStyle w:val="T2"/>
            </w:pPr>
            <w:r>
              <w:rPr>
                <w:lang w:eastAsia="ja-JP"/>
              </w:rPr>
              <w:t>Clause</w:t>
            </w:r>
            <w:r w:rsidR="00432FDA">
              <w:rPr>
                <w:lang w:eastAsia="ja-JP"/>
              </w:rPr>
              <w:t>s</w:t>
            </w:r>
            <w:r>
              <w:rPr>
                <w:lang w:eastAsia="ja-JP"/>
              </w:rPr>
              <w:t xml:space="preserve"> </w:t>
            </w:r>
            <w:r w:rsidR="002D7AFF">
              <w:rPr>
                <w:lang w:eastAsia="ja-JP"/>
              </w:rPr>
              <w:t xml:space="preserve">5 </w:t>
            </w:r>
            <w:r w:rsidR="00432FDA">
              <w:rPr>
                <w:lang w:eastAsia="ja-JP"/>
              </w:rPr>
              <w:t xml:space="preserve"> and 6 </w:t>
            </w:r>
            <w:r w:rsidR="002D7AFF">
              <w:rPr>
                <w:lang w:eastAsia="ja-JP"/>
              </w:rPr>
              <w:t>Restructure P</w:t>
            </w:r>
            <w:r>
              <w:rPr>
                <w:lang w:eastAsia="ja-JP"/>
              </w:rPr>
              <w:t>roposal</w:t>
            </w:r>
          </w:p>
        </w:tc>
      </w:tr>
      <w:tr w:rsidR="00C83BC2" w:rsidTr="00C83BC2">
        <w:trPr>
          <w:trHeight w:val="359"/>
          <w:jc w:val="center"/>
        </w:trPr>
        <w:tc>
          <w:tcPr>
            <w:tcW w:w="9576" w:type="dxa"/>
            <w:gridSpan w:val="5"/>
            <w:vAlign w:val="center"/>
          </w:tcPr>
          <w:p w:rsidR="00C83BC2" w:rsidRDefault="00C83BC2" w:rsidP="005A3E93">
            <w:pPr>
              <w:pStyle w:val="T2"/>
              <w:ind w:left="0"/>
              <w:rPr>
                <w:sz w:val="20"/>
                <w:lang w:eastAsia="ja-JP"/>
              </w:rPr>
            </w:pPr>
            <w:r>
              <w:rPr>
                <w:sz w:val="20"/>
              </w:rPr>
              <w:t>Date:</w:t>
            </w:r>
            <w:r w:rsidR="00652F55">
              <w:rPr>
                <w:b w:val="0"/>
                <w:sz w:val="20"/>
              </w:rPr>
              <w:t xml:space="preserve">  201</w:t>
            </w:r>
            <w:r w:rsidR="00652F55">
              <w:rPr>
                <w:rFonts w:hint="eastAsia"/>
                <w:b w:val="0"/>
                <w:sz w:val="20"/>
                <w:lang w:eastAsia="ja-JP"/>
              </w:rPr>
              <w:t>3</w:t>
            </w:r>
            <w:r w:rsidR="00652F55">
              <w:rPr>
                <w:b w:val="0"/>
                <w:sz w:val="20"/>
              </w:rPr>
              <w:t>-</w:t>
            </w:r>
            <w:r w:rsidR="00652F55">
              <w:rPr>
                <w:rFonts w:hint="eastAsia"/>
                <w:b w:val="0"/>
                <w:sz w:val="20"/>
                <w:lang w:eastAsia="ja-JP"/>
              </w:rPr>
              <w:t>11</w:t>
            </w:r>
            <w:r>
              <w:rPr>
                <w:b w:val="0"/>
                <w:sz w:val="20"/>
              </w:rPr>
              <w:t>-</w:t>
            </w:r>
            <w:r w:rsidR="002D7AFF">
              <w:rPr>
                <w:b w:val="0"/>
                <w:sz w:val="20"/>
                <w:lang w:eastAsia="ja-JP"/>
              </w:rPr>
              <w:t>26</w:t>
            </w:r>
          </w:p>
        </w:tc>
      </w:tr>
      <w:tr w:rsidR="00C83BC2" w:rsidTr="00C83BC2">
        <w:trPr>
          <w:cantSplit/>
          <w:jc w:val="center"/>
        </w:trPr>
        <w:tc>
          <w:tcPr>
            <w:tcW w:w="9576" w:type="dxa"/>
            <w:gridSpan w:val="5"/>
            <w:vAlign w:val="center"/>
          </w:tcPr>
          <w:p w:rsidR="00C83BC2" w:rsidRDefault="00C83BC2" w:rsidP="00C83BC2">
            <w:pPr>
              <w:pStyle w:val="T2"/>
              <w:spacing w:after="0"/>
              <w:ind w:left="0" w:right="0"/>
              <w:jc w:val="left"/>
              <w:rPr>
                <w:sz w:val="20"/>
              </w:rPr>
            </w:pPr>
            <w:r>
              <w:rPr>
                <w:sz w:val="20"/>
              </w:rPr>
              <w:t>Author(s):</w:t>
            </w:r>
          </w:p>
        </w:tc>
      </w:tr>
      <w:tr w:rsidR="00C83BC2" w:rsidTr="00C83BC2">
        <w:trPr>
          <w:jc w:val="center"/>
        </w:trPr>
        <w:tc>
          <w:tcPr>
            <w:tcW w:w="1336" w:type="dxa"/>
            <w:vAlign w:val="center"/>
          </w:tcPr>
          <w:p w:rsidR="00C83BC2" w:rsidRDefault="00C83BC2" w:rsidP="00C83BC2">
            <w:pPr>
              <w:pStyle w:val="T2"/>
              <w:spacing w:after="0"/>
              <w:ind w:left="0" w:right="0"/>
              <w:jc w:val="left"/>
              <w:rPr>
                <w:sz w:val="20"/>
              </w:rPr>
            </w:pPr>
            <w:r>
              <w:rPr>
                <w:sz w:val="20"/>
              </w:rPr>
              <w:t>Name</w:t>
            </w:r>
          </w:p>
        </w:tc>
        <w:tc>
          <w:tcPr>
            <w:tcW w:w="2064" w:type="dxa"/>
            <w:vAlign w:val="center"/>
          </w:tcPr>
          <w:p w:rsidR="00C83BC2" w:rsidRDefault="00C83BC2" w:rsidP="00C83BC2">
            <w:pPr>
              <w:pStyle w:val="T2"/>
              <w:spacing w:after="0"/>
              <w:ind w:left="0" w:right="0"/>
              <w:jc w:val="left"/>
              <w:rPr>
                <w:sz w:val="20"/>
              </w:rPr>
            </w:pPr>
            <w:r>
              <w:rPr>
                <w:sz w:val="20"/>
              </w:rPr>
              <w:t>Affiliation</w:t>
            </w:r>
          </w:p>
        </w:tc>
        <w:tc>
          <w:tcPr>
            <w:tcW w:w="2814" w:type="dxa"/>
            <w:vAlign w:val="center"/>
          </w:tcPr>
          <w:p w:rsidR="00C83BC2" w:rsidRDefault="00C83BC2" w:rsidP="00C83BC2">
            <w:pPr>
              <w:pStyle w:val="T2"/>
              <w:spacing w:after="0"/>
              <w:ind w:left="0" w:right="0"/>
              <w:jc w:val="left"/>
              <w:rPr>
                <w:sz w:val="20"/>
              </w:rPr>
            </w:pPr>
            <w:r>
              <w:rPr>
                <w:sz w:val="20"/>
              </w:rPr>
              <w:t>Address</w:t>
            </w:r>
          </w:p>
        </w:tc>
        <w:tc>
          <w:tcPr>
            <w:tcW w:w="1715" w:type="dxa"/>
            <w:vAlign w:val="center"/>
          </w:tcPr>
          <w:p w:rsidR="00C83BC2" w:rsidRDefault="00C83BC2" w:rsidP="00C83BC2">
            <w:pPr>
              <w:pStyle w:val="T2"/>
              <w:spacing w:after="0"/>
              <w:ind w:left="0" w:right="0"/>
              <w:jc w:val="left"/>
              <w:rPr>
                <w:sz w:val="20"/>
              </w:rPr>
            </w:pPr>
            <w:r>
              <w:rPr>
                <w:sz w:val="20"/>
              </w:rPr>
              <w:t>Phone</w:t>
            </w:r>
          </w:p>
        </w:tc>
        <w:tc>
          <w:tcPr>
            <w:tcW w:w="1647" w:type="dxa"/>
            <w:vAlign w:val="center"/>
          </w:tcPr>
          <w:p w:rsidR="00C83BC2" w:rsidRDefault="00C83BC2" w:rsidP="00C83BC2">
            <w:pPr>
              <w:pStyle w:val="T2"/>
              <w:spacing w:after="0"/>
              <w:ind w:left="0" w:right="0"/>
              <w:jc w:val="left"/>
              <w:rPr>
                <w:sz w:val="20"/>
              </w:rPr>
            </w:pPr>
            <w:r>
              <w:rPr>
                <w:sz w:val="20"/>
              </w:rPr>
              <w:t>email</w:t>
            </w:r>
          </w:p>
        </w:tc>
      </w:tr>
      <w:tr w:rsidR="00C83BC2" w:rsidTr="00C83BC2">
        <w:trPr>
          <w:jc w:val="center"/>
        </w:trPr>
        <w:tc>
          <w:tcPr>
            <w:tcW w:w="1336" w:type="dxa"/>
            <w:vAlign w:val="center"/>
          </w:tcPr>
          <w:p w:rsidR="00C83BC2" w:rsidRDefault="002D7AFF" w:rsidP="00C83BC2">
            <w:pPr>
              <w:pStyle w:val="T2"/>
              <w:spacing w:after="0"/>
              <w:ind w:left="0" w:right="0"/>
              <w:rPr>
                <w:b w:val="0"/>
                <w:sz w:val="20"/>
                <w:lang w:eastAsia="ja-JP"/>
              </w:rPr>
            </w:pPr>
            <w:r>
              <w:rPr>
                <w:b w:val="0"/>
                <w:sz w:val="20"/>
                <w:lang w:eastAsia="ja-JP"/>
              </w:rPr>
              <w:t>Subir Das</w:t>
            </w:r>
          </w:p>
        </w:tc>
        <w:tc>
          <w:tcPr>
            <w:tcW w:w="2064" w:type="dxa"/>
            <w:vAlign w:val="center"/>
          </w:tcPr>
          <w:p w:rsidR="00C83BC2" w:rsidRDefault="002D7AFF" w:rsidP="00C83BC2">
            <w:pPr>
              <w:pStyle w:val="T2"/>
              <w:spacing w:after="0"/>
              <w:ind w:left="0" w:right="0"/>
              <w:rPr>
                <w:b w:val="0"/>
                <w:sz w:val="20"/>
                <w:lang w:eastAsia="ja-JP"/>
              </w:rPr>
            </w:pPr>
            <w:r>
              <w:rPr>
                <w:b w:val="0"/>
                <w:sz w:val="20"/>
                <w:lang w:eastAsia="ja-JP"/>
              </w:rPr>
              <w:t xml:space="preserve">ACS </w:t>
            </w:r>
          </w:p>
        </w:tc>
        <w:tc>
          <w:tcPr>
            <w:tcW w:w="2814" w:type="dxa"/>
            <w:vAlign w:val="center"/>
          </w:tcPr>
          <w:p w:rsidR="00C83BC2" w:rsidRDefault="002D7AFF" w:rsidP="00C83BC2">
            <w:pPr>
              <w:pStyle w:val="T2"/>
              <w:spacing w:after="0"/>
              <w:ind w:left="0" w:right="0"/>
              <w:rPr>
                <w:b w:val="0"/>
                <w:sz w:val="20"/>
                <w:lang w:eastAsia="ja-JP"/>
              </w:rPr>
            </w:pPr>
            <w:r>
              <w:rPr>
                <w:b w:val="0"/>
                <w:sz w:val="20"/>
                <w:lang w:eastAsia="ja-JP"/>
              </w:rPr>
              <w:t xml:space="preserve">150 Mt. Airy Road </w:t>
            </w:r>
          </w:p>
        </w:tc>
        <w:tc>
          <w:tcPr>
            <w:tcW w:w="1715" w:type="dxa"/>
            <w:vAlign w:val="center"/>
          </w:tcPr>
          <w:p w:rsidR="00C83BC2" w:rsidRPr="009E5ED1" w:rsidRDefault="002D7AFF" w:rsidP="00C83BC2">
            <w:pPr>
              <w:pStyle w:val="T2"/>
              <w:spacing w:after="0"/>
              <w:ind w:left="0" w:right="0"/>
              <w:rPr>
                <w:b w:val="0"/>
                <w:sz w:val="18"/>
                <w:szCs w:val="18"/>
                <w:lang w:eastAsia="ja-JP"/>
              </w:rPr>
            </w:pPr>
            <w:r>
              <w:rPr>
                <w:b w:val="0"/>
                <w:sz w:val="18"/>
                <w:szCs w:val="18"/>
                <w:lang w:eastAsia="ja-JP"/>
              </w:rPr>
              <w:t xml:space="preserve">+1 908 748 2483 </w:t>
            </w:r>
          </w:p>
        </w:tc>
        <w:tc>
          <w:tcPr>
            <w:tcW w:w="1647" w:type="dxa"/>
            <w:vAlign w:val="center"/>
          </w:tcPr>
          <w:p w:rsidR="00C83BC2" w:rsidRDefault="002D7AFF" w:rsidP="00652F55">
            <w:pPr>
              <w:pStyle w:val="T2"/>
              <w:spacing w:after="0"/>
              <w:ind w:left="0" w:right="0"/>
              <w:rPr>
                <w:b w:val="0"/>
                <w:sz w:val="16"/>
              </w:rPr>
            </w:pPr>
            <w:r>
              <w:rPr>
                <w:b w:val="0"/>
                <w:sz w:val="16"/>
                <w:lang w:eastAsia="ja-JP"/>
              </w:rPr>
              <w:t>sdas@</w:t>
            </w:r>
            <w:r w:rsidR="009E5ED1">
              <w:rPr>
                <w:b w:val="0"/>
                <w:sz w:val="16"/>
                <w:lang w:eastAsia="ja-JP"/>
              </w:rPr>
              <w:t>a</w:t>
            </w:r>
            <w:r>
              <w:rPr>
                <w:b w:val="0"/>
                <w:sz w:val="16"/>
                <w:lang w:eastAsia="ja-JP"/>
              </w:rPr>
              <w:t>ppcomsci.com</w:t>
            </w:r>
          </w:p>
        </w:tc>
      </w:tr>
    </w:tbl>
    <w:p w:rsidR="004532EB" w:rsidRDefault="00656651">
      <w:pPr>
        <w:pStyle w:val="T1"/>
        <w:spacing w:after="120"/>
        <w:rPr>
          <w:sz w:val="22"/>
        </w:rPr>
      </w:pPr>
      <w:r w:rsidRPr="00656651">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43BF4" w:rsidRDefault="00D43BF4">
                  <w:pPr>
                    <w:pStyle w:val="T1"/>
                    <w:spacing w:after="120"/>
                  </w:pPr>
                  <w:r>
                    <w:t>Abstract</w:t>
                  </w:r>
                </w:p>
                <w:p w:rsidR="00D43BF4" w:rsidRDefault="00D43BF4">
                  <w:pPr>
                    <w:jc w:val="both"/>
                  </w:pPr>
                  <w:r>
                    <w:t>This contribution proposes an outline to restructure clause</w:t>
                  </w:r>
                  <w:r w:rsidR="00E242E8">
                    <w:t>s</w:t>
                  </w:r>
                  <w:r>
                    <w:t xml:space="preserve"> 5  </w:t>
                  </w:r>
                  <w:r w:rsidR="00E242E8">
                    <w:t xml:space="preserve">and 6 </w:t>
                  </w:r>
                  <w:r>
                    <w:t>in IEEE P802.21d/D2.0 to resolve comment</w:t>
                  </w:r>
                  <w:r w:rsidR="005F3255">
                    <w:t>s</w:t>
                  </w:r>
                  <w:r>
                    <w:t xml:space="preserve"> #58</w:t>
                  </w:r>
                  <w:r w:rsidR="005F3255">
                    <w:t>, #59</w:t>
                  </w:r>
                  <w:r>
                    <w:t xml:space="preserve">  received in ballot 7a.</w:t>
                  </w:r>
                </w:p>
              </w:txbxContent>
            </v:textbox>
          </v:shape>
        </w:pict>
      </w:r>
    </w:p>
    <w:p w:rsidR="004532EB" w:rsidRDefault="004532EB" w:rsidP="002A4F65"/>
    <w:p w:rsidR="00814BF4" w:rsidRDefault="00494238" w:rsidP="009E5ED1">
      <w:r>
        <w:br w:type="page"/>
      </w:r>
    </w:p>
    <w:p w:rsidR="00814BF4" w:rsidRDefault="00814BF4" w:rsidP="009E5ED1">
      <w:pPr>
        <w:rPr>
          <w:rFonts w:ascii="Arial" w:hAnsi="Arial" w:cs="Arial"/>
          <w:b/>
          <w:sz w:val="24"/>
        </w:rPr>
      </w:pPr>
      <w:r w:rsidRPr="001C7C6F">
        <w:rPr>
          <w:rFonts w:ascii="Arial" w:hAnsi="Arial" w:cs="Arial"/>
          <w:b/>
          <w:sz w:val="24"/>
          <w:u w:val="single"/>
        </w:rPr>
        <w:lastRenderedPageBreak/>
        <w:t>Background</w:t>
      </w:r>
      <w:r w:rsidRPr="00814BF4">
        <w:rPr>
          <w:rFonts w:ascii="Arial" w:hAnsi="Arial" w:cs="Arial"/>
          <w:b/>
          <w:sz w:val="24"/>
        </w:rPr>
        <w:t>:</w:t>
      </w:r>
    </w:p>
    <w:p w:rsidR="00AE43AE" w:rsidRDefault="002D7AFF" w:rsidP="00652A77">
      <w:pPr>
        <w:jc w:val="both"/>
      </w:pPr>
      <w:r w:rsidRPr="00652A77">
        <w:t xml:space="preserve">Comment #58  in LB#7a states that  “This description is not sufficient and it needs improvement. In particular, this section should have an architecture diagram that illustrates the entities and its relationship with the management of networks.” </w:t>
      </w:r>
    </w:p>
    <w:p w:rsidR="00AE43AE" w:rsidRPr="00652A77" w:rsidRDefault="00AE43AE" w:rsidP="00652A77">
      <w:pPr>
        <w:jc w:val="both"/>
      </w:pPr>
      <w:r>
        <w:t>Comment #59 in LB#7a states that “</w:t>
      </w:r>
      <w:r w:rsidRPr="00AE43AE">
        <w:t>By 'Security' do we mean 'configuration of  keys'? Also are we talking about security of MIH messages here? It seems the security is too general. If it is related to the configuration aspects, we should be more specific.</w:t>
      </w:r>
      <w:r>
        <w:t>”</w:t>
      </w:r>
    </w:p>
    <w:p w:rsidR="008E45D7" w:rsidRDefault="00E675BE" w:rsidP="00E93A69">
      <w:r>
        <w:t>Following</w:t>
      </w:r>
      <w:r w:rsidR="00BA2E52">
        <w:t xml:space="preserve"> are the suggested remedies</w:t>
      </w:r>
      <w:r w:rsidR="008E45D7">
        <w:t xml:space="preserve"> for comments #58 and #59. </w:t>
      </w:r>
    </w:p>
    <w:p w:rsidR="004A53A9" w:rsidRDefault="004A53A9" w:rsidP="00E93A69">
      <w:r w:rsidRPr="001C7C6F">
        <w:rPr>
          <w:rFonts w:ascii="Arial" w:hAnsi="Arial" w:cs="Arial"/>
          <w:b/>
          <w:sz w:val="24"/>
          <w:u w:val="single"/>
        </w:rPr>
        <w:t>New Structure Proposal</w:t>
      </w:r>
      <w:r>
        <w:t>:</w:t>
      </w:r>
    </w:p>
    <w:p w:rsidR="00AF2FEC" w:rsidRDefault="002D7AFF" w:rsidP="00AF2FEC">
      <w:pPr>
        <w:pStyle w:val="ListParagraph"/>
        <w:numPr>
          <w:ilvl w:val="0"/>
          <w:numId w:val="11"/>
        </w:numPr>
        <w:autoSpaceDE w:val="0"/>
        <w:autoSpaceDN w:val="0"/>
        <w:adjustRightInd w:val="0"/>
        <w:spacing w:after="0"/>
        <w:rPr>
          <w:rFonts w:ascii="Arial-BoldMT" w:hAnsi="Arial-BoldMT" w:cs="Arial-BoldMT"/>
          <w:b/>
          <w:bCs/>
          <w:sz w:val="24"/>
          <w:lang w:eastAsia="de-DE"/>
        </w:rPr>
      </w:pPr>
      <w:r w:rsidRPr="00AF2FEC">
        <w:rPr>
          <w:rFonts w:ascii="Arial-BoldMT" w:hAnsi="Arial-BoldMT" w:cs="Arial-BoldMT"/>
          <w:b/>
          <w:bCs/>
          <w:sz w:val="24"/>
          <w:lang w:eastAsia="de-DE"/>
        </w:rPr>
        <w:t>General Architecture</w:t>
      </w:r>
    </w:p>
    <w:p w:rsidR="00970E82" w:rsidRDefault="00970E82" w:rsidP="00970E82">
      <w:pPr>
        <w:pStyle w:val="ListParagraph"/>
        <w:autoSpaceDE w:val="0"/>
        <w:autoSpaceDN w:val="0"/>
        <w:adjustRightInd w:val="0"/>
        <w:spacing w:after="0"/>
        <w:ind w:left="360"/>
        <w:rPr>
          <w:rFonts w:ascii="Arial-BoldMT" w:hAnsi="Arial-BoldMT" w:cs="Arial-BoldMT"/>
          <w:b/>
          <w:bCs/>
          <w:sz w:val="24"/>
          <w:lang w:eastAsia="de-DE"/>
        </w:rPr>
      </w:pPr>
    </w:p>
    <w:p w:rsidR="00AF2FEC" w:rsidRPr="00AF2FEC" w:rsidRDefault="002D7AFF" w:rsidP="00AF2FEC">
      <w:pPr>
        <w:pStyle w:val="ListParagraph"/>
        <w:numPr>
          <w:ilvl w:val="1"/>
          <w:numId w:val="11"/>
        </w:numPr>
        <w:autoSpaceDE w:val="0"/>
        <w:autoSpaceDN w:val="0"/>
        <w:adjustRightInd w:val="0"/>
        <w:spacing w:after="0"/>
        <w:rPr>
          <w:rFonts w:ascii="Arial-BoldMT" w:hAnsi="Arial-BoldMT" w:cs="Arial-BoldMT"/>
          <w:b/>
          <w:bCs/>
          <w:sz w:val="24"/>
          <w:lang w:eastAsia="de-DE"/>
        </w:rPr>
      </w:pPr>
      <w:r w:rsidRPr="00AF2FEC">
        <w:rPr>
          <w:rFonts w:ascii="Arial-BoldMT" w:hAnsi="Arial-BoldMT" w:cs="Arial-BoldMT"/>
          <w:b/>
          <w:bCs/>
          <w:szCs w:val="22"/>
          <w:lang w:eastAsia="de-DE"/>
        </w:rPr>
        <w:t>Introduction</w:t>
      </w:r>
    </w:p>
    <w:p w:rsidR="00AF2FEC" w:rsidRPr="00AF2FEC" w:rsidRDefault="00AF2FEC" w:rsidP="00AF2FEC">
      <w:pPr>
        <w:pStyle w:val="ListParagraph"/>
        <w:autoSpaceDE w:val="0"/>
        <w:autoSpaceDN w:val="0"/>
        <w:adjustRightInd w:val="0"/>
        <w:spacing w:after="0"/>
        <w:ind w:left="792"/>
        <w:rPr>
          <w:rFonts w:ascii="Arial-BoldMT" w:hAnsi="Arial-BoldMT" w:cs="Arial-BoldMT"/>
          <w:b/>
          <w:bCs/>
          <w:sz w:val="24"/>
          <w:lang w:eastAsia="de-DE"/>
        </w:rPr>
      </w:pPr>
    </w:p>
    <w:p w:rsidR="00AF2FEC" w:rsidRPr="00970E82" w:rsidRDefault="00970E82" w:rsidP="00970E82">
      <w:pPr>
        <w:pStyle w:val="ListParagraph"/>
        <w:numPr>
          <w:ilvl w:val="2"/>
          <w:numId w:val="13"/>
        </w:numPr>
        <w:autoSpaceDE w:val="0"/>
        <w:autoSpaceDN w:val="0"/>
        <w:adjustRightInd w:val="0"/>
        <w:spacing w:after="0"/>
        <w:rPr>
          <w:rFonts w:ascii="Arial-BoldMT" w:hAnsi="Arial-BoldMT" w:cs="Arial-BoldMT"/>
          <w:b/>
          <w:bCs/>
          <w:sz w:val="24"/>
          <w:lang w:eastAsia="de-DE"/>
        </w:rPr>
      </w:pPr>
      <w:r>
        <w:rPr>
          <w:rFonts w:ascii="Arial-BoldMT" w:hAnsi="Arial-BoldMT" w:cs="Arial-BoldMT"/>
          <w:b/>
          <w:bCs/>
          <w:sz w:val="20"/>
          <w:szCs w:val="20"/>
          <w:lang w:eastAsia="de-DE"/>
        </w:rPr>
        <w:t>G</w:t>
      </w:r>
      <w:r w:rsidR="002D7AFF" w:rsidRPr="00970E82">
        <w:rPr>
          <w:rFonts w:ascii="Arial-BoldMT" w:hAnsi="Arial-BoldMT" w:cs="Arial-BoldMT"/>
          <w:b/>
          <w:bCs/>
          <w:sz w:val="20"/>
          <w:szCs w:val="20"/>
          <w:lang w:eastAsia="de-DE"/>
        </w:rPr>
        <w:t>roup communication</w:t>
      </w:r>
    </w:p>
    <w:p w:rsidR="002D7AFF" w:rsidRDefault="002D7AFF" w:rsidP="002D7AFF">
      <w:pPr>
        <w:autoSpaceDE w:val="0"/>
        <w:autoSpaceDN w:val="0"/>
        <w:adjustRightInd w:val="0"/>
        <w:spacing w:after="0"/>
        <w:rPr>
          <w:rFonts w:ascii="Arial-BoldMT" w:hAnsi="Arial-BoldMT" w:cs="Arial-BoldMT"/>
          <w:b/>
          <w:bCs/>
          <w:sz w:val="20"/>
          <w:szCs w:val="20"/>
          <w:lang w:eastAsia="de-DE"/>
        </w:rPr>
      </w:pPr>
    </w:p>
    <w:p w:rsidR="00774EDA" w:rsidRDefault="00AF2FEC" w:rsidP="00AF2FEC">
      <w:pPr>
        <w:spacing w:after="0"/>
        <w:jc w:val="both"/>
      </w:pPr>
      <w:r w:rsidRPr="00AF2FEC">
        <w:t xml:space="preserve">There are scenarios where a </w:t>
      </w:r>
      <w:r w:rsidR="00AE2BB9">
        <w:t xml:space="preserve">set </w:t>
      </w:r>
      <w:r w:rsidRPr="00AF2FEC">
        <w:t>of nodes move like a group</w:t>
      </w:r>
      <w:r w:rsidR="00AE2BB9">
        <w:t xml:space="preserve"> between network point of </w:t>
      </w:r>
      <w:r w:rsidR="00AA3BFC">
        <w:t>attachments</w:t>
      </w:r>
      <w:r w:rsidR="00AE2BB9">
        <w:t xml:space="preserve"> and in such cases </w:t>
      </w:r>
      <w:r w:rsidR="00774EDA">
        <w:t xml:space="preserve">multicast-based </w:t>
      </w:r>
      <w:r w:rsidR="00AE2BB9">
        <w:t xml:space="preserve">group communication is required to send the handover commands. </w:t>
      </w:r>
      <w:r w:rsidRPr="00AF2FEC">
        <w:t xml:space="preserve">Examples of these scenarios are </w:t>
      </w:r>
      <w:r w:rsidR="00254B04">
        <w:t xml:space="preserve">networks </w:t>
      </w:r>
      <w:r w:rsidRPr="00AF2FEC">
        <w:t>of sensors/actuators that move between production and management networks or</w:t>
      </w:r>
      <w:r w:rsidR="00970E82">
        <w:t xml:space="preserve"> </w:t>
      </w:r>
      <w:r w:rsidRPr="00AF2FEC">
        <w:t>nodes that move together due to some physical reason, such as all nodes traveling together in a</w:t>
      </w:r>
      <w:r>
        <w:t xml:space="preserve"> </w:t>
      </w:r>
      <w:r w:rsidRPr="00AF2FEC">
        <w:t xml:space="preserve">transportation medium. </w:t>
      </w:r>
      <w:r w:rsidR="00EA5C22">
        <w:t xml:space="preserve">In other scenarios, a set of nodes in a mesh network may need to be moved as a group from one gateway node to another </w:t>
      </w:r>
      <w:r w:rsidR="00BA2E52">
        <w:t xml:space="preserve">while performing </w:t>
      </w:r>
      <w:r w:rsidR="00EA5C22">
        <w:t>failover, failback</w:t>
      </w:r>
      <w:r w:rsidR="00BA2E52">
        <w:t>,</w:t>
      </w:r>
      <w:r w:rsidR="00EA5C22">
        <w:t xml:space="preserve"> c</w:t>
      </w:r>
      <w:r w:rsidR="00652A77">
        <w:t xml:space="preserve">onfiguration </w:t>
      </w:r>
      <w:r w:rsidR="00BA2E52">
        <w:t xml:space="preserve">and other </w:t>
      </w:r>
      <w:r w:rsidR="00652A77">
        <w:t>management</w:t>
      </w:r>
      <w:r w:rsidR="00BA2E52">
        <w:t xml:space="preserve"> operations. </w:t>
      </w:r>
      <w:r w:rsidR="00EA5C22">
        <w:t xml:space="preserve">  </w:t>
      </w:r>
    </w:p>
    <w:p w:rsidR="00575E11" w:rsidRDefault="00575E11" w:rsidP="00432FDA">
      <w:pPr>
        <w:rPr>
          <w:b/>
          <w:bCs/>
        </w:rPr>
      </w:pPr>
    </w:p>
    <w:p w:rsidR="00AE43AE" w:rsidRDefault="00AE43AE" w:rsidP="008E45D7">
      <w:pPr>
        <w:jc w:val="center"/>
        <w:rPr>
          <w:b/>
          <w:bCs/>
        </w:rPr>
      </w:pPr>
      <w:r w:rsidRPr="00AE43AE">
        <w:rPr>
          <w:b/>
          <w:bCs/>
        </w:rPr>
        <w:drawing>
          <wp:inline distT="0" distB="0" distL="0" distR="0">
            <wp:extent cx="4622800" cy="2705100"/>
            <wp:effectExtent l="19050" t="0" r="6350" b="0"/>
            <wp:docPr id="1"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17133" cy="5838998"/>
                      <a:chOff x="395536" y="404664"/>
                      <a:chExt cx="8117133" cy="5838998"/>
                    </a:xfrm>
                  </a:grpSpPr>
                  <a:grpSp>
                    <a:nvGrpSpPr>
                      <a:cNvPr id="29" name="Group 28"/>
                      <a:cNvGrpSpPr/>
                    </a:nvGrpSpPr>
                    <a:grpSpPr>
                      <a:xfrm>
                        <a:off x="395536" y="404664"/>
                        <a:ext cx="8117133" cy="5838998"/>
                        <a:chOff x="395536" y="404664"/>
                        <a:chExt cx="8117133" cy="5838998"/>
                      </a:xfrm>
                    </a:grpSpPr>
                    <a:sp>
                      <a:nvSpPr>
                        <a:cNvPr id="6" name="正方形/長方形 5"/>
                        <a:cNvSpPr/>
                      </a:nvSpPr>
                      <a:spPr>
                        <a:xfrm>
                          <a:off x="395536" y="5373216"/>
                          <a:ext cx="1152128" cy="864096"/>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en-US" altLang="ja-JP" dirty="0" smtClean="0"/>
                              <a:t>MN</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7" name="正方形/長方形 6"/>
                        <a:cNvSpPr/>
                      </a:nvSpPr>
                      <a:spPr>
                        <a:xfrm>
                          <a:off x="7236295" y="5373216"/>
                          <a:ext cx="1152128" cy="864096"/>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en-US" altLang="ja-JP" dirty="0" smtClean="0"/>
                              <a:t>MN</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10" name="雲 9"/>
                        <a:cNvSpPr/>
                      </a:nvSpPr>
                      <a:spPr>
                        <a:xfrm>
                          <a:off x="1015712" y="3635732"/>
                          <a:ext cx="2288040" cy="1008112"/>
                        </a:xfrm>
                        <a:prstGeom prst="cloud">
                          <a:avLst/>
                        </a:prstGeom>
                        <a:ln/>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endParaRPr kumimoji="1" lang="ja-JP" altLang="en-US"/>
                          </a:p>
                        </a:txBody>
                        <a:useSpRect/>
                      </a:txSp>
                      <a:style>
                        <a:lnRef idx="2">
                          <a:schemeClr val="dk1"/>
                        </a:lnRef>
                        <a:fillRef idx="1">
                          <a:schemeClr val="lt1"/>
                        </a:fillRef>
                        <a:effectRef idx="0">
                          <a:schemeClr val="dk1"/>
                        </a:effectRef>
                        <a:fontRef idx="minor">
                          <a:schemeClr val="dk1"/>
                        </a:fontRef>
                      </a:style>
                    </a:sp>
                    <a:sp>
                      <a:nvSpPr>
                        <a:cNvPr id="11" name="正方形/長方形 10"/>
                        <a:cNvSpPr/>
                      </a:nvSpPr>
                      <a:spPr>
                        <a:xfrm>
                          <a:off x="5076056" y="5373216"/>
                          <a:ext cx="1152128" cy="864096"/>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en-US" altLang="ja-JP" dirty="0" smtClean="0"/>
                              <a:t>MN</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12" name="正方形/長方形 11"/>
                        <a:cNvSpPr/>
                      </a:nvSpPr>
                      <a:spPr>
                        <a:xfrm>
                          <a:off x="2683577" y="5373216"/>
                          <a:ext cx="1152128" cy="864096"/>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en-US" altLang="ja-JP" dirty="0" smtClean="0"/>
                              <a:t>MN</a:t>
                            </a:r>
                            <a:endParaRPr kumimoji="1" lang="ja-JP" altLang="en-US" dirty="0"/>
                          </a:p>
                        </a:txBody>
                        <a:useSpRect/>
                      </a:txSp>
                      <a:style>
                        <a:lnRef idx="2">
                          <a:schemeClr val="dk1"/>
                        </a:lnRef>
                        <a:fillRef idx="1">
                          <a:schemeClr val="lt1"/>
                        </a:fillRef>
                        <a:effectRef idx="0">
                          <a:schemeClr val="dk1"/>
                        </a:effectRef>
                        <a:fontRef idx="minor">
                          <a:schemeClr val="dk1"/>
                        </a:fontRef>
                      </a:style>
                    </a:sp>
                    <a:cxnSp>
                      <a:nvCxnSpPr>
                        <a:cNvPr id="20" name="直線コネクタ 19"/>
                        <a:cNvCxnSpPr/>
                      </a:nvCxnSpPr>
                      <a:spPr>
                        <a:xfrm flipH="1">
                          <a:off x="1911279" y="1196752"/>
                          <a:ext cx="2696725" cy="648072"/>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22" name="直線コネクタ 21"/>
                        <a:cNvCxnSpPr/>
                      </a:nvCxnSpPr>
                      <a:spPr>
                        <a:xfrm>
                          <a:off x="4608004" y="1196752"/>
                          <a:ext cx="258962" cy="730099"/>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24" name="直線コネクタ 23"/>
                        <a:cNvCxnSpPr/>
                      </a:nvCxnSpPr>
                      <a:spPr>
                        <a:xfrm>
                          <a:off x="4608004" y="1196752"/>
                          <a:ext cx="2768733" cy="800472"/>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26" name="直線コネクタ 25"/>
                        <a:cNvCxnSpPr>
                          <a:stCxn id="48" idx="2"/>
                          <a:endCxn id="10" idx="3"/>
                        </a:cNvCxnSpPr>
                      </a:nvCxnSpPr>
                      <a:spPr>
                        <a:xfrm>
                          <a:off x="1780640" y="2718939"/>
                          <a:ext cx="379092" cy="974433"/>
                        </a:xfrm>
                        <a:prstGeom prst="line">
                          <a:avLst/>
                        </a:prstGeom>
                      </a:spPr>
                      <a:style>
                        <a:lnRef idx="1">
                          <a:schemeClr val="accent1"/>
                        </a:lnRef>
                        <a:fillRef idx="0">
                          <a:schemeClr val="accent1"/>
                        </a:fillRef>
                        <a:effectRef idx="0">
                          <a:schemeClr val="accent1"/>
                        </a:effectRef>
                        <a:fontRef idx="minor">
                          <a:schemeClr val="tx1"/>
                        </a:fontRef>
                      </a:style>
                    </a:cxnSp>
                    <a:cxnSp>
                      <a:nvCxnSpPr>
                        <a:cNvPr id="28" name="直線コネクタ 27"/>
                        <a:cNvCxnSpPr>
                          <a:stCxn id="48" idx="2"/>
                          <a:endCxn id="38" idx="3"/>
                        </a:cNvCxnSpPr>
                      </a:nvCxnSpPr>
                      <a:spPr>
                        <a:xfrm>
                          <a:off x="1780640" y="2718939"/>
                          <a:ext cx="4447544" cy="1035152"/>
                        </a:xfrm>
                        <a:prstGeom prst="line">
                          <a:avLst/>
                        </a:prstGeom>
                      </a:spPr>
                      <a:style>
                        <a:lnRef idx="1">
                          <a:schemeClr val="accent1"/>
                        </a:lnRef>
                        <a:fillRef idx="0">
                          <a:schemeClr val="accent1"/>
                        </a:fillRef>
                        <a:effectRef idx="0">
                          <a:schemeClr val="accent1"/>
                        </a:effectRef>
                        <a:fontRef idx="minor">
                          <a:schemeClr val="tx1"/>
                        </a:fontRef>
                      </a:style>
                    </a:cxnSp>
                    <a:cxnSp>
                      <a:nvCxnSpPr>
                        <a:cNvPr id="30" name="直線コネクタ 29"/>
                        <a:cNvCxnSpPr>
                          <a:stCxn id="50" idx="2"/>
                        </a:cNvCxnSpPr>
                      </a:nvCxnSpPr>
                      <a:spPr>
                        <a:xfrm flipH="1">
                          <a:off x="3203849" y="2845513"/>
                          <a:ext cx="1582599" cy="878561"/>
                        </a:xfrm>
                        <a:prstGeom prst="line">
                          <a:avLst/>
                        </a:prstGeom>
                      </a:spPr>
                      <a:style>
                        <a:lnRef idx="1">
                          <a:schemeClr val="accent1"/>
                        </a:lnRef>
                        <a:fillRef idx="0">
                          <a:schemeClr val="accent1"/>
                        </a:fillRef>
                        <a:effectRef idx="0">
                          <a:schemeClr val="accent1"/>
                        </a:effectRef>
                        <a:fontRef idx="minor">
                          <a:schemeClr val="tx1"/>
                        </a:fontRef>
                      </a:style>
                    </a:cxnSp>
                    <a:cxnSp>
                      <a:nvCxnSpPr>
                        <a:cNvPr id="32" name="直線コネクタ 31"/>
                        <a:cNvCxnSpPr>
                          <a:stCxn id="50" idx="2"/>
                          <a:endCxn id="38" idx="3"/>
                        </a:cNvCxnSpPr>
                      </a:nvCxnSpPr>
                      <a:spPr>
                        <a:xfrm>
                          <a:off x="4786448" y="2845513"/>
                          <a:ext cx="1441736" cy="908578"/>
                        </a:xfrm>
                        <a:prstGeom prst="line">
                          <a:avLst/>
                        </a:prstGeom>
                      </a:spPr>
                      <a:style>
                        <a:lnRef idx="1">
                          <a:schemeClr val="accent1"/>
                        </a:lnRef>
                        <a:fillRef idx="0">
                          <a:schemeClr val="accent1"/>
                        </a:fillRef>
                        <a:effectRef idx="0">
                          <a:schemeClr val="accent1"/>
                        </a:effectRef>
                        <a:fontRef idx="minor">
                          <a:schemeClr val="tx1"/>
                        </a:fontRef>
                      </a:style>
                    </a:cxnSp>
                    <a:cxnSp>
                      <a:nvCxnSpPr>
                        <a:cNvPr id="36" name="直線コネクタ 35"/>
                        <a:cNvCxnSpPr>
                          <a:stCxn id="52" idx="2"/>
                          <a:endCxn id="38" idx="3"/>
                        </a:cNvCxnSpPr>
                      </a:nvCxnSpPr>
                      <a:spPr>
                        <a:xfrm flipH="1">
                          <a:off x="6228184" y="2845513"/>
                          <a:ext cx="1112312" cy="908578"/>
                        </a:xfrm>
                        <a:prstGeom prst="line">
                          <a:avLst/>
                        </a:prstGeom>
                      </a:spPr>
                      <a:style>
                        <a:lnRef idx="1">
                          <a:schemeClr val="accent1"/>
                        </a:lnRef>
                        <a:fillRef idx="0">
                          <a:schemeClr val="accent1"/>
                        </a:fillRef>
                        <a:effectRef idx="0">
                          <a:schemeClr val="accent1"/>
                        </a:effectRef>
                        <a:fontRef idx="minor">
                          <a:schemeClr val="tx1"/>
                        </a:fontRef>
                      </a:style>
                    </a:cxnSp>
                    <a:sp>
                      <a:nvSpPr>
                        <a:cNvPr id="38" name="雲 37"/>
                        <a:cNvSpPr/>
                      </a:nvSpPr>
                      <a:spPr>
                        <a:xfrm>
                          <a:off x="3943698" y="3696451"/>
                          <a:ext cx="4568971" cy="1008112"/>
                        </a:xfrm>
                        <a:prstGeom prst="cloud">
                          <a:avLst/>
                        </a:prstGeom>
                        <a:ln/>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endParaRPr kumimoji="1" lang="ja-JP" altLang="en-US"/>
                          </a:p>
                        </a:txBody>
                        <a:useSpRect/>
                      </a:txSp>
                      <a:style>
                        <a:lnRef idx="2">
                          <a:schemeClr val="dk1"/>
                        </a:lnRef>
                        <a:fillRef idx="1">
                          <a:schemeClr val="lt1"/>
                        </a:fillRef>
                        <a:effectRef idx="0">
                          <a:schemeClr val="dk1"/>
                        </a:effectRef>
                        <a:fontRef idx="minor">
                          <a:schemeClr val="dk1"/>
                        </a:fontRef>
                      </a:style>
                    </a:sp>
                    <a:cxnSp>
                      <a:nvCxnSpPr>
                        <a:cNvPr id="40" name="直線コネクタ 39"/>
                        <a:cNvCxnSpPr>
                          <a:stCxn id="10" idx="1"/>
                          <a:endCxn id="6" idx="0"/>
                        </a:cNvCxnSpPr>
                      </a:nvCxnSpPr>
                      <a:spPr>
                        <a:xfrm flipH="1">
                          <a:off x="971600" y="4642771"/>
                          <a:ext cx="1188132" cy="730445"/>
                        </a:xfrm>
                        <a:prstGeom prst="line">
                          <a:avLst/>
                        </a:prstGeom>
                      </a:spPr>
                      <a:style>
                        <a:lnRef idx="1">
                          <a:schemeClr val="accent1"/>
                        </a:lnRef>
                        <a:fillRef idx="0">
                          <a:schemeClr val="accent1"/>
                        </a:fillRef>
                        <a:effectRef idx="0">
                          <a:schemeClr val="accent1"/>
                        </a:effectRef>
                        <a:fontRef idx="minor">
                          <a:schemeClr val="tx1"/>
                        </a:fontRef>
                      </a:style>
                    </a:cxnSp>
                    <a:cxnSp>
                      <a:nvCxnSpPr>
                        <a:cNvPr id="42" name="直線コネクタ 41"/>
                        <a:cNvCxnSpPr>
                          <a:stCxn id="10" idx="1"/>
                          <a:endCxn id="12" idx="0"/>
                        </a:cNvCxnSpPr>
                      </a:nvCxnSpPr>
                      <a:spPr>
                        <a:xfrm>
                          <a:off x="2159732" y="4642771"/>
                          <a:ext cx="1099909" cy="730445"/>
                        </a:xfrm>
                        <a:prstGeom prst="line">
                          <a:avLst/>
                        </a:prstGeom>
                      </a:spPr>
                      <a:style>
                        <a:lnRef idx="1">
                          <a:schemeClr val="accent1"/>
                        </a:lnRef>
                        <a:fillRef idx="0">
                          <a:schemeClr val="accent1"/>
                        </a:fillRef>
                        <a:effectRef idx="0">
                          <a:schemeClr val="accent1"/>
                        </a:effectRef>
                        <a:fontRef idx="minor">
                          <a:schemeClr val="tx1"/>
                        </a:fontRef>
                      </a:style>
                    </a:cxnSp>
                    <a:cxnSp>
                      <a:nvCxnSpPr>
                        <a:cNvPr id="44" name="直線コネクタ 43"/>
                        <a:cNvCxnSpPr>
                          <a:stCxn id="38" idx="1"/>
                          <a:endCxn id="11" idx="0"/>
                        </a:cNvCxnSpPr>
                      </a:nvCxnSpPr>
                      <a:spPr>
                        <a:xfrm flipH="1">
                          <a:off x="5652120" y="4703490"/>
                          <a:ext cx="576064" cy="669726"/>
                        </a:xfrm>
                        <a:prstGeom prst="line">
                          <a:avLst/>
                        </a:prstGeom>
                      </a:spPr>
                      <a:style>
                        <a:lnRef idx="1">
                          <a:schemeClr val="accent1"/>
                        </a:lnRef>
                        <a:fillRef idx="0">
                          <a:schemeClr val="accent1"/>
                        </a:fillRef>
                        <a:effectRef idx="0">
                          <a:schemeClr val="accent1"/>
                        </a:effectRef>
                        <a:fontRef idx="minor">
                          <a:schemeClr val="tx1"/>
                        </a:fontRef>
                      </a:style>
                    </a:cxnSp>
                    <a:cxnSp>
                      <a:nvCxnSpPr>
                        <a:cNvPr id="46" name="直線コネクタ 45"/>
                        <a:cNvCxnSpPr>
                          <a:stCxn id="38" idx="1"/>
                          <a:endCxn id="7" idx="0"/>
                        </a:cNvCxnSpPr>
                      </a:nvCxnSpPr>
                      <a:spPr>
                        <a:xfrm>
                          <a:off x="6228184" y="4703490"/>
                          <a:ext cx="1584175" cy="669726"/>
                        </a:xfrm>
                        <a:prstGeom prst="line">
                          <a:avLst/>
                        </a:prstGeom>
                      </a:spPr>
                      <a:style>
                        <a:lnRef idx="1">
                          <a:schemeClr val="accent1"/>
                        </a:lnRef>
                        <a:fillRef idx="0">
                          <a:schemeClr val="accent1"/>
                        </a:fillRef>
                        <a:effectRef idx="0">
                          <a:schemeClr val="accent1"/>
                        </a:effectRef>
                        <a:fontRef idx="minor">
                          <a:schemeClr val="tx1"/>
                        </a:fontRef>
                      </a:style>
                    </a:cxnSp>
                    <a:sp>
                      <a:nvSpPr>
                        <a:cNvPr id="61" name="テキスト ボックス 60"/>
                        <a:cNvSpPr txBox="1"/>
                      </a:nvSpPr>
                      <a:spPr>
                        <a:xfrm>
                          <a:off x="5292080" y="3933056"/>
                          <a:ext cx="1738681" cy="584775"/>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en-US" altLang="ja-JP" sz="1600" dirty="0" smtClean="0"/>
                              <a:t>Multicast </a:t>
                            </a:r>
                            <a:endParaRPr kumimoji="1" lang="en-US" altLang="ja-JP" sz="1600" dirty="0" smtClean="0"/>
                          </a:p>
                          <a:p>
                            <a:r>
                              <a:rPr kumimoji="1" lang="en-US" altLang="ja-JP" sz="1600" dirty="0" smtClean="0"/>
                              <a:t>Transport/Channel</a:t>
                            </a:r>
                            <a:endParaRPr kumimoji="1" lang="ja-JP" altLang="en-US" sz="1600" dirty="0"/>
                          </a:p>
                        </a:txBody>
                        <a:useSpRect/>
                      </a:txSp>
                    </a:sp>
                    <a:sp>
                      <a:nvSpPr>
                        <a:cNvPr id="62" name="テキスト ボックス 61"/>
                        <a:cNvSpPr txBox="1"/>
                      </a:nvSpPr>
                      <a:spPr>
                        <a:xfrm>
                          <a:off x="1262844" y="3831175"/>
                          <a:ext cx="1880515" cy="584775"/>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en-US" altLang="ja-JP" sz="1600" dirty="0" smtClean="0"/>
                              <a:t>Multicast </a:t>
                            </a:r>
                            <a:r>
                              <a:rPr kumimoji="1" lang="en-US" altLang="ja-JP" sz="1600" dirty="0" smtClean="0"/>
                              <a:t>Transport/</a:t>
                            </a:r>
                          </a:p>
                          <a:p>
                            <a:r>
                              <a:rPr kumimoji="1" lang="en-US" altLang="ja-JP" sz="1600" dirty="0" smtClean="0"/>
                              <a:t>Channel</a:t>
                            </a:r>
                            <a:endParaRPr kumimoji="1" lang="ja-JP" altLang="en-US" sz="1600" dirty="0"/>
                          </a:p>
                        </a:txBody>
                        <a:useSpRect/>
                      </a:txSp>
                    </a:sp>
                    <a:sp>
                      <a:nvSpPr>
                        <a:cNvPr id="27" name="正方形/長方形 26"/>
                        <a:cNvSpPr/>
                      </a:nvSpPr>
                      <a:spPr>
                        <a:xfrm>
                          <a:off x="3798964" y="404664"/>
                          <a:ext cx="1618079" cy="792088"/>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en-US" altLang="ja-JP" dirty="0" smtClean="0"/>
                              <a:t>Group Manager</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48" name="正方形/長方形 47"/>
                        <a:cNvSpPr/>
                      </a:nvSpPr>
                      <a:spPr>
                        <a:xfrm>
                          <a:off x="971600" y="1926851"/>
                          <a:ext cx="1618079" cy="792088"/>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lang="en-US" altLang="ja-JP" dirty="0" smtClean="0"/>
                              <a:t>Command Center (</a:t>
                            </a:r>
                            <a:r>
                              <a:rPr lang="en-US" altLang="ja-JP" dirty="0" err="1" smtClean="0"/>
                              <a:t>PoS</a:t>
                            </a:r>
                            <a:r>
                              <a:rPr lang="en-US" altLang="ja-JP" dirty="0" smtClean="0"/>
                              <a:t>)</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50" name="正方形/長方形 49"/>
                        <a:cNvSpPr/>
                      </a:nvSpPr>
                      <a:spPr>
                        <a:xfrm>
                          <a:off x="3977408" y="2053425"/>
                          <a:ext cx="1618079" cy="792088"/>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lang="en-US" altLang="ja-JP" dirty="0" smtClean="0"/>
                              <a:t>Command Center (</a:t>
                            </a:r>
                            <a:r>
                              <a:rPr lang="en-US" altLang="ja-JP" dirty="0" err="1" smtClean="0"/>
                              <a:t>PoS</a:t>
                            </a:r>
                            <a:r>
                              <a:rPr lang="en-US" altLang="ja-JP" dirty="0" smtClean="0"/>
                              <a:t>)</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52" name="正方形/長方形 51"/>
                        <a:cNvSpPr/>
                      </a:nvSpPr>
                      <a:spPr>
                        <a:xfrm>
                          <a:off x="6531456" y="2053425"/>
                          <a:ext cx="1618079" cy="792088"/>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lang="en-US" altLang="ja-JP" dirty="0" smtClean="0"/>
                              <a:t>Command Center (</a:t>
                            </a:r>
                            <a:r>
                              <a:rPr lang="en-US" altLang="ja-JP" dirty="0" err="1" smtClean="0"/>
                              <a:t>PoS</a:t>
                            </a:r>
                            <a:r>
                              <a:rPr lang="en-US" altLang="ja-JP" dirty="0" smtClean="0"/>
                              <a:t>)</a:t>
                            </a:r>
                            <a:endParaRPr kumimoji="1" lang="ja-JP" altLang="en-US" dirty="0"/>
                          </a:p>
                        </a:txBody>
                        <a:useSpRect/>
                      </a:txSp>
                      <a:style>
                        <a:lnRef idx="2">
                          <a:schemeClr val="dk1"/>
                        </a:lnRef>
                        <a:fillRef idx="1">
                          <a:schemeClr val="lt1"/>
                        </a:fillRef>
                        <a:effectRef idx="0">
                          <a:schemeClr val="dk1"/>
                        </a:effectRef>
                        <a:fontRef idx="minor">
                          <a:schemeClr val="dk1"/>
                        </a:fontRef>
                      </a:style>
                    </a:sp>
                    <a:cxnSp>
                      <a:nvCxnSpPr>
                        <a:cNvPr id="71" name="曲線コネクタ 70"/>
                        <a:cNvCxnSpPr>
                          <a:stCxn id="12" idx="2"/>
                          <a:endCxn id="11" idx="2"/>
                        </a:cNvCxnSpPr>
                      </a:nvCxnSpPr>
                      <a:spPr>
                        <a:xfrm rot="16200000" flipH="1">
                          <a:off x="4455880" y="5041072"/>
                          <a:ext cx="12700" cy="2392479"/>
                        </a:xfrm>
                        <a:prstGeom prst="curvedConnector3">
                          <a:avLst>
                            <a:gd name="adj1" fmla="val 3929575"/>
                          </a:avLst>
                        </a:prstGeom>
                        <a:ln>
                          <a:headEnd type="arrow"/>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8E45D7" w:rsidRDefault="008E45D7" w:rsidP="008E45D7">
      <w:pPr>
        <w:pStyle w:val="Caption"/>
        <w:jc w:val="center"/>
        <w:rPr>
          <w:b w:val="0"/>
          <w:bCs w:val="0"/>
        </w:rPr>
      </w:pPr>
      <w:r>
        <w:t>Figure 12: MIH Group Communication Functional Entities</w:t>
      </w:r>
    </w:p>
    <w:p w:rsidR="008E45D7" w:rsidRPr="00432FDA" w:rsidRDefault="008E45D7" w:rsidP="008E45D7">
      <w:pPr>
        <w:tabs>
          <w:tab w:val="left" w:pos="540"/>
        </w:tabs>
        <w:jc w:val="both"/>
        <w:rPr>
          <w:bCs/>
        </w:rPr>
      </w:pPr>
      <w:r>
        <w:t xml:space="preserve">This standard allows network nodes to send commands to a group of MNs, </w:t>
      </w:r>
      <w:proofErr w:type="spellStart"/>
      <w:r>
        <w:t>PoSes</w:t>
      </w:r>
      <w:proofErr w:type="spellEnd"/>
      <w:r>
        <w:t xml:space="preserve"> and vice versa via multicast transport (or channel) in a secure way. The standard defines</w:t>
      </w:r>
      <w:r w:rsidRPr="00AF2FEC">
        <w:t xml:space="preserve"> primitives </w:t>
      </w:r>
      <w:r>
        <w:t xml:space="preserve">and corresponding messages </w:t>
      </w:r>
      <w:r w:rsidRPr="00AF2FEC">
        <w:t>for managing</w:t>
      </w:r>
      <w:r>
        <w:t xml:space="preserve"> </w:t>
      </w:r>
      <w:r w:rsidRPr="00AF2FEC">
        <w:t xml:space="preserve">the </w:t>
      </w:r>
      <w:r>
        <w:t xml:space="preserve">multicast group membership </w:t>
      </w:r>
      <w:r w:rsidRPr="00AF2FEC">
        <w:t>(</w:t>
      </w:r>
      <w:r>
        <w:t xml:space="preserve"> e.g., </w:t>
      </w:r>
      <w:r w:rsidRPr="00AF2FEC">
        <w:t xml:space="preserve">join, leave and update group membership) and </w:t>
      </w:r>
      <w:r>
        <w:t xml:space="preserve">provide mechanisms for managing </w:t>
      </w:r>
      <w:r w:rsidRPr="00AF2FEC">
        <w:t>multicast</w:t>
      </w:r>
      <w:r>
        <w:t xml:space="preserve"> group key</w:t>
      </w:r>
      <w:r w:rsidRPr="00AF2FEC">
        <w:t>s.</w:t>
      </w:r>
      <w:r>
        <w:t xml:space="preserve"> </w:t>
      </w:r>
      <w:r>
        <w:rPr>
          <w:bCs/>
        </w:rPr>
        <w:t xml:space="preserve">Figure 12 </w:t>
      </w:r>
      <w:r w:rsidRPr="00432FDA">
        <w:rPr>
          <w:bCs/>
        </w:rPr>
        <w:t xml:space="preserve">shows the </w:t>
      </w:r>
      <w:r>
        <w:rPr>
          <w:bCs/>
        </w:rPr>
        <w:t xml:space="preserve">logical view of functional entities that are involved in MIH group communication. While the group manager is </w:t>
      </w:r>
      <w:r>
        <w:rPr>
          <w:bCs/>
        </w:rPr>
        <w:lastRenderedPageBreak/>
        <w:t xml:space="preserve">responsible for generating the keys and managing the group, command center is responsible for issuing the group manipulation and group commands.  </w:t>
      </w:r>
      <w:r w:rsidR="00470FF4">
        <w:rPr>
          <w:bCs/>
        </w:rPr>
        <w:t xml:space="preserve">Group manager and Command center communicate with MNs via a multicast channel/transport that is made available by the underlying network. </w:t>
      </w:r>
    </w:p>
    <w:p w:rsidR="00575E11" w:rsidRDefault="00575E11" w:rsidP="00432FDA">
      <w:pPr>
        <w:rPr>
          <w:b/>
          <w:bCs/>
        </w:rPr>
      </w:pPr>
    </w:p>
    <w:p w:rsidR="00575E11" w:rsidRDefault="00575E11" w:rsidP="00432FDA">
      <w:pPr>
        <w:rPr>
          <w:b/>
          <w:bCs/>
        </w:rPr>
      </w:pPr>
      <w:r>
        <w:rPr>
          <w:rFonts w:ascii="Arial-BoldMT" w:hAnsi="Arial-BoldMT" w:cs="Arial-BoldMT"/>
          <w:b/>
          <w:bCs/>
          <w:sz w:val="24"/>
          <w:lang w:eastAsia="de-DE"/>
        </w:rPr>
        <w:t>6. MIHF services</w:t>
      </w:r>
    </w:p>
    <w:p w:rsidR="00432FDA" w:rsidRDefault="00432FDA" w:rsidP="00432FDA">
      <w:pPr>
        <w:rPr>
          <w:b/>
          <w:bCs/>
        </w:rPr>
      </w:pPr>
      <w:r w:rsidRPr="00432FDA">
        <w:rPr>
          <w:b/>
          <w:bCs/>
        </w:rPr>
        <w:t xml:space="preserve">6.2.7 </w:t>
      </w:r>
      <w:r>
        <w:rPr>
          <w:b/>
          <w:bCs/>
        </w:rPr>
        <w:t xml:space="preserve">  </w:t>
      </w:r>
      <w:r w:rsidR="007D0966" w:rsidRPr="00432FDA">
        <w:rPr>
          <w:b/>
          <w:bCs/>
        </w:rPr>
        <w:t xml:space="preserve">MIH group configuration, </w:t>
      </w:r>
      <w:r w:rsidR="005F3255">
        <w:rPr>
          <w:b/>
          <w:bCs/>
        </w:rPr>
        <w:t xml:space="preserve">and </w:t>
      </w:r>
      <w:r w:rsidR="007D0966" w:rsidRPr="00432FDA">
        <w:rPr>
          <w:b/>
          <w:bCs/>
        </w:rPr>
        <w:t xml:space="preserve">manipulation </w:t>
      </w:r>
    </w:p>
    <w:p w:rsidR="00575E11" w:rsidRPr="00432FDA" w:rsidRDefault="00575E11" w:rsidP="00575E11">
      <w:pPr>
        <w:tabs>
          <w:tab w:val="left" w:pos="540"/>
        </w:tabs>
        <w:jc w:val="both"/>
        <w:rPr>
          <w:bCs/>
        </w:rPr>
      </w:pPr>
      <w:r w:rsidRPr="00432FDA">
        <w:t xml:space="preserve">The MIH group configuration, </w:t>
      </w:r>
      <w:r w:rsidR="005F3255">
        <w:t xml:space="preserve">and </w:t>
      </w:r>
      <w:r w:rsidRPr="00432FDA">
        <w:t xml:space="preserve">manipulation </w:t>
      </w:r>
      <w:r w:rsidR="005F3255">
        <w:t xml:space="preserve">provide mechanisms for </w:t>
      </w:r>
      <w:proofErr w:type="spellStart"/>
      <w:r w:rsidRPr="00432FDA">
        <w:t>PoS</w:t>
      </w:r>
      <w:proofErr w:type="spellEnd"/>
      <w:r w:rsidRPr="00432FDA">
        <w:t xml:space="preserve"> to manage groups</w:t>
      </w:r>
      <w:r>
        <w:t xml:space="preserve"> </w:t>
      </w:r>
      <w:r w:rsidRPr="00432FDA">
        <w:t xml:space="preserve">of </w:t>
      </w:r>
      <w:proofErr w:type="gramStart"/>
      <w:r w:rsidRPr="00432FDA">
        <w:t xml:space="preserve">MNs, </w:t>
      </w:r>
      <w:r w:rsidR="00470FF4">
        <w:t>that</w:t>
      </w:r>
      <w:proofErr w:type="gramEnd"/>
      <w:r w:rsidR="00470FF4">
        <w:t xml:space="preserve"> </w:t>
      </w:r>
      <w:r w:rsidRPr="00432FDA">
        <w:t xml:space="preserve">are accessible through multicast </w:t>
      </w:r>
      <w:r w:rsidR="00470FF4">
        <w:t xml:space="preserve">transport or channel </w:t>
      </w:r>
      <w:r w:rsidRPr="00432FDA">
        <w:t>in a secure way.</w:t>
      </w:r>
      <w:r>
        <w:rPr>
          <w:bCs/>
        </w:rPr>
        <w:t xml:space="preserve"> </w:t>
      </w:r>
      <w:r w:rsidR="00432FDA" w:rsidRPr="00432FDA">
        <w:t>The primitives used to manage</w:t>
      </w:r>
      <w:r w:rsidR="00432FDA">
        <w:t xml:space="preserve"> </w:t>
      </w:r>
      <w:r w:rsidR="00432FDA" w:rsidRPr="00432FDA">
        <w:t>the membership to the groups and their security properties are called group manipulation commands</w:t>
      </w:r>
      <w:r w:rsidR="00432FDA">
        <w:t xml:space="preserve"> </w:t>
      </w:r>
      <w:r w:rsidR="00D43BF4">
        <w:t xml:space="preserve">which </w:t>
      </w:r>
      <w:r w:rsidR="00432FDA" w:rsidRPr="00432FDA">
        <w:t>include the required functionality to manage the group membership (</w:t>
      </w:r>
      <w:r w:rsidR="007F641D">
        <w:t xml:space="preserve">e.g., </w:t>
      </w:r>
      <w:r w:rsidR="00432FDA" w:rsidRPr="00432FDA">
        <w:t xml:space="preserve">join, leave, </w:t>
      </w:r>
      <w:r w:rsidR="00AA3BFC" w:rsidRPr="00432FDA">
        <w:t>and update</w:t>
      </w:r>
      <w:r w:rsidR="00432FDA" w:rsidRPr="00432FDA">
        <w:t xml:space="preserve"> operations) and install appropriate credentials </w:t>
      </w:r>
      <w:r w:rsidR="007F641D">
        <w:t xml:space="preserve">to </w:t>
      </w:r>
      <w:r w:rsidR="00432FDA" w:rsidRPr="00432FDA">
        <w:t xml:space="preserve">MNs belonging to </w:t>
      </w:r>
      <w:r w:rsidR="007F641D">
        <w:t xml:space="preserve">a </w:t>
      </w:r>
      <w:r w:rsidR="00432FDA" w:rsidRPr="00432FDA">
        <w:t>group. Details on</w:t>
      </w:r>
      <w:r w:rsidR="00432FDA">
        <w:t xml:space="preserve"> </w:t>
      </w:r>
      <w:r w:rsidR="00432FDA" w:rsidRPr="00432FDA">
        <w:t>which MIHF commands can be used for multicast communication can be found on Clause 8.3.1.</w:t>
      </w:r>
      <w:r w:rsidR="00D43BF4">
        <w:t xml:space="preserve"> </w:t>
      </w:r>
      <w:r>
        <w:rPr>
          <w:bCs/>
        </w:rPr>
        <w:t xml:space="preserve">Group manager and command center may be collocated in a PoS in which the dotted line between group manager and command center </w:t>
      </w:r>
      <w:r w:rsidR="007F641D">
        <w:rPr>
          <w:bCs/>
        </w:rPr>
        <w:t xml:space="preserve">will  be </w:t>
      </w:r>
      <w:r>
        <w:rPr>
          <w:bCs/>
        </w:rPr>
        <w:t xml:space="preserve">an internal interface. </w:t>
      </w:r>
      <w:r w:rsidR="00A60CDD">
        <w:rPr>
          <w:bCs/>
        </w:rPr>
        <w:t xml:space="preserve">Both command center and group manager can be implemented as MIH users within a PoS. </w:t>
      </w:r>
    </w:p>
    <w:p w:rsidR="00D43BF4" w:rsidRPr="00432FDA" w:rsidRDefault="00D43BF4" w:rsidP="00D43BF4">
      <w:pPr>
        <w:tabs>
          <w:tab w:val="left" w:pos="540"/>
        </w:tabs>
        <w:jc w:val="both"/>
        <w:rPr>
          <w:bCs/>
        </w:rPr>
      </w:pPr>
    </w:p>
    <w:p w:rsidR="002D7AFF" w:rsidRDefault="002D7AFF" w:rsidP="007D0966">
      <w:pPr>
        <w:jc w:val="both"/>
      </w:pPr>
    </w:p>
    <w:p w:rsidR="00432FDA" w:rsidRDefault="00432FDA" w:rsidP="00E93A69"/>
    <w:p w:rsidR="00432FDA" w:rsidRDefault="00432FDA" w:rsidP="00E93A69"/>
    <w:p w:rsidR="00814BF4" w:rsidRPr="001C7C6F" w:rsidRDefault="00814BF4" w:rsidP="009E5ED1">
      <w:pPr>
        <w:rPr>
          <w:rFonts w:ascii="Arial" w:hAnsi="Arial" w:cs="Arial"/>
          <w:sz w:val="24"/>
        </w:rPr>
      </w:pPr>
    </w:p>
    <w:p w:rsidR="00814BF4" w:rsidRPr="001C7C6F" w:rsidRDefault="00814BF4" w:rsidP="009E5ED1">
      <w:pPr>
        <w:rPr>
          <w:rFonts w:ascii="Arial" w:hAnsi="Arial" w:cs="Arial"/>
          <w:sz w:val="24"/>
        </w:rPr>
      </w:pPr>
    </w:p>
    <w:p w:rsidR="00ED0A9D" w:rsidRPr="001C7C6F" w:rsidRDefault="00ED0A9D" w:rsidP="009E5ED1">
      <w:pPr>
        <w:pStyle w:val="Heading1"/>
        <w:numPr>
          <w:ilvl w:val="0"/>
          <w:numId w:val="0"/>
        </w:numPr>
        <w:ind w:left="1501"/>
        <w:rPr>
          <w:rFonts w:cs="Arial"/>
          <w:lang w:eastAsia="ja-JP"/>
        </w:rPr>
      </w:pPr>
    </w:p>
    <w:sectPr w:rsidR="00ED0A9D" w:rsidRPr="001C7C6F" w:rsidSect="00E41B46">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A59" w:rsidRDefault="009E7A59">
      <w:r>
        <w:separator/>
      </w:r>
    </w:p>
  </w:endnote>
  <w:endnote w:type="continuationSeparator" w:id="0">
    <w:p w:rsidR="009E7A59" w:rsidRDefault="009E7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BoldMT">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F4" w:rsidRDefault="00656651">
    <w:pPr>
      <w:pStyle w:val="Footer"/>
      <w:tabs>
        <w:tab w:val="clear" w:pos="6480"/>
        <w:tab w:val="center" w:pos="4680"/>
        <w:tab w:val="right" w:pos="9360"/>
      </w:tabs>
    </w:pPr>
    <w:fldSimple w:instr=" SUBJECT  \* MERGEFORMAT ">
      <w:r w:rsidR="00D43BF4">
        <w:t>Submission</w:t>
      </w:r>
    </w:fldSimple>
    <w:r w:rsidR="00D43BF4">
      <w:tab/>
      <w:t xml:space="preserve">page </w:t>
    </w:r>
    <w:fldSimple w:instr="PAGE ">
      <w:r w:rsidR="00A82E88">
        <w:rPr>
          <w:noProof/>
        </w:rPr>
        <w:t>2</w:t>
      </w:r>
    </w:fldSimple>
    <w:r w:rsidR="00D43BF4">
      <w:tab/>
    </w:r>
    <w:r w:rsidR="005F3255">
      <w:t>Subir Das, ACS</w:t>
    </w:r>
  </w:p>
  <w:p w:rsidR="00D43BF4" w:rsidRDefault="00D43B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A59" w:rsidRDefault="009E7A59">
      <w:r>
        <w:separator/>
      </w:r>
    </w:p>
  </w:footnote>
  <w:footnote w:type="continuationSeparator" w:id="0">
    <w:p w:rsidR="009E7A59" w:rsidRDefault="009E7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F4" w:rsidRDefault="008E45D7" w:rsidP="008E45D7">
    <w:pPr>
      <w:pStyle w:val="Header"/>
      <w:tabs>
        <w:tab w:val="center" w:pos="4680"/>
        <w:tab w:val="right" w:pos="9360"/>
      </w:tabs>
      <w:spacing w:after="0"/>
    </w:pPr>
    <w:r>
      <w:rPr>
        <w:lang w:eastAsia="ja-JP"/>
      </w:rPr>
      <w:ptab w:relativeTo="margin" w:alignment="left" w:leader="none"/>
    </w:r>
    <w:r w:rsidR="00D43BF4">
      <w:rPr>
        <w:rFonts w:hint="eastAsia"/>
        <w:lang w:eastAsia="ja-JP"/>
      </w:rPr>
      <w:t>November</w:t>
    </w:r>
    <w:r w:rsidR="00D43BF4">
      <w:t xml:space="preserve"> 201</w:t>
    </w:r>
    <w:r w:rsidR="00D43BF4">
      <w:rPr>
        <w:rFonts w:hint="eastAsia"/>
        <w:lang w:eastAsia="ja-JP"/>
      </w:rPr>
      <w:t>3</w:t>
    </w:r>
    <w:r w:rsidR="00D43BF4">
      <w:tab/>
      <w:t xml:space="preserve">                          </w:t>
    </w:r>
    <w:fldSimple w:instr=" TITLE  \* MERGEFORMAT ">
      <w:r w:rsidR="00D43BF4">
        <w:t xml:space="preserve">doc.: </w:t>
      </w:r>
    </w:fldSimple>
    <w:r w:rsidR="00D43BF4" w:rsidRPr="009E2A05">
      <w:rPr>
        <w:rFonts w:ascii="Verdana" w:hAnsi="Verdana"/>
        <w:b w:val="0"/>
        <w:bCs/>
        <w:color w:val="000000"/>
        <w:sz w:val="19"/>
        <w:szCs w:val="19"/>
        <w:shd w:val="clear" w:color="auto" w:fill="FFFFFF"/>
      </w:rPr>
      <w:t xml:space="preserve"> </w:t>
    </w:r>
    <w:r w:rsidR="00D43BF4">
      <w:rPr>
        <w:bCs/>
      </w:rPr>
      <w:t>21-1</w:t>
    </w:r>
    <w:r w:rsidR="00D43BF4">
      <w:rPr>
        <w:rFonts w:hint="eastAsia"/>
        <w:bCs/>
        <w:lang w:eastAsia="ja-JP"/>
      </w:rPr>
      <w:t>3</w:t>
    </w:r>
    <w:r w:rsidR="00D43BF4">
      <w:rPr>
        <w:bCs/>
      </w:rPr>
      <w:t>-0</w:t>
    </w:r>
    <w:r w:rsidR="00D43BF4">
      <w:rPr>
        <w:bCs/>
        <w:lang w:eastAsia="ja-JP"/>
      </w:rPr>
      <w:t>228</w:t>
    </w:r>
    <w:r w:rsidR="00D43BF4">
      <w:rPr>
        <w:bCs/>
      </w:rPr>
      <w:t>-</w:t>
    </w:r>
    <w:r w:rsidR="00D43BF4">
      <w:rPr>
        <w:rFonts w:hint="eastAsia"/>
        <w:bCs/>
        <w:lang w:eastAsia="ja-JP"/>
      </w:rPr>
      <w:t>00</w:t>
    </w:r>
    <w:r w:rsidR="00D43BF4">
      <w:rPr>
        <w:bCs/>
      </w:rPr>
      <w:t>-Clause</w:t>
    </w:r>
    <w:r w:rsidR="00E242E8">
      <w:rPr>
        <w:bCs/>
      </w:rPr>
      <w:t xml:space="preserve">s </w:t>
    </w:r>
    <w:r w:rsidR="00D43BF4">
      <w:rPr>
        <w:bCs/>
      </w:rPr>
      <w:t>5</w:t>
    </w:r>
    <w:r w:rsidR="00E242E8">
      <w:rPr>
        <w:bCs/>
      </w:rPr>
      <w:t xml:space="preserve"> &amp; 6 </w:t>
    </w:r>
    <w:r w:rsidR="00D43BF4">
      <w:rPr>
        <w:bCs/>
      </w:rPr>
      <w:t>-restructure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6411FAB"/>
    <w:multiLevelType w:val="multilevel"/>
    <w:tmpl w:val="9DF2D48E"/>
    <w:lvl w:ilvl="0">
      <w:start w:val="1"/>
      <w:numFmt w:val="decimal"/>
      <w:pStyle w:val="Heading1"/>
      <w:lvlText w:val="%1"/>
      <w:lvlJc w:val="left"/>
      <w:pPr>
        <w:ind w:left="1501" w:hanging="432"/>
      </w:pPr>
      <w:rPr>
        <w:rFonts w:hint="default"/>
      </w:rPr>
    </w:lvl>
    <w:lvl w:ilvl="1">
      <w:start w:val="1"/>
      <w:numFmt w:val="decimal"/>
      <w:pStyle w:val="Heading2"/>
      <w:lvlText w:val="%1.%2"/>
      <w:lvlJc w:val="left"/>
      <w:pPr>
        <w:ind w:left="1645" w:hanging="576"/>
      </w:pPr>
      <w:rPr>
        <w:rFonts w:hint="default"/>
      </w:rPr>
    </w:lvl>
    <w:lvl w:ilvl="2">
      <w:start w:val="1"/>
      <w:numFmt w:val="decimal"/>
      <w:pStyle w:val="Heading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2">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nsid w:val="0F3A43F5"/>
    <w:multiLevelType w:val="multilevel"/>
    <w:tmpl w:val="3FC82D9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0174A4E"/>
    <w:multiLevelType w:val="multilevel"/>
    <w:tmpl w:val="9F3E9C8E"/>
    <w:lvl w:ilvl="0">
      <w:start w:val="5"/>
      <w:numFmt w:val="decimal"/>
      <w:lvlText w:val="%1"/>
      <w:lvlJc w:val="left"/>
      <w:pPr>
        <w:ind w:left="540" w:hanging="540"/>
      </w:pPr>
      <w:rPr>
        <w:rFonts w:hint="default"/>
        <w:sz w:val="20"/>
      </w:rPr>
    </w:lvl>
    <w:lvl w:ilvl="1">
      <w:start w:val="1"/>
      <w:numFmt w:val="decimal"/>
      <w:lvlText w:val="%1.%2"/>
      <w:lvlJc w:val="left"/>
      <w:pPr>
        <w:ind w:left="540" w:hanging="540"/>
      </w:pPr>
      <w:rPr>
        <w:rFonts w:hint="default"/>
        <w:sz w:val="20"/>
      </w:rPr>
    </w:lvl>
    <w:lvl w:ilvl="2">
      <w:start w:val="12"/>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5">
    <w:nsid w:val="204B1D4E"/>
    <w:multiLevelType w:val="multilevel"/>
    <w:tmpl w:val="CEEA9D9E"/>
    <w:lvl w:ilvl="0">
      <w:start w:val="5"/>
      <w:numFmt w:val="decimal"/>
      <w:lvlText w:val="%1"/>
      <w:lvlJc w:val="left"/>
      <w:pPr>
        <w:ind w:left="540" w:hanging="540"/>
      </w:pPr>
      <w:rPr>
        <w:rFonts w:hint="default"/>
        <w:sz w:val="20"/>
      </w:rPr>
    </w:lvl>
    <w:lvl w:ilvl="1">
      <w:start w:val="1"/>
      <w:numFmt w:val="decimal"/>
      <w:lvlText w:val="%1.%2"/>
      <w:lvlJc w:val="left"/>
      <w:pPr>
        <w:ind w:left="900" w:hanging="540"/>
      </w:pPr>
      <w:rPr>
        <w:rFonts w:hint="default"/>
        <w:sz w:val="20"/>
      </w:rPr>
    </w:lvl>
    <w:lvl w:ilvl="2">
      <w:start w:val="12"/>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6">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8">
    <w:nsid w:val="71884A96"/>
    <w:multiLevelType w:val="hybridMultilevel"/>
    <w:tmpl w:val="97809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1"/>
  </w:num>
  <w:num w:numId="6">
    <w:abstractNumId w:val="1"/>
  </w:num>
  <w:num w:numId="7">
    <w:abstractNumId w:val="0"/>
  </w:num>
  <w:num w:numId="8">
    <w:abstractNumId w:val="1"/>
  </w:num>
  <w:num w:numId="9">
    <w:abstractNumId w:val="9"/>
  </w:num>
  <w:num w:numId="10">
    <w:abstractNumId w:val="8"/>
  </w:num>
  <w:num w:numId="11">
    <w:abstractNumId w:val="3"/>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70">
      <v:textbox inset="5.85pt,.7pt,5.85pt,.7pt"/>
    </o:shapedefaults>
  </w:hdrShapeDefaults>
  <w:footnotePr>
    <w:footnote w:id="-1"/>
    <w:footnote w:id="0"/>
  </w:footnotePr>
  <w:endnotePr>
    <w:endnote w:id="-1"/>
    <w:endnote w:id="0"/>
  </w:endnotePr>
  <w:compat>
    <w:useFELayout/>
  </w:compat>
  <w:rsids>
    <w:rsidRoot w:val="00DC34DE"/>
    <w:rsid w:val="00002276"/>
    <w:rsid w:val="00004B8C"/>
    <w:rsid w:val="00012C73"/>
    <w:rsid w:val="00016C2A"/>
    <w:rsid w:val="00025696"/>
    <w:rsid w:val="00031E10"/>
    <w:rsid w:val="00053A58"/>
    <w:rsid w:val="00067910"/>
    <w:rsid w:val="00075CD2"/>
    <w:rsid w:val="00093AB1"/>
    <w:rsid w:val="000A3527"/>
    <w:rsid w:val="000A744C"/>
    <w:rsid w:val="000A7AC6"/>
    <w:rsid w:val="000C44F4"/>
    <w:rsid w:val="000D1D51"/>
    <w:rsid w:val="000E4CCA"/>
    <w:rsid w:val="000E5A8C"/>
    <w:rsid w:val="000F1377"/>
    <w:rsid w:val="000F77B5"/>
    <w:rsid w:val="000F7E8C"/>
    <w:rsid w:val="0010578E"/>
    <w:rsid w:val="001121D3"/>
    <w:rsid w:val="00117575"/>
    <w:rsid w:val="00121895"/>
    <w:rsid w:val="0012217E"/>
    <w:rsid w:val="001349E1"/>
    <w:rsid w:val="001424E3"/>
    <w:rsid w:val="001458EF"/>
    <w:rsid w:val="00155444"/>
    <w:rsid w:val="0017684F"/>
    <w:rsid w:val="00181F4F"/>
    <w:rsid w:val="00182900"/>
    <w:rsid w:val="00191091"/>
    <w:rsid w:val="00193703"/>
    <w:rsid w:val="001938D8"/>
    <w:rsid w:val="001A224D"/>
    <w:rsid w:val="001C4103"/>
    <w:rsid w:val="001C7C6F"/>
    <w:rsid w:val="001D3469"/>
    <w:rsid w:val="001D67D5"/>
    <w:rsid w:val="00200517"/>
    <w:rsid w:val="00216D87"/>
    <w:rsid w:val="00221AA3"/>
    <w:rsid w:val="002318EE"/>
    <w:rsid w:val="00235BCB"/>
    <w:rsid w:val="00242D39"/>
    <w:rsid w:val="0025451B"/>
    <w:rsid w:val="00254B04"/>
    <w:rsid w:val="00256F2C"/>
    <w:rsid w:val="00280068"/>
    <w:rsid w:val="002839F9"/>
    <w:rsid w:val="00284A69"/>
    <w:rsid w:val="002A4F65"/>
    <w:rsid w:val="002B2651"/>
    <w:rsid w:val="002D5C6E"/>
    <w:rsid w:val="002D697E"/>
    <w:rsid w:val="002D7AFF"/>
    <w:rsid w:val="002F166D"/>
    <w:rsid w:val="00307AB8"/>
    <w:rsid w:val="00322AC5"/>
    <w:rsid w:val="00336951"/>
    <w:rsid w:val="00381956"/>
    <w:rsid w:val="00384E47"/>
    <w:rsid w:val="0039193F"/>
    <w:rsid w:val="00394EEC"/>
    <w:rsid w:val="003B0494"/>
    <w:rsid w:val="003B0730"/>
    <w:rsid w:val="003B68BF"/>
    <w:rsid w:val="003C0F7D"/>
    <w:rsid w:val="003C3681"/>
    <w:rsid w:val="003C3CBD"/>
    <w:rsid w:val="003C3DF5"/>
    <w:rsid w:val="003C6935"/>
    <w:rsid w:val="003C710C"/>
    <w:rsid w:val="003E43DE"/>
    <w:rsid w:val="003E7295"/>
    <w:rsid w:val="004062C0"/>
    <w:rsid w:val="00411491"/>
    <w:rsid w:val="00411AC5"/>
    <w:rsid w:val="004153F5"/>
    <w:rsid w:val="00416532"/>
    <w:rsid w:val="00421704"/>
    <w:rsid w:val="00430D11"/>
    <w:rsid w:val="00432FDA"/>
    <w:rsid w:val="004410B9"/>
    <w:rsid w:val="004429ED"/>
    <w:rsid w:val="004532EB"/>
    <w:rsid w:val="00460126"/>
    <w:rsid w:val="00470FF4"/>
    <w:rsid w:val="004840AB"/>
    <w:rsid w:val="004911B7"/>
    <w:rsid w:val="004939E5"/>
    <w:rsid w:val="00494238"/>
    <w:rsid w:val="004A414C"/>
    <w:rsid w:val="004A53A9"/>
    <w:rsid w:val="004B5EA6"/>
    <w:rsid w:val="004C0C7C"/>
    <w:rsid w:val="004C26AA"/>
    <w:rsid w:val="004C4532"/>
    <w:rsid w:val="004E0E5A"/>
    <w:rsid w:val="00521140"/>
    <w:rsid w:val="00524043"/>
    <w:rsid w:val="005360B5"/>
    <w:rsid w:val="0054374C"/>
    <w:rsid w:val="00546037"/>
    <w:rsid w:val="00552352"/>
    <w:rsid w:val="00557DCA"/>
    <w:rsid w:val="00565D22"/>
    <w:rsid w:val="00567D07"/>
    <w:rsid w:val="00575399"/>
    <w:rsid w:val="00575E11"/>
    <w:rsid w:val="00583A87"/>
    <w:rsid w:val="0059476B"/>
    <w:rsid w:val="005A3E93"/>
    <w:rsid w:val="005A6F59"/>
    <w:rsid w:val="005B1F87"/>
    <w:rsid w:val="005B2449"/>
    <w:rsid w:val="005B27BC"/>
    <w:rsid w:val="005C23EE"/>
    <w:rsid w:val="005C4486"/>
    <w:rsid w:val="005E4814"/>
    <w:rsid w:val="005F0DA9"/>
    <w:rsid w:val="005F3255"/>
    <w:rsid w:val="00602E9F"/>
    <w:rsid w:val="0060484F"/>
    <w:rsid w:val="00605041"/>
    <w:rsid w:val="006059E8"/>
    <w:rsid w:val="00607BE1"/>
    <w:rsid w:val="00616A93"/>
    <w:rsid w:val="00640FE6"/>
    <w:rsid w:val="006438D6"/>
    <w:rsid w:val="0064776A"/>
    <w:rsid w:val="00652A77"/>
    <w:rsid w:val="00652F55"/>
    <w:rsid w:val="00656651"/>
    <w:rsid w:val="00663062"/>
    <w:rsid w:val="00665A5F"/>
    <w:rsid w:val="00695757"/>
    <w:rsid w:val="006B30EA"/>
    <w:rsid w:val="006C2598"/>
    <w:rsid w:val="006C3663"/>
    <w:rsid w:val="006D4415"/>
    <w:rsid w:val="006D74A3"/>
    <w:rsid w:val="006E4C0C"/>
    <w:rsid w:val="006F2011"/>
    <w:rsid w:val="007025EB"/>
    <w:rsid w:val="0070368B"/>
    <w:rsid w:val="007111A5"/>
    <w:rsid w:val="00711694"/>
    <w:rsid w:val="00714EC9"/>
    <w:rsid w:val="00717950"/>
    <w:rsid w:val="00726B23"/>
    <w:rsid w:val="00726E16"/>
    <w:rsid w:val="00730FBD"/>
    <w:rsid w:val="007363FE"/>
    <w:rsid w:val="00740293"/>
    <w:rsid w:val="00762ABC"/>
    <w:rsid w:val="00774003"/>
    <w:rsid w:val="00774EDA"/>
    <w:rsid w:val="0078778C"/>
    <w:rsid w:val="00792C6F"/>
    <w:rsid w:val="007943F0"/>
    <w:rsid w:val="007A1B4D"/>
    <w:rsid w:val="007A274C"/>
    <w:rsid w:val="007A3F9F"/>
    <w:rsid w:val="007A75F4"/>
    <w:rsid w:val="007C2A0F"/>
    <w:rsid w:val="007C468D"/>
    <w:rsid w:val="007D0966"/>
    <w:rsid w:val="007F4D48"/>
    <w:rsid w:val="007F641D"/>
    <w:rsid w:val="007F791E"/>
    <w:rsid w:val="008016FE"/>
    <w:rsid w:val="00814BF4"/>
    <w:rsid w:val="0081512E"/>
    <w:rsid w:val="00817538"/>
    <w:rsid w:val="008210DB"/>
    <w:rsid w:val="00832AF5"/>
    <w:rsid w:val="00832E7E"/>
    <w:rsid w:val="008349A8"/>
    <w:rsid w:val="00876321"/>
    <w:rsid w:val="008765AC"/>
    <w:rsid w:val="0088484D"/>
    <w:rsid w:val="00884BD7"/>
    <w:rsid w:val="0089348B"/>
    <w:rsid w:val="00896970"/>
    <w:rsid w:val="008A12EF"/>
    <w:rsid w:val="008A7213"/>
    <w:rsid w:val="008B1BEA"/>
    <w:rsid w:val="008D038F"/>
    <w:rsid w:val="008E27C1"/>
    <w:rsid w:val="008E45D7"/>
    <w:rsid w:val="008F0CDF"/>
    <w:rsid w:val="0090166B"/>
    <w:rsid w:val="00924FBF"/>
    <w:rsid w:val="00942052"/>
    <w:rsid w:val="00942729"/>
    <w:rsid w:val="00953364"/>
    <w:rsid w:val="00964B3C"/>
    <w:rsid w:val="00965B63"/>
    <w:rsid w:val="009661EF"/>
    <w:rsid w:val="009672E9"/>
    <w:rsid w:val="00970E82"/>
    <w:rsid w:val="00983CC7"/>
    <w:rsid w:val="00995285"/>
    <w:rsid w:val="00996504"/>
    <w:rsid w:val="009971E1"/>
    <w:rsid w:val="009A27C5"/>
    <w:rsid w:val="009A4A44"/>
    <w:rsid w:val="009A615E"/>
    <w:rsid w:val="009B1F4F"/>
    <w:rsid w:val="009B2558"/>
    <w:rsid w:val="009C47CA"/>
    <w:rsid w:val="009D0285"/>
    <w:rsid w:val="009E2136"/>
    <w:rsid w:val="009E2A05"/>
    <w:rsid w:val="009E5ED1"/>
    <w:rsid w:val="009E7A59"/>
    <w:rsid w:val="009F7D0C"/>
    <w:rsid w:val="00A0406E"/>
    <w:rsid w:val="00A14A28"/>
    <w:rsid w:val="00A14AE9"/>
    <w:rsid w:val="00A15A8B"/>
    <w:rsid w:val="00A40298"/>
    <w:rsid w:val="00A4157E"/>
    <w:rsid w:val="00A60CDD"/>
    <w:rsid w:val="00A62C4C"/>
    <w:rsid w:val="00A74B38"/>
    <w:rsid w:val="00A74CAF"/>
    <w:rsid w:val="00A82E88"/>
    <w:rsid w:val="00AA3511"/>
    <w:rsid w:val="00AA3BFC"/>
    <w:rsid w:val="00AB0DB2"/>
    <w:rsid w:val="00AB5D3B"/>
    <w:rsid w:val="00AB7067"/>
    <w:rsid w:val="00AD3714"/>
    <w:rsid w:val="00AE0453"/>
    <w:rsid w:val="00AE2BB9"/>
    <w:rsid w:val="00AE43AE"/>
    <w:rsid w:val="00AE780C"/>
    <w:rsid w:val="00AF2FEC"/>
    <w:rsid w:val="00B0194A"/>
    <w:rsid w:val="00B153C8"/>
    <w:rsid w:val="00B20721"/>
    <w:rsid w:val="00B20882"/>
    <w:rsid w:val="00B2251F"/>
    <w:rsid w:val="00B305C8"/>
    <w:rsid w:val="00B334AC"/>
    <w:rsid w:val="00B33DA4"/>
    <w:rsid w:val="00B40B44"/>
    <w:rsid w:val="00B4693F"/>
    <w:rsid w:val="00B46D7E"/>
    <w:rsid w:val="00B566E4"/>
    <w:rsid w:val="00B62F66"/>
    <w:rsid w:val="00B636A1"/>
    <w:rsid w:val="00B711C3"/>
    <w:rsid w:val="00B802C8"/>
    <w:rsid w:val="00B86198"/>
    <w:rsid w:val="00BA2582"/>
    <w:rsid w:val="00BA29EB"/>
    <w:rsid w:val="00BA2E52"/>
    <w:rsid w:val="00BA692E"/>
    <w:rsid w:val="00BB3EBD"/>
    <w:rsid w:val="00BC7B50"/>
    <w:rsid w:val="00BF254C"/>
    <w:rsid w:val="00BF2FBF"/>
    <w:rsid w:val="00C011FC"/>
    <w:rsid w:val="00C114F3"/>
    <w:rsid w:val="00C15495"/>
    <w:rsid w:val="00C21BEA"/>
    <w:rsid w:val="00C32B7B"/>
    <w:rsid w:val="00C40BBE"/>
    <w:rsid w:val="00C47EB3"/>
    <w:rsid w:val="00C64E07"/>
    <w:rsid w:val="00C8048B"/>
    <w:rsid w:val="00C83BC2"/>
    <w:rsid w:val="00CA4492"/>
    <w:rsid w:val="00CA6992"/>
    <w:rsid w:val="00CB52FB"/>
    <w:rsid w:val="00CC7182"/>
    <w:rsid w:val="00D002B9"/>
    <w:rsid w:val="00D0036D"/>
    <w:rsid w:val="00D04629"/>
    <w:rsid w:val="00D228F6"/>
    <w:rsid w:val="00D32460"/>
    <w:rsid w:val="00D408B1"/>
    <w:rsid w:val="00D43BF4"/>
    <w:rsid w:val="00D54FCA"/>
    <w:rsid w:val="00D709C3"/>
    <w:rsid w:val="00D97537"/>
    <w:rsid w:val="00DC34DE"/>
    <w:rsid w:val="00DD22FF"/>
    <w:rsid w:val="00DD6E31"/>
    <w:rsid w:val="00DD781D"/>
    <w:rsid w:val="00DF21E1"/>
    <w:rsid w:val="00DF4B0F"/>
    <w:rsid w:val="00E0017C"/>
    <w:rsid w:val="00E011A0"/>
    <w:rsid w:val="00E0147F"/>
    <w:rsid w:val="00E04895"/>
    <w:rsid w:val="00E05235"/>
    <w:rsid w:val="00E12649"/>
    <w:rsid w:val="00E16416"/>
    <w:rsid w:val="00E242E8"/>
    <w:rsid w:val="00E25F45"/>
    <w:rsid w:val="00E32F86"/>
    <w:rsid w:val="00E336D4"/>
    <w:rsid w:val="00E341A2"/>
    <w:rsid w:val="00E34B02"/>
    <w:rsid w:val="00E40BBF"/>
    <w:rsid w:val="00E41B46"/>
    <w:rsid w:val="00E505BB"/>
    <w:rsid w:val="00E64A23"/>
    <w:rsid w:val="00E675BE"/>
    <w:rsid w:val="00E7378B"/>
    <w:rsid w:val="00E73B7A"/>
    <w:rsid w:val="00E75DDF"/>
    <w:rsid w:val="00E81803"/>
    <w:rsid w:val="00E87169"/>
    <w:rsid w:val="00E93A69"/>
    <w:rsid w:val="00E953EB"/>
    <w:rsid w:val="00EA31C3"/>
    <w:rsid w:val="00EA5C22"/>
    <w:rsid w:val="00EB0971"/>
    <w:rsid w:val="00EC20C8"/>
    <w:rsid w:val="00EC6280"/>
    <w:rsid w:val="00ED0A9D"/>
    <w:rsid w:val="00EF100F"/>
    <w:rsid w:val="00EF3885"/>
    <w:rsid w:val="00EF39C6"/>
    <w:rsid w:val="00EF5A24"/>
    <w:rsid w:val="00F00A5B"/>
    <w:rsid w:val="00F01B45"/>
    <w:rsid w:val="00F02B63"/>
    <w:rsid w:val="00F23741"/>
    <w:rsid w:val="00F3652E"/>
    <w:rsid w:val="00F37FC8"/>
    <w:rsid w:val="00F47760"/>
    <w:rsid w:val="00F742D6"/>
    <w:rsid w:val="00F77C2F"/>
    <w:rsid w:val="00F923FD"/>
    <w:rsid w:val="00FA0A24"/>
    <w:rsid w:val="00FB34FD"/>
    <w:rsid w:val="00FC09FB"/>
    <w:rsid w:val="00FD5E8D"/>
    <w:rsid w:val="00FD691B"/>
    <w:rsid w:val="00FD76C9"/>
    <w:rsid w:val="00FE0FD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Normal (Web)" w:uiPriority="99"/>
  </w:latentStyles>
  <w:style w:type="paragraph" w:default="1" w:styleId="Normal">
    <w:name w:val="Normal"/>
    <w:qFormat/>
    <w:rsid w:val="008A12EF"/>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styleId="NormalWeb">
    <w:name w:val="Normal (Web)"/>
    <w:basedOn w:val="Normal"/>
    <w:uiPriority w:val="99"/>
    <w:unhideWhenUsed/>
    <w:rsid w:val="009E5ED1"/>
    <w:pPr>
      <w:spacing w:before="100" w:beforeAutospacing="1" w:after="100" w:afterAutospacing="1"/>
    </w:pPr>
    <w:rPr>
      <w:sz w:val="24"/>
    </w:rPr>
  </w:style>
  <w:style w:type="paragraph" w:styleId="Caption">
    <w:name w:val="caption"/>
    <w:basedOn w:val="Normal"/>
    <w:next w:val="Normal"/>
    <w:rsid w:val="00432FDA"/>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Normal (Web)" w:uiPriority="99"/>
  </w:latentStyles>
  <w:style w:type="paragraph" w:default="1" w:styleId="Normal">
    <w:name w:val="Normal"/>
    <w:qFormat/>
    <w:rsid w:val="008A12EF"/>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styleId="NormalWeb">
    <w:name w:val="Normal (Web)"/>
    <w:basedOn w:val="Normal"/>
    <w:uiPriority w:val="99"/>
    <w:unhideWhenUsed/>
    <w:rsid w:val="009E5ED1"/>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78107274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5737DDB-60A3-485B-B500-ADF9E5CC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486</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802.11-11/0745r5</vt:lpstr>
      <vt:lpstr>doc.: IEEE 802.11-11/0745r5</vt:lpstr>
    </vt:vector>
  </TitlesOfParts>
  <Company>Frauhofer FOKUS</Company>
  <LinksUpToDate>false</LinksUpToDate>
  <CharactersWithSpaces>3252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subir Das</cp:lastModifiedBy>
  <cp:revision>4</cp:revision>
  <cp:lastPrinted>2011-05-11T23:54:00Z</cp:lastPrinted>
  <dcterms:created xsi:type="dcterms:W3CDTF">2013-12-03T13:11:00Z</dcterms:created>
  <dcterms:modified xsi:type="dcterms:W3CDTF">2013-12-03T15:04:00Z</dcterms:modified>
</cp:coreProperties>
</file>