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DD36C7" w:rsidRPr="004255DF">
        <w:tc>
          <w:tcPr>
            <w:tcW w:w="1350" w:type="dxa"/>
          </w:tcPr>
          <w:p w:rsidR="00DD36C7" w:rsidRPr="004255DF" w:rsidRDefault="00DD36C7">
            <w:pPr>
              <w:pStyle w:val="covertext"/>
              <w:rPr>
                <w:rFonts w:hint="eastAsia"/>
              </w:rPr>
            </w:pPr>
            <w:r w:rsidRPr="004255DF">
              <w:t>Project</w:t>
            </w:r>
          </w:p>
        </w:tc>
        <w:tc>
          <w:tcPr>
            <w:tcW w:w="9018" w:type="dxa"/>
            <w:gridSpan w:val="2"/>
          </w:tcPr>
          <w:p w:rsidR="00DD36C7" w:rsidRPr="004255DF" w:rsidRDefault="00DD36C7">
            <w:pPr>
              <w:pStyle w:val="covertext"/>
              <w:rPr>
                <w:rFonts w:hint="eastAsia"/>
                <w:b/>
              </w:rPr>
            </w:pPr>
            <w:r w:rsidRPr="004255DF">
              <w:rPr>
                <w:b/>
              </w:rPr>
              <w:t>IEEE 802.21 MIHS</w:t>
            </w:r>
          </w:p>
          <w:p w:rsidR="00DD36C7" w:rsidRPr="004255DF" w:rsidRDefault="00DD36C7">
            <w:pPr>
              <w:pStyle w:val="covertext"/>
              <w:rPr>
                <w:rFonts w:hint="eastAsia"/>
                <w:b/>
              </w:rPr>
            </w:pPr>
            <w:r w:rsidRPr="004255DF">
              <w:rPr>
                <w:b/>
              </w:rPr>
              <w:t>&lt;</w:t>
            </w:r>
            <w:hyperlink r:id="rId8" w:history="1">
              <w:r w:rsidRPr="004255DF">
                <w:rPr>
                  <w:rStyle w:val="Hyperlink"/>
                  <w:rFonts w:ascii="Times New Roman" w:hAnsi="Times New Roman"/>
                  <w:b/>
                  <w:lang w:bidi="ar-SA"/>
                </w:rPr>
                <w:t>http://www.ieee802.org/21/</w:t>
              </w:r>
            </w:hyperlink>
            <w:r w:rsidRPr="004255DF">
              <w:rPr>
                <w:b/>
              </w:rPr>
              <w:t>&gt;</w:t>
            </w:r>
          </w:p>
        </w:tc>
      </w:tr>
      <w:tr w:rsidR="00DD36C7" w:rsidRPr="004255DF">
        <w:tc>
          <w:tcPr>
            <w:tcW w:w="1350" w:type="dxa"/>
          </w:tcPr>
          <w:p w:rsidR="00DD36C7" w:rsidRPr="004255DF" w:rsidRDefault="00DD36C7">
            <w:pPr>
              <w:pStyle w:val="covertext"/>
              <w:rPr>
                <w:rFonts w:hint="eastAsia"/>
              </w:rPr>
            </w:pPr>
            <w:r w:rsidRPr="004255DF">
              <w:t>Title</w:t>
            </w:r>
          </w:p>
        </w:tc>
        <w:tc>
          <w:tcPr>
            <w:tcW w:w="9018" w:type="dxa"/>
            <w:gridSpan w:val="2"/>
          </w:tcPr>
          <w:p w:rsidR="00DD36C7" w:rsidRPr="004255DF" w:rsidRDefault="00CE67B0">
            <w:pPr>
              <w:pStyle w:val="covertext"/>
              <w:rPr>
                <w:rFonts w:hint="eastAsia"/>
                <w:b/>
                <w:lang w:eastAsia="ja-JP"/>
              </w:rPr>
            </w:pPr>
            <w:r>
              <w:rPr>
                <w:b/>
                <w:lang w:eastAsia="ja-JP"/>
              </w:rPr>
              <w:t>Proposed update [revised] to Section 9.2.2</w:t>
            </w:r>
          </w:p>
        </w:tc>
      </w:tr>
      <w:tr w:rsidR="00DD36C7" w:rsidRPr="004255DF">
        <w:tc>
          <w:tcPr>
            <w:tcW w:w="1350" w:type="dxa"/>
          </w:tcPr>
          <w:p w:rsidR="00DD36C7" w:rsidRPr="004255DF" w:rsidRDefault="00DD36C7">
            <w:pPr>
              <w:pStyle w:val="covertext"/>
              <w:rPr>
                <w:rFonts w:hint="eastAsia"/>
              </w:rPr>
            </w:pPr>
            <w:r w:rsidRPr="004255DF">
              <w:t>DCN</w:t>
            </w:r>
          </w:p>
        </w:tc>
        <w:tc>
          <w:tcPr>
            <w:tcW w:w="9018" w:type="dxa"/>
            <w:gridSpan w:val="2"/>
          </w:tcPr>
          <w:p w:rsidR="00DD36C7" w:rsidRPr="004255DF" w:rsidRDefault="00DD36C7" w:rsidP="00CE67B0">
            <w:pPr>
              <w:pStyle w:val="covertext"/>
              <w:rPr>
                <w:rFonts w:hint="eastAsia"/>
                <w:b/>
              </w:rPr>
            </w:pPr>
            <w:r w:rsidRPr="004255DF">
              <w:rPr>
                <w:b/>
              </w:rPr>
              <w:t>21-</w:t>
            </w:r>
            <w:r w:rsidR="00A533CD" w:rsidRPr="004255DF">
              <w:rPr>
                <w:rFonts w:hint="eastAsia"/>
                <w:b/>
                <w:lang w:eastAsia="ja-JP"/>
              </w:rPr>
              <w:t>13</w:t>
            </w:r>
            <w:r w:rsidR="00A33930">
              <w:rPr>
                <w:b/>
              </w:rPr>
              <w:t>-</w:t>
            </w:r>
            <w:r w:rsidR="00A33930">
              <w:rPr>
                <w:rFonts w:hint="eastAsia"/>
                <w:b/>
                <w:lang w:eastAsia="ja-JP"/>
              </w:rPr>
              <w:t>00</w:t>
            </w:r>
            <w:r w:rsidR="00CE67B0">
              <w:rPr>
                <w:b/>
                <w:lang w:eastAsia="ja-JP"/>
              </w:rPr>
              <w:t>62</w:t>
            </w:r>
            <w:r w:rsidRPr="004255DF">
              <w:rPr>
                <w:b/>
              </w:rPr>
              <w:t>-00-0000</w:t>
            </w:r>
          </w:p>
        </w:tc>
      </w:tr>
      <w:tr w:rsidR="00DD36C7" w:rsidRPr="004255DF">
        <w:tc>
          <w:tcPr>
            <w:tcW w:w="1350" w:type="dxa"/>
          </w:tcPr>
          <w:p w:rsidR="00DD36C7" w:rsidRPr="004255DF" w:rsidRDefault="00DD36C7">
            <w:pPr>
              <w:pStyle w:val="covertext"/>
              <w:rPr>
                <w:rFonts w:hint="eastAsia"/>
              </w:rPr>
            </w:pPr>
            <w:r w:rsidRPr="004255DF">
              <w:t>Date Submitted</w:t>
            </w:r>
          </w:p>
        </w:tc>
        <w:tc>
          <w:tcPr>
            <w:tcW w:w="9018" w:type="dxa"/>
            <w:gridSpan w:val="2"/>
          </w:tcPr>
          <w:p w:rsidR="00DD36C7" w:rsidRPr="004255DF" w:rsidRDefault="000D359B">
            <w:pPr>
              <w:pStyle w:val="covertext"/>
              <w:rPr>
                <w:rFonts w:hint="eastAsia"/>
                <w:b/>
                <w:lang w:eastAsia="ja-JP"/>
              </w:rPr>
            </w:pPr>
            <w:r>
              <w:rPr>
                <w:b/>
                <w:lang w:eastAsia="ja-JP"/>
              </w:rPr>
              <w:t>April 5</w:t>
            </w:r>
            <w:r w:rsidR="00A533CD" w:rsidRPr="004255DF">
              <w:rPr>
                <w:rFonts w:hint="eastAsia"/>
                <w:b/>
                <w:lang w:eastAsia="ja-JP"/>
              </w:rPr>
              <w:t>, 2013</w:t>
            </w:r>
          </w:p>
        </w:tc>
      </w:tr>
      <w:tr w:rsidR="00DD36C7" w:rsidRPr="004255DF">
        <w:tc>
          <w:tcPr>
            <w:tcW w:w="1350" w:type="dxa"/>
          </w:tcPr>
          <w:p w:rsidR="00DD36C7" w:rsidRPr="004255DF" w:rsidRDefault="00DD36C7">
            <w:pPr>
              <w:pStyle w:val="covertext"/>
              <w:rPr>
                <w:rFonts w:hint="eastAsia"/>
              </w:rPr>
            </w:pPr>
            <w:r w:rsidRPr="004255DF">
              <w:t>Source(s)</w:t>
            </w:r>
          </w:p>
        </w:tc>
        <w:tc>
          <w:tcPr>
            <w:tcW w:w="3870" w:type="dxa"/>
          </w:tcPr>
          <w:p w:rsidR="00DD36C7" w:rsidRPr="004255DF" w:rsidRDefault="000D359B">
            <w:pPr>
              <w:pStyle w:val="covertext"/>
              <w:rPr>
                <w:rFonts w:hint="eastAsia"/>
                <w:lang w:eastAsia="ja-JP"/>
              </w:rPr>
            </w:pPr>
            <w:r>
              <w:rPr>
                <w:lang w:eastAsia="ja-JP"/>
              </w:rPr>
              <w:t xml:space="preserve">Charles Perkins and </w:t>
            </w:r>
            <w:r w:rsidR="004640FD">
              <w:rPr>
                <w:rFonts w:hint="eastAsia"/>
                <w:lang w:eastAsia="ja-JP"/>
              </w:rPr>
              <w:t>Yoshihiro Ohba</w:t>
            </w:r>
          </w:p>
        </w:tc>
        <w:tc>
          <w:tcPr>
            <w:tcW w:w="5148" w:type="dxa"/>
          </w:tcPr>
          <w:p w:rsidR="00DD36C7" w:rsidRPr="004255DF" w:rsidRDefault="00DD36C7">
            <w:pPr>
              <w:pStyle w:val="covertext"/>
              <w:rPr>
                <w:rFonts w:hint="eastAsia"/>
                <w:sz w:val="18"/>
              </w:rPr>
            </w:pPr>
          </w:p>
        </w:tc>
      </w:tr>
      <w:tr w:rsidR="00DD36C7" w:rsidRPr="004255DF">
        <w:tc>
          <w:tcPr>
            <w:tcW w:w="1350" w:type="dxa"/>
          </w:tcPr>
          <w:p w:rsidR="00DD36C7" w:rsidRPr="004255DF" w:rsidRDefault="00DD36C7">
            <w:pPr>
              <w:pStyle w:val="covertext"/>
              <w:rPr>
                <w:rFonts w:hint="eastAsia"/>
              </w:rPr>
            </w:pPr>
            <w:r w:rsidRPr="004255DF">
              <w:t>Re:</w:t>
            </w:r>
          </w:p>
        </w:tc>
        <w:tc>
          <w:tcPr>
            <w:tcW w:w="9018" w:type="dxa"/>
            <w:gridSpan w:val="2"/>
          </w:tcPr>
          <w:p w:rsidR="00DD36C7" w:rsidRPr="004255DF" w:rsidRDefault="00DD36C7" w:rsidP="00A533CD">
            <w:pPr>
              <w:pStyle w:val="covertext"/>
              <w:rPr>
                <w:rFonts w:hint="eastAsia"/>
                <w:lang w:eastAsia="ja-JP"/>
              </w:rPr>
            </w:pPr>
            <w:r w:rsidRPr="004255DF">
              <w:t>IEEE 802.21 Session #</w:t>
            </w:r>
            <w:r w:rsidR="00A533CD" w:rsidRPr="004255DF">
              <w:rPr>
                <w:rFonts w:hint="eastAsia"/>
                <w:lang w:eastAsia="ja-JP"/>
              </w:rPr>
              <w:t>55</w:t>
            </w:r>
            <w:r w:rsidRPr="004255DF">
              <w:t xml:space="preserve"> in </w:t>
            </w:r>
            <w:r w:rsidR="00A533CD" w:rsidRPr="004255DF">
              <w:rPr>
                <w:rFonts w:hint="eastAsia"/>
                <w:lang w:eastAsia="ja-JP"/>
              </w:rPr>
              <w:t>Orlando</w:t>
            </w:r>
          </w:p>
        </w:tc>
      </w:tr>
      <w:tr w:rsidR="00DD36C7" w:rsidRPr="004255DF">
        <w:tc>
          <w:tcPr>
            <w:tcW w:w="1350" w:type="dxa"/>
          </w:tcPr>
          <w:p w:rsidR="00DD36C7" w:rsidRPr="004255DF" w:rsidRDefault="00DD36C7">
            <w:pPr>
              <w:pStyle w:val="covertext"/>
              <w:rPr>
                <w:rFonts w:hint="eastAsia"/>
              </w:rPr>
            </w:pPr>
            <w:r w:rsidRPr="004255DF">
              <w:t>Abstract</w:t>
            </w:r>
          </w:p>
        </w:tc>
        <w:tc>
          <w:tcPr>
            <w:tcW w:w="9018" w:type="dxa"/>
            <w:gridSpan w:val="2"/>
          </w:tcPr>
          <w:p w:rsidR="00DD36C7" w:rsidRPr="004255DF" w:rsidRDefault="00A533CD">
            <w:pPr>
              <w:pStyle w:val="covertext"/>
              <w:rPr>
                <w:rFonts w:hint="eastAsia"/>
                <w:lang w:eastAsia="ja-JP"/>
              </w:rPr>
            </w:pPr>
            <w:r w:rsidRPr="004255DF">
              <w:rPr>
                <w:rFonts w:hint="eastAsia"/>
                <w:lang w:eastAsia="ja-JP"/>
              </w:rPr>
              <w:t>This document proposes an update for Section 9.2.2 of 802.21c/D02</w:t>
            </w:r>
          </w:p>
        </w:tc>
      </w:tr>
      <w:tr w:rsidR="00DD36C7" w:rsidRPr="004255DF">
        <w:tc>
          <w:tcPr>
            <w:tcW w:w="1350" w:type="dxa"/>
          </w:tcPr>
          <w:p w:rsidR="00DD36C7" w:rsidRPr="004255DF" w:rsidRDefault="00DD36C7">
            <w:pPr>
              <w:pStyle w:val="covertext"/>
              <w:rPr>
                <w:rFonts w:hint="eastAsia"/>
              </w:rPr>
            </w:pPr>
            <w:r w:rsidRPr="004255DF">
              <w:t>Purpose</w:t>
            </w:r>
          </w:p>
        </w:tc>
        <w:tc>
          <w:tcPr>
            <w:tcW w:w="9018" w:type="dxa"/>
            <w:gridSpan w:val="2"/>
          </w:tcPr>
          <w:p w:rsidR="00DD36C7" w:rsidRPr="004255DF" w:rsidRDefault="00A533CD">
            <w:pPr>
              <w:pStyle w:val="covertext"/>
              <w:rPr>
                <w:rFonts w:hint="eastAsia"/>
                <w:lang w:eastAsia="ja-JP"/>
              </w:rPr>
            </w:pPr>
            <w:r w:rsidRPr="004255DF">
              <w:rPr>
                <w:rFonts w:hint="eastAsia"/>
                <w:lang w:eastAsia="ja-JP"/>
              </w:rPr>
              <w:t>Comment resolution of 802.21 LB#6a</w:t>
            </w:r>
          </w:p>
        </w:tc>
      </w:tr>
      <w:tr w:rsidR="00DD36C7" w:rsidRPr="004255DF">
        <w:trPr>
          <w:trHeight w:val="840"/>
        </w:trPr>
        <w:tc>
          <w:tcPr>
            <w:tcW w:w="1350" w:type="dxa"/>
          </w:tcPr>
          <w:p w:rsidR="00DD36C7" w:rsidRPr="004255DF" w:rsidRDefault="00DD36C7">
            <w:pPr>
              <w:pStyle w:val="covertext"/>
              <w:rPr>
                <w:rFonts w:hint="eastAsia"/>
              </w:rPr>
            </w:pPr>
            <w:r w:rsidRPr="004255DF">
              <w:t>Notice</w:t>
            </w:r>
          </w:p>
        </w:tc>
        <w:tc>
          <w:tcPr>
            <w:tcW w:w="9018" w:type="dxa"/>
            <w:gridSpan w:val="2"/>
          </w:tcPr>
          <w:p w:rsidR="00DD36C7" w:rsidRPr="004255DF" w:rsidRDefault="00DD36C7">
            <w:pPr>
              <w:pStyle w:val="covertext"/>
              <w:spacing w:before="0" w:after="0"/>
              <w:rPr>
                <w:rFonts w:hint="eastAsia"/>
                <w:sz w:val="20"/>
              </w:rPr>
            </w:pPr>
            <w:r w:rsidRPr="004255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255DF">
        <w:trPr>
          <w:trHeight w:val="1439"/>
        </w:trPr>
        <w:tc>
          <w:tcPr>
            <w:tcW w:w="1350" w:type="dxa"/>
          </w:tcPr>
          <w:p w:rsidR="00DD36C7" w:rsidRPr="004255DF" w:rsidRDefault="00DD36C7">
            <w:pPr>
              <w:pStyle w:val="covertext"/>
              <w:rPr>
                <w:rFonts w:hint="eastAsia"/>
              </w:rPr>
            </w:pPr>
            <w:r w:rsidRPr="004255DF">
              <w:t>Release</w:t>
            </w:r>
          </w:p>
        </w:tc>
        <w:tc>
          <w:tcPr>
            <w:tcW w:w="9018" w:type="dxa"/>
            <w:gridSpan w:val="2"/>
          </w:tcPr>
          <w:p w:rsidR="00DD36C7" w:rsidRPr="004255DF" w:rsidRDefault="00DD36C7">
            <w:pPr>
              <w:pStyle w:val="covertext"/>
              <w:spacing w:before="0" w:after="0"/>
              <w:rPr>
                <w:rFonts w:hint="eastAsia"/>
                <w:sz w:val="20"/>
              </w:rPr>
            </w:pPr>
            <w:r w:rsidRPr="004255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255DF">
              <w:rPr>
                <w:sz w:val="20"/>
              </w:rPr>
              <w:t>1</w:t>
            </w:r>
            <w:r w:rsidRPr="004255DF">
              <w:rPr>
                <w:sz w:val="20"/>
              </w:rPr>
              <w:t xml:space="preserve"> may make this contribution public.</w:t>
            </w:r>
          </w:p>
        </w:tc>
      </w:tr>
      <w:tr w:rsidR="00DD36C7" w:rsidRPr="004255DF">
        <w:tc>
          <w:tcPr>
            <w:tcW w:w="1350" w:type="dxa"/>
          </w:tcPr>
          <w:p w:rsidR="00DD36C7" w:rsidRPr="004255DF" w:rsidRDefault="00DD36C7">
            <w:pPr>
              <w:pStyle w:val="covertext"/>
              <w:rPr>
                <w:rFonts w:hint="eastAsia"/>
              </w:rPr>
            </w:pPr>
            <w:r w:rsidRPr="004255DF">
              <w:t>Patent Policy</w:t>
            </w:r>
          </w:p>
        </w:tc>
        <w:tc>
          <w:tcPr>
            <w:tcW w:w="9018" w:type="dxa"/>
            <w:gridSpan w:val="2"/>
          </w:tcPr>
          <w:p w:rsidR="00DD36C7" w:rsidRPr="004255DF" w:rsidRDefault="008D3F7F">
            <w:r w:rsidRPr="004255DF">
              <w:rPr>
                <w:sz w:val="20"/>
              </w:rPr>
              <w:t xml:space="preserve">The contributor is familiar with IEEE patent policy, as stated in </w:t>
            </w:r>
            <w:hyperlink r:id="rId9" w:anchor="6.3" w:tgtFrame="_parent" w:history="1">
              <w:r w:rsidRPr="004255DF">
                <w:rPr>
                  <w:rStyle w:val="Hyperlink"/>
                  <w:sz w:val="20"/>
                </w:rPr>
                <w:t>Section 6 of the IEEE-SA Standards Board bylaws</w:t>
              </w:r>
            </w:hyperlink>
            <w:r w:rsidRPr="004255DF">
              <w:rPr>
                <w:sz w:val="20"/>
              </w:rPr>
              <w:t xml:space="preserve"> &lt;</w:t>
            </w:r>
            <w:hyperlink r:id="rId10" w:tgtFrame="_parent" w:history="1">
              <w:r w:rsidRPr="004255DF">
                <w:rPr>
                  <w:rStyle w:val="Hyperlink"/>
                  <w:sz w:val="20"/>
                </w:rPr>
                <w:t>http://standards.ieee.org/guides/bylaws/sect6-7.html#6</w:t>
              </w:r>
            </w:hyperlink>
            <w:r w:rsidRPr="004255DF">
              <w:rPr>
                <w:sz w:val="20"/>
              </w:rPr>
              <w:t xml:space="preserve">&gt; and in </w:t>
            </w:r>
            <w:r w:rsidRPr="004255DF">
              <w:rPr>
                <w:i/>
                <w:iCs/>
                <w:sz w:val="20"/>
              </w:rPr>
              <w:t>Understanding Patent Issues During IEEE Standards Development</w:t>
            </w:r>
            <w:r w:rsidRPr="004255DF">
              <w:rPr>
                <w:sz w:val="20"/>
              </w:rPr>
              <w:t xml:space="preserve"> </w:t>
            </w:r>
            <w:hyperlink r:id="rId11" w:tgtFrame="_parent" w:history="1">
              <w:r w:rsidRPr="004255DF">
                <w:rPr>
                  <w:rStyle w:val="Hyperlink"/>
                  <w:sz w:val="20"/>
                </w:rPr>
                <w:t>http://standards.ieee.org/board/pat/faq.pdf</w:t>
              </w:r>
            </w:hyperlink>
          </w:p>
        </w:tc>
      </w:tr>
    </w:tbl>
    <w:p w:rsidR="00DD36C7" w:rsidRDefault="00DD36C7">
      <w:pPr>
        <w:pStyle w:val="Body"/>
        <w:rPr>
          <w:rStyle w:val="FollowedHyperlink"/>
          <w:rFonts w:hint="eastAsia"/>
          <w:color w:val="auto"/>
        </w:rPr>
      </w:pPr>
    </w:p>
    <w:p w:rsidR="00DD36C7" w:rsidRDefault="00DD36C7">
      <w:pPr>
        <w:rPr>
          <w:b/>
          <w:bCs/>
          <w:color w:val="000000"/>
          <w:szCs w:val="12"/>
        </w:rPr>
      </w:pPr>
    </w:p>
    <w:p w:rsidR="00A533CD" w:rsidRPr="004255DF" w:rsidRDefault="004A3CE1" w:rsidP="00A533CD">
      <w:pPr>
        <w:pStyle w:val="IEEEStdsParagraph"/>
        <w:rPr>
          <w:b/>
          <w:i/>
          <w:lang w:eastAsia="zh-CN"/>
        </w:rPr>
      </w:pPr>
      <w:r w:rsidRPr="000F51DC">
        <w:rPr>
          <w:rFonts w:hint="eastAsia"/>
          <w:b/>
        </w:rPr>
        <w:t>[1]</w:t>
      </w:r>
      <w:r>
        <w:rPr>
          <w:rFonts w:hint="eastAsia"/>
          <w:b/>
          <w:i/>
        </w:rPr>
        <w:t xml:space="preserve"> </w:t>
      </w:r>
      <w:r w:rsidR="00A533CD" w:rsidRPr="004255DF">
        <w:rPr>
          <w:b/>
          <w:i/>
          <w:lang w:eastAsia="zh-CN"/>
        </w:rPr>
        <w:t>Replace</w:t>
      </w:r>
      <w:r w:rsidR="000F51DC">
        <w:rPr>
          <w:rFonts w:hint="eastAsia"/>
          <w:b/>
          <w:i/>
        </w:rPr>
        <w:t xml:space="preserve"> the first </w:t>
      </w:r>
      <w:r w:rsidR="000F51DC">
        <w:rPr>
          <w:b/>
          <w:i/>
        </w:rPr>
        <w:t>paragraph</w:t>
      </w:r>
      <w:r w:rsidR="000F51DC">
        <w:rPr>
          <w:rFonts w:hint="eastAsia"/>
          <w:b/>
          <w:i/>
        </w:rPr>
        <w:t xml:space="preserve"> of</w:t>
      </w:r>
      <w:r w:rsidR="00A533CD" w:rsidRPr="004255DF">
        <w:rPr>
          <w:b/>
          <w:i/>
          <w:lang w:eastAsia="zh-CN"/>
        </w:rPr>
        <w:t xml:space="preserve"> subclause 9.2.2 in 802.21a with the following:</w:t>
      </w:r>
    </w:p>
    <w:p w:rsidR="00D61CBC" w:rsidRDefault="00A533CD" w:rsidP="00D61CBC">
      <w:pPr>
        <w:pStyle w:val="IEEEStdsParagraph"/>
        <w:rPr>
          <w:color w:val="FF0000"/>
        </w:rPr>
      </w:pPr>
      <w:r>
        <w:rPr>
          <w:lang w:eastAsia="zh-CN"/>
        </w:rPr>
        <w:t>Upon a successful MIH service access authentication, the authenticator</w:t>
      </w:r>
      <w:r w:rsidRPr="004255DF">
        <w:rPr>
          <w:lang w:eastAsia="zh-CN"/>
        </w:rPr>
        <w:t xml:space="preserve">, </w:t>
      </w:r>
      <w:r>
        <w:rPr>
          <w:lang w:eastAsia="zh-CN"/>
        </w:rPr>
        <w:t xml:space="preserve">(i.e., </w:t>
      </w:r>
      <w:r w:rsidR="00FF465F">
        <w:rPr>
          <w:rFonts w:hint="eastAsia"/>
          <w:color w:val="FF0000"/>
        </w:rPr>
        <w:t xml:space="preserve">the serving </w:t>
      </w:r>
      <w:r>
        <w:rPr>
          <w:lang w:eastAsia="zh-CN"/>
        </w:rPr>
        <w:t>PoS) obtains a master session key (MSK), a re-authentication master session key (</w:t>
      </w:r>
      <w:proofErr w:type="spellStart"/>
      <w:r>
        <w:rPr>
          <w:lang w:eastAsia="zh-CN"/>
        </w:rPr>
        <w:t>rMSK</w:t>
      </w:r>
      <w:proofErr w:type="spellEnd"/>
      <w:r>
        <w:rPr>
          <w:lang w:eastAsia="zh-CN"/>
        </w:rPr>
        <w:t xml:space="preserve">) </w:t>
      </w:r>
      <w:r w:rsidR="00672527">
        <w:rPr>
          <w:rFonts w:hint="eastAsia"/>
          <w:color w:val="FF0000"/>
        </w:rPr>
        <w:t xml:space="preserve">via EAP </w:t>
      </w:r>
      <w:r w:rsidR="005603F9" w:rsidRPr="005603F9">
        <w:rPr>
          <w:rFonts w:hint="eastAsia"/>
          <w:color w:val="FF0000"/>
        </w:rPr>
        <w:t>to</w:t>
      </w:r>
      <w:r w:rsidR="005603F9" w:rsidRPr="005603F9">
        <w:rPr>
          <w:color w:val="FF0000"/>
          <w:lang w:eastAsia="zh-CN"/>
        </w:rPr>
        <w:t xml:space="preserve"> generate a root key </w:t>
      </w:r>
      <w:r w:rsidR="005603F9" w:rsidRPr="00FF465F">
        <w:rPr>
          <w:i/>
          <w:color w:val="FF0000"/>
          <w:lang w:eastAsia="zh-CN"/>
        </w:rPr>
        <w:t>K</w:t>
      </w:r>
      <w:r w:rsidR="00FF465F">
        <w:rPr>
          <w:rFonts w:hint="eastAsia"/>
          <w:color w:val="FF0000"/>
        </w:rPr>
        <w:t xml:space="preserve"> shared between the MN and the serving PoS</w:t>
      </w:r>
      <w:r w:rsidR="00DA47FF">
        <w:rPr>
          <w:rFonts w:hint="eastAsia"/>
          <w:color w:val="FF0000"/>
        </w:rPr>
        <w:t xml:space="preserve">. Alternatively, </w:t>
      </w:r>
      <w:r w:rsidR="00D61CBC">
        <w:rPr>
          <w:color w:val="FF0000"/>
        </w:rPr>
        <w:t>the</w:t>
      </w:r>
      <w:r w:rsidR="00C35F52">
        <w:rPr>
          <w:rFonts w:hint="eastAsia"/>
          <w:color w:val="FF0000"/>
        </w:rPr>
        <w:t xml:space="preserve"> root key </w:t>
      </w:r>
      <w:r w:rsidR="00C35F52" w:rsidRPr="00C35F52">
        <w:rPr>
          <w:rFonts w:hint="eastAsia"/>
          <w:i/>
          <w:color w:val="FF0000"/>
        </w:rPr>
        <w:t>K</w:t>
      </w:r>
      <w:r w:rsidR="00C35F52">
        <w:rPr>
          <w:rFonts w:hint="eastAsia"/>
          <w:color w:val="FF0000"/>
        </w:rPr>
        <w:t xml:space="preserve"> </w:t>
      </w:r>
      <w:r w:rsidR="00D61CBC">
        <w:rPr>
          <w:color w:val="FF0000"/>
        </w:rPr>
        <w:t xml:space="preserve">may be securely exchanged with the serving PoS from another trusted </w:t>
      </w:r>
      <w:r w:rsidR="00DA47FF">
        <w:rPr>
          <w:rFonts w:hint="eastAsia"/>
          <w:color w:val="FF0000"/>
        </w:rPr>
        <w:t>PoS</w:t>
      </w:r>
      <w:r w:rsidR="00D61CBC" w:rsidRPr="00D61CBC">
        <w:rPr>
          <w:rFonts w:hint="eastAsia"/>
          <w:color w:val="FF0000"/>
        </w:rPr>
        <w:t xml:space="preserve"> </w:t>
      </w:r>
      <w:r w:rsidR="00D61CBC">
        <w:rPr>
          <w:color w:val="FF0000"/>
        </w:rPr>
        <w:t xml:space="preserve">(e.g., OPoS) using the transfer </w:t>
      </w:r>
      <w:r w:rsidR="00D61CBC">
        <w:rPr>
          <w:rFonts w:hint="eastAsia"/>
          <w:color w:val="FF0000"/>
        </w:rPr>
        <w:t>mechanism specified in 10.3.1</w:t>
      </w:r>
      <w:r w:rsidRPr="005603F9">
        <w:rPr>
          <w:lang w:eastAsia="zh-CN"/>
        </w:rPr>
        <w:t>.</w:t>
      </w:r>
      <w:r w:rsidR="002E6C13">
        <w:rPr>
          <w:rFonts w:hint="eastAsia"/>
          <w:color w:val="FF0000"/>
        </w:rPr>
        <w:t xml:space="preserve"> In the latter case,</w:t>
      </w:r>
      <w:r w:rsidR="002E6C13" w:rsidRPr="002E6C13">
        <w:t xml:space="preserve"> </w:t>
      </w:r>
      <w:r w:rsidR="002E6C13" w:rsidRPr="002E6C13">
        <w:rPr>
          <w:color w:val="FF0000"/>
        </w:rPr>
        <w:t>the MIHF identifier of the MN</w:t>
      </w:r>
      <w:r w:rsidR="002E6C13">
        <w:rPr>
          <w:rFonts w:hint="eastAsia"/>
          <w:color w:val="FF0000"/>
        </w:rPr>
        <w:t xml:space="preserve">, </w:t>
      </w:r>
      <w:r w:rsidR="00D61CBC">
        <w:rPr>
          <w:color w:val="FF0000"/>
        </w:rPr>
        <w:t>Nonce-T,</w:t>
      </w:r>
      <w:r w:rsidR="002E6C13">
        <w:rPr>
          <w:rFonts w:hint="eastAsia"/>
          <w:color w:val="FF0000"/>
        </w:rPr>
        <w:t xml:space="preserve"> generated by the MN and </w:t>
      </w:r>
      <w:r w:rsidR="00D61CBC">
        <w:rPr>
          <w:color w:val="FF0000"/>
        </w:rPr>
        <w:t>Nonce-N,</w:t>
      </w:r>
      <w:r w:rsidR="002E6C13">
        <w:rPr>
          <w:rFonts w:hint="eastAsia"/>
          <w:color w:val="FF0000"/>
        </w:rPr>
        <w:t xml:space="preserve"> generated by the OPoS are also transferred together with </w:t>
      </w:r>
      <w:r w:rsidR="002E6C13" w:rsidRPr="002E6C13">
        <w:rPr>
          <w:rFonts w:hint="eastAsia"/>
          <w:i/>
          <w:color w:val="FF0000"/>
        </w:rPr>
        <w:t>K</w:t>
      </w:r>
      <w:r w:rsidR="002E6C13">
        <w:rPr>
          <w:rFonts w:hint="eastAsia"/>
          <w:color w:val="FF0000"/>
        </w:rPr>
        <w:t>.</w:t>
      </w:r>
      <w:r w:rsidR="00D61CBC">
        <w:rPr>
          <w:color w:val="FF0000"/>
        </w:rPr>
        <w:t xml:space="preserve">  Nonce-T is generated as follows: Nonce-T = </w:t>
      </w:r>
      <w:proofErr w:type="gramStart"/>
      <w:r w:rsidR="00D61CBC">
        <w:rPr>
          <w:color w:val="FF0000"/>
        </w:rPr>
        <w:t>PRF(</w:t>
      </w:r>
      <w:proofErr w:type="gramEnd"/>
      <w:r w:rsidR="00D61CBC">
        <w:rPr>
          <w:color w:val="FF0000"/>
        </w:rPr>
        <w:t xml:space="preserve">Nonce-T’ || </w:t>
      </w:r>
      <w:r w:rsidR="00D61CBC" w:rsidRPr="00405520">
        <w:rPr>
          <w:color w:val="FF0000"/>
        </w:rPr>
        <w:t>MN_MIHF_ID</w:t>
      </w:r>
      <w:r w:rsidR="00D61CBC">
        <w:rPr>
          <w:color w:val="FF0000"/>
        </w:rPr>
        <w:t>), where Nonce-T’ is provided by the MN</w:t>
      </w:r>
      <w:r w:rsidR="000D359B">
        <w:rPr>
          <w:color w:val="FF0000"/>
        </w:rPr>
        <w:t xml:space="preserve"> and MN_MIHF_ID is the MN’s MIFH identity</w:t>
      </w:r>
      <w:r w:rsidR="00D61CBC">
        <w:rPr>
          <w:color w:val="FF0000"/>
        </w:rPr>
        <w:t xml:space="preserve">.  Similarly, PoS </w:t>
      </w:r>
      <w:proofErr w:type="gramStart"/>
      <w:r w:rsidR="00D61CBC">
        <w:rPr>
          <w:color w:val="FF0000"/>
        </w:rPr>
        <w:t>generates</w:t>
      </w:r>
      <w:proofErr w:type="gramEnd"/>
      <w:r w:rsidR="00D61CBC">
        <w:rPr>
          <w:color w:val="FF0000"/>
        </w:rPr>
        <w:t xml:space="preserve"> Nonce-N</w:t>
      </w:r>
      <w:r w:rsidR="000D359B">
        <w:rPr>
          <w:color w:val="FF0000"/>
        </w:rPr>
        <w:t xml:space="preserve"> by first generating a random number Nonce-N’.  Then Nonce-N = </w:t>
      </w:r>
      <w:proofErr w:type="gramStart"/>
      <w:r w:rsidR="000D359B">
        <w:rPr>
          <w:color w:val="FF0000"/>
        </w:rPr>
        <w:t>PRF(</w:t>
      </w:r>
      <w:proofErr w:type="gramEnd"/>
      <w:r w:rsidR="000D359B">
        <w:rPr>
          <w:color w:val="FF0000"/>
        </w:rPr>
        <w:t>Nonce-N’ || POS</w:t>
      </w:r>
      <w:r w:rsidR="000D359B" w:rsidRPr="00405520">
        <w:rPr>
          <w:color w:val="FF0000"/>
        </w:rPr>
        <w:t>_MIHF_ID</w:t>
      </w:r>
      <w:r w:rsidR="000D359B">
        <w:rPr>
          <w:color w:val="FF0000"/>
        </w:rPr>
        <w:t xml:space="preserve">), where POS_MIHF_ID is the </w:t>
      </w:r>
      <w:proofErr w:type="spellStart"/>
      <w:r w:rsidR="000D359B">
        <w:rPr>
          <w:color w:val="FF0000"/>
        </w:rPr>
        <w:t>PoS’s</w:t>
      </w:r>
      <w:proofErr w:type="spellEnd"/>
      <w:r w:rsidR="000D359B">
        <w:rPr>
          <w:color w:val="FF0000"/>
        </w:rPr>
        <w:t xml:space="preserve"> MIHF  identity.</w:t>
      </w:r>
    </w:p>
    <w:p w:rsidR="007E233D" w:rsidRPr="00405520" w:rsidRDefault="002B1DB1" w:rsidP="000D359B">
      <w:pPr>
        <w:pStyle w:val="IEEEStdsParagraph"/>
        <w:rPr>
          <w:color w:val="FF0000"/>
        </w:rPr>
      </w:pPr>
      <w:r w:rsidRPr="00CB1AD1">
        <w:rPr>
          <w:color w:val="FF0000"/>
          <w:lang w:eastAsia="zh-CN"/>
        </w:rPr>
        <w:t xml:space="preserve">The keys derived from </w:t>
      </w:r>
      <w:r w:rsidR="005603F9" w:rsidRPr="005603F9">
        <w:rPr>
          <w:rFonts w:hint="eastAsia"/>
          <w:i/>
          <w:color w:val="FF0000"/>
        </w:rPr>
        <w:t>K</w:t>
      </w:r>
      <w:r w:rsidR="005603F9">
        <w:rPr>
          <w:rFonts w:hint="eastAsia"/>
          <w:color w:val="FF0000"/>
        </w:rPr>
        <w:t xml:space="preserve"> </w:t>
      </w:r>
      <w:r w:rsidRPr="008C4A12">
        <w:rPr>
          <w:color w:val="000000"/>
          <w:lang w:eastAsia="zh-CN"/>
        </w:rPr>
        <w:t>include</w:t>
      </w:r>
      <w:r w:rsidRPr="008C4A12">
        <w:rPr>
          <w:rFonts w:hint="eastAsia"/>
          <w:color w:val="000000"/>
        </w:rPr>
        <w:t xml:space="preserve"> </w:t>
      </w:r>
      <w:r w:rsidRPr="008C4A12">
        <w:rPr>
          <w:color w:val="000000"/>
          <w:lang w:eastAsia="zh-CN"/>
        </w:rPr>
        <w:t>a 128 bit authentication key (MIAK) used to generate a value AUTH</w:t>
      </w:r>
      <w:r w:rsidRPr="008C4A12">
        <w:rPr>
          <w:rFonts w:hint="eastAsia"/>
          <w:color w:val="000000"/>
        </w:rPr>
        <w:t xml:space="preserve">, </w:t>
      </w:r>
      <w:r w:rsidRPr="008C4A12">
        <w:rPr>
          <w:color w:val="000000"/>
          <w:lang w:eastAsia="zh-CN"/>
        </w:rPr>
        <w:t>the session keys determined by the</w:t>
      </w:r>
      <w:r w:rsidRPr="008C4A12">
        <w:rPr>
          <w:rFonts w:hint="eastAsia"/>
          <w:color w:val="000000"/>
        </w:rPr>
        <w:t xml:space="preserve"> </w:t>
      </w:r>
      <w:r w:rsidRPr="008C4A12">
        <w:rPr>
          <w:color w:val="000000"/>
          <w:lang w:eastAsia="zh-CN"/>
        </w:rPr>
        <w:t xml:space="preserve">ciphersuite </w:t>
      </w:r>
      <w:r w:rsidR="00D61CBC" w:rsidRPr="00D61CBC">
        <w:rPr>
          <w:i/>
          <w:color w:val="FF0000"/>
          <w:lang w:eastAsia="zh-CN"/>
        </w:rPr>
        <w:t>c</w:t>
      </w:r>
      <w:r w:rsidR="00D61CBC">
        <w:rPr>
          <w:color w:val="000000"/>
          <w:lang w:eastAsia="zh-CN"/>
        </w:rPr>
        <w:t xml:space="preserve"> </w:t>
      </w:r>
      <w:r w:rsidRPr="008C4A12">
        <w:rPr>
          <w:color w:val="000000"/>
          <w:lang w:eastAsia="zh-CN"/>
        </w:rPr>
        <w:t xml:space="preserve">agreed upon between </w:t>
      </w:r>
      <w:r w:rsidR="00672527" w:rsidRPr="008C4A12">
        <w:rPr>
          <w:rFonts w:hint="eastAsia"/>
          <w:color w:val="000000"/>
        </w:rPr>
        <w:t>the</w:t>
      </w:r>
      <w:r w:rsidRPr="008C4A12">
        <w:rPr>
          <w:color w:val="000000"/>
          <w:lang w:eastAsia="zh-CN"/>
        </w:rPr>
        <w:t xml:space="preserve"> MN and </w:t>
      </w:r>
      <w:r w:rsidR="00672527" w:rsidRPr="008C4A12">
        <w:rPr>
          <w:rFonts w:hint="eastAsia"/>
          <w:color w:val="000000"/>
        </w:rPr>
        <w:t xml:space="preserve">the </w:t>
      </w:r>
      <w:r w:rsidR="00672527" w:rsidRPr="00585E3E">
        <w:rPr>
          <w:rFonts w:hint="eastAsia"/>
          <w:color w:val="FF0000"/>
        </w:rPr>
        <w:t>serving</w:t>
      </w:r>
      <w:r w:rsidR="00672527" w:rsidRPr="008C4A12">
        <w:rPr>
          <w:rFonts w:hint="eastAsia"/>
          <w:color w:val="000000"/>
        </w:rPr>
        <w:t xml:space="preserve"> </w:t>
      </w:r>
      <w:r w:rsidRPr="008C4A12">
        <w:rPr>
          <w:color w:val="000000"/>
          <w:lang w:eastAsia="zh-CN"/>
        </w:rPr>
        <w:t>PoS</w:t>
      </w:r>
      <w:r w:rsidRPr="008C4A12">
        <w:rPr>
          <w:rFonts w:hint="eastAsia"/>
          <w:color w:val="000000"/>
        </w:rPr>
        <w:t>.</w:t>
      </w:r>
      <w:r w:rsidRPr="008C4A12">
        <w:rPr>
          <w:color w:val="000000"/>
          <w:lang w:eastAsia="zh-CN"/>
        </w:rPr>
        <w:t xml:space="preserve"> The session keys used for MIH message protection consist</w:t>
      </w:r>
      <w:r w:rsidRPr="008C4A12">
        <w:rPr>
          <w:rFonts w:hint="eastAsia"/>
          <w:color w:val="000000"/>
        </w:rPr>
        <w:t xml:space="preserve"> </w:t>
      </w:r>
      <w:r w:rsidRPr="008C4A12">
        <w:rPr>
          <w:color w:val="000000"/>
          <w:lang w:eastAsia="zh-CN"/>
        </w:rPr>
        <w:t>of an encryption key (MIEK) only, an integrity key (MIIK) only, or both an encryption key (MIEK)</w:t>
      </w:r>
      <w:r w:rsidR="005A770E" w:rsidRPr="008C4A12">
        <w:rPr>
          <w:rFonts w:hint="eastAsia"/>
          <w:color w:val="000000"/>
        </w:rPr>
        <w:t xml:space="preserve"> and</w:t>
      </w:r>
      <w:r w:rsidRPr="008C4A12">
        <w:rPr>
          <w:rFonts w:hint="eastAsia"/>
          <w:color w:val="000000"/>
        </w:rPr>
        <w:t xml:space="preserve"> </w:t>
      </w:r>
      <w:r w:rsidRPr="008C4A12">
        <w:rPr>
          <w:color w:val="000000"/>
          <w:lang w:eastAsia="zh-CN"/>
        </w:rPr>
        <w:t>an integrity key (MIIK).</w:t>
      </w:r>
      <w:r w:rsidRPr="00CB1AD1">
        <w:rPr>
          <w:color w:val="FF0000"/>
          <w:lang w:eastAsia="zh-CN"/>
        </w:rPr>
        <w:t xml:space="preserve"> </w:t>
      </w:r>
      <w:r w:rsidR="004B25F0" w:rsidRPr="004B25F0">
        <w:rPr>
          <w:rFonts w:hint="eastAsia"/>
          <w:color w:val="FF0000"/>
        </w:rPr>
        <w:t xml:space="preserve">The concatenation of MIAK, </w:t>
      </w:r>
      <w:r w:rsidR="004B25F0" w:rsidRPr="004B25F0">
        <w:rPr>
          <w:rFonts w:hint="eastAsia"/>
          <w:color w:val="FF0000"/>
        </w:rPr>
        <w:lastRenderedPageBreak/>
        <w:t xml:space="preserve">MIEK and MIIK is called </w:t>
      </w:r>
      <w:r w:rsidR="00D61CBC">
        <w:rPr>
          <w:color w:val="FF0000"/>
        </w:rPr>
        <w:t xml:space="preserve">the </w:t>
      </w:r>
      <w:r w:rsidR="004B25F0" w:rsidRPr="004B25F0">
        <w:rPr>
          <w:color w:val="FF0000"/>
        </w:rPr>
        <w:t>media independent session key</w:t>
      </w:r>
      <w:r w:rsidR="004B25F0" w:rsidRPr="004B25F0">
        <w:rPr>
          <w:rFonts w:hint="eastAsia"/>
          <w:color w:val="FF0000"/>
        </w:rPr>
        <w:t xml:space="preserve"> </w:t>
      </w:r>
      <w:r w:rsidR="004B25F0" w:rsidRPr="004B25F0">
        <w:rPr>
          <w:color w:val="FF0000"/>
        </w:rPr>
        <w:t>(MISK)</w:t>
      </w:r>
      <w:r w:rsidR="004B25F0" w:rsidRPr="004B25F0">
        <w:rPr>
          <w:rFonts w:hint="eastAsia"/>
          <w:color w:val="FF0000"/>
        </w:rPr>
        <w:t>.</w:t>
      </w:r>
      <w:r w:rsidR="004B25F0">
        <w:rPr>
          <w:rFonts w:hint="eastAsia"/>
        </w:rPr>
        <w:t xml:space="preserve"> </w:t>
      </w:r>
      <w:r w:rsidR="00672527" w:rsidRPr="00672527">
        <w:t xml:space="preserve">The length, </w:t>
      </w:r>
      <w:r w:rsidR="00672527" w:rsidRPr="000D359B">
        <w:rPr>
          <w:i/>
        </w:rPr>
        <w:t>L</w:t>
      </w:r>
      <w:r w:rsidR="00672527" w:rsidRPr="000D359B">
        <w:t>,</w:t>
      </w:r>
      <w:r w:rsidR="00672527" w:rsidRPr="00672527">
        <w:t xml:space="preserve"> of the </w:t>
      </w:r>
      <w:r w:rsidR="00672527" w:rsidRPr="000D359B">
        <w:rPr>
          <w:color w:val="FF0000"/>
        </w:rPr>
        <w:t>MISK</w:t>
      </w:r>
      <w:r w:rsidR="00672527" w:rsidRPr="00672527">
        <w:t xml:space="preserve"> </w:t>
      </w:r>
      <w:r w:rsidR="004B25F0">
        <w:rPr>
          <w:rFonts w:hint="eastAsia"/>
          <w:color w:val="FF0000"/>
        </w:rPr>
        <w:t xml:space="preserve">is </w:t>
      </w:r>
      <w:r w:rsidR="00672527" w:rsidRPr="00672527">
        <w:t>specified in 9.2.3.</w:t>
      </w:r>
    </w:p>
    <w:p w:rsidR="007E233D" w:rsidRPr="00672527" w:rsidRDefault="007E233D" w:rsidP="00672527">
      <w:pPr>
        <w:pStyle w:val="IEEEStdsParagraph"/>
      </w:pPr>
    </w:p>
    <w:p w:rsidR="000F51DC" w:rsidRPr="000F51DC" w:rsidRDefault="007E233D" w:rsidP="005A770E">
      <w:pPr>
        <w:pStyle w:val="IEEEStdsParagraph"/>
        <w:rPr>
          <w:b/>
          <w:i/>
        </w:rPr>
      </w:pPr>
      <w:r w:rsidRPr="000F51DC">
        <w:rPr>
          <w:rFonts w:hint="eastAsia"/>
          <w:b/>
        </w:rPr>
        <w:t xml:space="preserve"> </w:t>
      </w:r>
      <w:r w:rsidR="000F51DC" w:rsidRPr="000F51DC">
        <w:rPr>
          <w:rFonts w:hint="eastAsia"/>
          <w:b/>
        </w:rPr>
        <w:t xml:space="preserve">[2] </w:t>
      </w:r>
      <w:r w:rsidR="000F51DC" w:rsidRPr="000F51DC">
        <w:rPr>
          <w:rFonts w:hint="eastAsia"/>
          <w:b/>
          <w:i/>
        </w:rPr>
        <w:t xml:space="preserve">Replace the </w:t>
      </w:r>
      <w:r w:rsidR="00CE67B0">
        <w:rPr>
          <w:b/>
          <w:i/>
        </w:rPr>
        <w:t>third</w:t>
      </w:r>
      <w:r w:rsidR="000F51DC" w:rsidRPr="000F51DC">
        <w:rPr>
          <w:rFonts w:hint="eastAsia"/>
          <w:b/>
          <w:i/>
        </w:rPr>
        <w:t xml:space="preserve"> </w:t>
      </w:r>
      <w:r w:rsidR="00CE67B0">
        <w:rPr>
          <w:rFonts w:hint="eastAsia"/>
          <w:b/>
          <w:i/>
        </w:rPr>
        <w:t>paragraph</w:t>
      </w:r>
      <w:r w:rsidR="00CE67B0">
        <w:rPr>
          <w:b/>
          <w:i/>
        </w:rPr>
        <w:t xml:space="preserve"> </w:t>
      </w:r>
      <w:r w:rsidR="000F51DC" w:rsidRPr="000F51DC">
        <w:rPr>
          <w:rFonts w:hint="eastAsia"/>
          <w:b/>
          <w:i/>
        </w:rPr>
        <w:t xml:space="preserve">of </w:t>
      </w:r>
      <w:r w:rsidR="000F51DC" w:rsidRPr="000F51DC">
        <w:rPr>
          <w:b/>
          <w:i/>
        </w:rPr>
        <w:t>subclause 9.2.2 in 802.21a with the following:</w:t>
      </w:r>
    </w:p>
    <w:p w:rsidR="005A770E" w:rsidRDefault="005A770E" w:rsidP="005A770E">
      <w:pPr>
        <w:pStyle w:val="IEEEStdsParagraph"/>
        <w:numPr>
          <w:ilvl w:val="0"/>
          <w:numId w:val="7"/>
        </w:numPr>
      </w:pPr>
      <w:r w:rsidRPr="005A770E">
        <w:t>K - key derivation key. It is truncated from a master session key (MSK) or re-authentication MSK</w:t>
      </w:r>
      <w:r>
        <w:rPr>
          <w:rFonts w:hint="eastAsia"/>
        </w:rPr>
        <w:t xml:space="preserve"> </w:t>
      </w:r>
      <w:r w:rsidRPr="005A770E">
        <w:t>(</w:t>
      </w:r>
      <w:proofErr w:type="spellStart"/>
      <w:r w:rsidRPr="005A770E">
        <w:t>rMSK</w:t>
      </w:r>
      <w:proofErr w:type="spellEnd"/>
      <w:r w:rsidRPr="005A770E">
        <w:t>)</w:t>
      </w:r>
      <w:r w:rsidR="000D359B" w:rsidRPr="000D359B">
        <w:rPr>
          <w:color w:val="FF0000"/>
        </w:rPr>
        <w:t>,</w:t>
      </w:r>
      <w:r w:rsidR="000D359B">
        <w:t xml:space="preserve"> </w:t>
      </w:r>
      <w:r w:rsidR="000D359B" w:rsidRPr="000D359B">
        <w:rPr>
          <w:color w:val="FF0000"/>
        </w:rPr>
        <w:t>or obtained by key exchange with another trusted PoS</w:t>
      </w:r>
      <w:r w:rsidRPr="005A770E">
        <w:t>. The length of K is determined by the pseudorandom function (PRF) used for key derivation.</w:t>
      </w:r>
      <w:r>
        <w:rPr>
          <w:rFonts w:hint="eastAsia"/>
        </w:rPr>
        <w:t xml:space="preserve"> </w:t>
      </w:r>
      <w:r w:rsidRPr="005A770E">
        <w:t xml:space="preserve">If HMAC-SHA-1 or HMAC-SHA-256 is used as a PRF, then the full MSK or </w:t>
      </w:r>
      <w:proofErr w:type="spellStart"/>
      <w:r w:rsidRPr="005A770E">
        <w:t>rMSK</w:t>
      </w:r>
      <w:proofErr w:type="spellEnd"/>
      <w:r w:rsidRPr="005A770E">
        <w:t xml:space="preserve"> is used as key</w:t>
      </w:r>
      <w:r>
        <w:rPr>
          <w:rFonts w:hint="eastAsia"/>
        </w:rPr>
        <w:t xml:space="preserve"> </w:t>
      </w:r>
      <w:r>
        <w:t xml:space="preserve">derivation key, </w:t>
      </w:r>
      <w:r w:rsidRPr="005A770E">
        <w:rPr>
          <w:i/>
        </w:rPr>
        <w:t>K</w:t>
      </w:r>
      <w:r>
        <w:t xml:space="preserve">. If CMAC-AES is used as a PRF, then the first 128 bits of MSK or </w:t>
      </w:r>
      <w:proofErr w:type="spellStart"/>
      <w:r>
        <w:t>rMSK</w:t>
      </w:r>
      <w:proofErr w:type="spellEnd"/>
      <w:r>
        <w:t xml:space="preserve"> are used</w:t>
      </w:r>
      <w:r>
        <w:rPr>
          <w:rFonts w:hint="eastAsia"/>
        </w:rPr>
        <w:t xml:space="preserve"> </w:t>
      </w:r>
      <w:r>
        <w:t xml:space="preserve">as key derivation key, </w:t>
      </w:r>
      <w:r w:rsidRPr="005A770E">
        <w:rPr>
          <w:i/>
        </w:rPr>
        <w:t>K</w:t>
      </w:r>
      <w:r>
        <w:t>.</w:t>
      </w:r>
    </w:p>
    <w:p w:rsidR="00322267" w:rsidRDefault="00322267" w:rsidP="00322267">
      <w:pPr>
        <w:pStyle w:val="IEEEStdsParagraph"/>
        <w:autoSpaceDE w:val="0"/>
        <w:autoSpaceDN w:val="0"/>
        <w:ind w:left="720"/>
        <w:rPr>
          <w:rFonts w:ascii="TimesNewRoman" w:hAnsi="TimesNewRoman" w:cs="TimesNewRoman"/>
        </w:rPr>
      </w:pPr>
    </w:p>
    <w:p w:rsidR="00322267" w:rsidRDefault="00322267" w:rsidP="00322267">
      <w:pPr>
        <w:pStyle w:val="IEEEStdsParagraph"/>
        <w:autoSpaceDE w:val="0"/>
        <w:autoSpaceDN w:val="0"/>
        <w:ind w:left="720"/>
        <w:rPr>
          <w:rFonts w:ascii="TimesNewRoman" w:hAnsi="TimesNewRoman" w:cs="TimesNewRoman"/>
        </w:rPr>
      </w:pPr>
    </w:p>
    <w:p w:rsidR="00322267" w:rsidRPr="00F0718B" w:rsidRDefault="000D359B" w:rsidP="00F0718B">
      <w:pPr>
        <w:pStyle w:val="IEEEStdsParagraph"/>
        <w:autoSpaceDE w:val="0"/>
        <w:autoSpaceDN w:val="0"/>
        <w:rPr>
          <w:rFonts w:ascii="TimesNewRoman" w:hAnsi="TimesNewRoman" w:cs="TimesNewRoman"/>
          <w:color w:val="00B0F0"/>
        </w:rPr>
      </w:pPr>
      <w:r w:rsidRPr="00F0718B">
        <w:rPr>
          <w:rFonts w:ascii="TimesNewRoman" w:hAnsi="TimesNewRoman" w:cs="TimesNewRoman"/>
          <w:color w:val="00B0F0"/>
        </w:rPr>
        <w:t>In the following figure, change K’ to K, and delete the lower-right rectangle (the one with the legend “K’ (transmitted to other PoS)</w:t>
      </w:r>
      <w:r w:rsidR="00F0718B" w:rsidRPr="00F0718B">
        <w:rPr>
          <w:rFonts w:ascii="TimesNewRoman" w:hAnsi="TimesNewRoman" w:cs="TimesNewRoman"/>
          <w:color w:val="00B0F0"/>
        </w:rPr>
        <w:t>”.</w:t>
      </w:r>
    </w:p>
    <w:p w:rsidR="002676D2" w:rsidRDefault="002676D2" w:rsidP="002676D2">
      <w:pPr>
        <w:autoSpaceDE w:val="0"/>
        <w:autoSpaceDN w:val="0"/>
        <w:adjustRightInd w:val="0"/>
        <w:rPr>
          <w:rFonts w:ascii="TimesNewRoman" w:hAnsi="TimesNewRoman" w:cs="TimesNewRoman"/>
          <w:sz w:val="20"/>
          <w:szCs w:val="20"/>
          <w:lang w:eastAsia="ja-JP"/>
        </w:rPr>
      </w:pPr>
    </w:p>
    <w:p w:rsidR="00DE2B6B" w:rsidRDefault="003C610F" w:rsidP="004B0355">
      <w:pPr>
        <w:pStyle w:val="IEEEStdsParagraph"/>
        <w:autoSpaceDE w:val="0"/>
        <w:autoSpaceDN w:val="0"/>
        <w:rPr>
          <w:rFonts w:ascii="TimesNewRoman" w:hAnsi="TimesNewRoman" w:cs="TimesNewRoman"/>
        </w:rPr>
      </w:pPr>
      <w:r>
        <w:rPr>
          <w:rFonts w:ascii="TimesNewRoman" w:hAnsi="TimesNewRoman" w:cs="TimesNewRoman"/>
        </w:rPr>
      </w:r>
      <w:r>
        <w:rPr>
          <w:rFonts w:ascii="TimesNewRoman" w:hAnsi="TimesNewRoman" w:cs="TimesNewRoman"/>
        </w:rPr>
        <w:pict>
          <v:group id="_x0000_s1027" editas="canvas" style="width:6in;height:259.2pt;mso-position-horizontal-relative:char;mso-position-vertical-relative:line" coordorigin="1800,3760" coordsize="8640,51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800;top:3760;width:8640;height:5184" o:preferrelative="f">
              <v:fill o:detectmouseclick="t"/>
              <v:path o:extrusionok="t" o:connecttype="none"/>
              <o:lock v:ext="edit" text="t"/>
            </v:shape>
            <v:shape id="_x0000_s1033" type="#_x0000_t75" style="position:absolute;left:2505;top:4101;width:7507;height:4548">
              <v:imagedata r:id="rId12" o:title=""/>
            </v:shape>
            <w10:wrap type="none"/>
            <w10:anchorlock/>
          </v:group>
        </w:pict>
      </w:r>
    </w:p>
    <w:p w:rsidR="004B0355" w:rsidRPr="00DE2B6B" w:rsidRDefault="00DE2B6B" w:rsidP="00DE2B6B">
      <w:pPr>
        <w:pStyle w:val="IEEEStdsParagraph"/>
        <w:autoSpaceDE w:val="0"/>
        <w:autoSpaceDN w:val="0"/>
        <w:jc w:val="center"/>
        <w:rPr>
          <w:rFonts w:ascii="TimesNewRoman" w:hAnsi="TimesNewRoman" w:cs="TimesNewRoman"/>
          <w:b/>
        </w:rPr>
      </w:pPr>
      <w:r w:rsidRPr="00DE2B6B">
        <w:rPr>
          <w:rFonts w:ascii="TimesNewRoman" w:hAnsi="TimesNewRoman" w:cs="TimesNewRoman" w:hint="eastAsia"/>
          <w:b/>
        </w:rPr>
        <w:t>Figure</w:t>
      </w:r>
      <w:r w:rsidR="007E233D">
        <w:rPr>
          <w:rFonts w:ascii="TimesNewRoman" w:hAnsi="TimesNewRoman" w:cs="TimesNewRoman"/>
          <w:b/>
        </w:rPr>
        <w:t xml:space="preserve"> </w:t>
      </w:r>
      <w:r w:rsidRPr="00DE2B6B">
        <w:rPr>
          <w:rFonts w:ascii="TimesNewRoman" w:hAnsi="TimesNewRoman" w:cs="TimesNewRoman" w:hint="eastAsia"/>
          <w:b/>
        </w:rPr>
        <w:t xml:space="preserve">36 MIH Key </w:t>
      </w:r>
      <w:proofErr w:type="gramStart"/>
      <w:r w:rsidRPr="00DE2B6B">
        <w:rPr>
          <w:rFonts w:ascii="TimesNewRoman" w:hAnsi="TimesNewRoman" w:cs="TimesNewRoman" w:hint="eastAsia"/>
          <w:b/>
        </w:rPr>
        <w:t>Hierarchy</w:t>
      </w:r>
      <w:proofErr w:type="gramEnd"/>
    </w:p>
    <w:p w:rsidR="00A533CD" w:rsidRDefault="00A533CD">
      <w:pPr>
        <w:rPr>
          <w:lang w:eastAsia="ja-JP"/>
        </w:rPr>
      </w:pPr>
    </w:p>
    <w:sectPr w:rsidR="00A533CD" w:rsidSect="00CB69DD">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CC7" w:rsidRDefault="00CE0CC7">
      <w:r>
        <w:separator/>
      </w:r>
    </w:p>
  </w:endnote>
  <w:endnote w:type="continuationSeparator" w:id="0">
    <w:p w:rsidR="00CE0CC7" w:rsidRDefault="00CE0C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6C7" w:rsidRDefault="003C610F">
    <w:pPr>
      <w:pStyle w:val="Footer"/>
      <w:jc w:val="center"/>
    </w:pPr>
    <w:r>
      <w:rPr>
        <w:rStyle w:val="PageNumber"/>
      </w:rPr>
      <w:fldChar w:fldCharType="begin"/>
    </w:r>
    <w:r w:rsidR="00DD36C7">
      <w:rPr>
        <w:rStyle w:val="PageNumber"/>
      </w:rPr>
      <w:instrText xml:space="preserve"> PAGE </w:instrText>
    </w:r>
    <w:r>
      <w:rPr>
        <w:rStyle w:val="PageNumber"/>
      </w:rPr>
      <w:fldChar w:fldCharType="separate"/>
    </w:r>
    <w:r w:rsidR="00CE67B0">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CC7" w:rsidRDefault="00CE0CC7">
      <w:r>
        <w:separator/>
      </w:r>
    </w:p>
  </w:footnote>
  <w:footnote w:type="continuationSeparator" w:id="0">
    <w:p w:rsidR="00CE0CC7" w:rsidRDefault="00CE0C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6C7" w:rsidRDefault="00A33930">
    <w:pPr>
      <w:pStyle w:val="Header"/>
      <w:tabs>
        <w:tab w:val="clear" w:pos="4320"/>
      </w:tabs>
      <w:rPr>
        <w:b/>
        <w:bCs/>
      </w:rPr>
    </w:pPr>
    <w:r>
      <w:rPr>
        <w:rFonts w:hint="eastAsia"/>
        <w:b/>
        <w:bCs/>
        <w:lang w:eastAsia="ja-JP"/>
      </w:rPr>
      <w:t>2013</w:t>
    </w:r>
    <w:r>
      <w:rPr>
        <w:b/>
        <w:bCs/>
      </w:rPr>
      <w:t>-</w:t>
    </w:r>
    <w:r>
      <w:rPr>
        <w:rFonts w:hint="eastAsia"/>
        <w:b/>
        <w:bCs/>
        <w:lang w:eastAsia="ja-JP"/>
      </w:rPr>
      <w:t>03</w:t>
    </w:r>
    <w:r>
      <w:rPr>
        <w:b/>
        <w:bCs/>
      </w:rPr>
      <w:t>-</w:t>
    </w:r>
    <w:r>
      <w:rPr>
        <w:rFonts w:hint="eastAsia"/>
        <w:b/>
        <w:bCs/>
        <w:lang w:eastAsia="ja-JP"/>
      </w:rPr>
      <w:t>07</w:t>
    </w:r>
    <w:r>
      <w:rPr>
        <w:b/>
        <w:bCs/>
      </w:rPr>
      <w:tab/>
    </w:r>
    <w:r>
      <w:rPr>
        <w:rFonts w:hint="eastAsia"/>
        <w:b/>
        <w:bCs/>
        <w:lang w:eastAsia="ja-JP"/>
      </w:rPr>
      <w:t xml:space="preserve">DCN </w:t>
    </w:r>
    <w:r>
      <w:rPr>
        <w:b/>
        <w:bCs/>
      </w:rPr>
      <w:t>21-</w:t>
    </w:r>
    <w:r>
      <w:rPr>
        <w:rFonts w:hint="eastAsia"/>
        <w:b/>
        <w:bCs/>
        <w:lang w:eastAsia="ja-JP"/>
      </w:rPr>
      <w:t>13</w:t>
    </w:r>
    <w:r>
      <w:rPr>
        <w:b/>
        <w:bCs/>
      </w:rPr>
      <w:t>-</w:t>
    </w:r>
    <w:r>
      <w:rPr>
        <w:rFonts w:hint="eastAsia"/>
        <w:b/>
        <w:bCs/>
        <w:lang w:eastAsia="ja-JP"/>
      </w:rPr>
      <w:t>0040</w:t>
    </w:r>
    <w:r>
      <w:rPr>
        <w:b/>
        <w:bCs/>
      </w:rPr>
      <w:t>-00-0000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94B"/>
    <w:multiLevelType w:val="hybridMultilevel"/>
    <w:tmpl w:val="203E6CD4"/>
    <w:lvl w:ilvl="0" w:tplc="DAFC8E2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57E75"/>
    <w:multiLevelType w:val="hybridMultilevel"/>
    <w:tmpl w:val="9AC649FE"/>
    <w:lvl w:ilvl="0" w:tplc="A3C099CC">
      <w:numFmt w:val="bullet"/>
      <w:lvlText w:val="—"/>
      <w:lvlJc w:val="left"/>
      <w:pPr>
        <w:ind w:left="644" w:hanging="360"/>
      </w:pPr>
      <w:rPr>
        <w:rFonts w:ascii="MS Mincho" w:eastAsia="MS Mincho" w:hAnsi="MS Mincho" w:cs="Times New Roman" w:hint="eastAsia"/>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05D270F1"/>
    <w:multiLevelType w:val="hybridMultilevel"/>
    <w:tmpl w:val="30A4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0246D"/>
    <w:multiLevelType w:val="hybridMultilevel"/>
    <w:tmpl w:val="92A0903C"/>
    <w:lvl w:ilvl="0" w:tplc="E8EADE1C">
      <w:numFmt w:val="bullet"/>
      <w:lvlText w:val=""/>
      <w:lvlJc w:val="left"/>
      <w:pPr>
        <w:ind w:left="644" w:hanging="360"/>
      </w:pPr>
      <w:rPr>
        <w:rFonts w:ascii="Wingdings" w:eastAsia="MS Mincho"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220020B0"/>
    <w:multiLevelType w:val="hybridMultilevel"/>
    <w:tmpl w:val="E8268050"/>
    <w:lvl w:ilvl="0" w:tplc="06B6D1DE">
      <w:numFmt w:val="bullet"/>
      <w:lvlText w:val=""/>
      <w:lvlJc w:val="left"/>
      <w:pPr>
        <w:ind w:left="644" w:hanging="360"/>
      </w:pPr>
      <w:rPr>
        <w:rFonts w:ascii="Wingdings" w:eastAsia="MS Mincho"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4A9218F2"/>
    <w:multiLevelType w:val="hybridMultilevel"/>
    <w:tmpl w:val="24E49B34"/>
    <w:lvl w:ilvl="0" w:tplc="DAFC8E2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680CC4"/>
    <w:multiLevelType w:val="hybridMultilevel"/>
    <w:tmpl w:val="BF9097D0"/>
    <w:lvl w:ilvl="0" w:tplc="DAFC8E2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7629526F"/>
    <w:multiLevelType w:val="hybridMultilevel"/>
    <w:tmpl w:val="7E9E0188"/>
    <w:lvl w:ilvl="0" w:tplc="A3C099CC">
      <w:numFmt w:val="bullet"/>
      <w:lvlText w:val="—"/>
      <w:lvlJc w:val="left"/>
      <w:pPr>
        <w:ind w:left="1004" w:hanging="360"/>
      </w:pPr>
      <w:rPr>
        <w:rFonts w:ascii="MS Mincho" w:eastAsia="MS Mincho" w:hAnsi="MS Mincho" w:cs="Times New Roman" w:hint="eastAsi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7"/>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
  <w:rsids>
    <w:rsidRoot w:val="001847C3"/>
    <w:rsid w:val="00077A2A"/>
    <w:rsid w:val="000D359B"/>
    <w:rsid w:val="000F51DC"/>
    <w:rsid w:val="00157B83"/>
    <w:rsid w:val="00162F60"/>
    <w:rsid w:val="00166F82"/>
    <w:rsid w:val="001847C3"/>
    <w:rsid w:val="001A0082"/>
    <w:rsid w:val="001A164E"/>
    <w:rsid w:val="00200C9F"/>
    <w:rsid w:val="002676D2"/>
    <w:rsid w:val="00287148"/>
    <w:rsid w:val="002B1DB1"/>
    <w:rsid w:val="002E6C13"/>
    <w:rsid w:val="00322267"/>
    <w:rsid w:val="003C610F"/>
    <w:rsid w:val="003D4DC9"/>
    <w:rsid w:val="00405520"/>
    <w:rsid w:val="004255DF"/>
    <w:rsid w:val="004640FD"/>
    <w:rsid w:val="00477B36"/>
    <w:rsid w:val="004A1E61"/>
    <w:rsid w:val="004A3CE1"/>
    <w:rsid w:val="004B0355"/>
    <w:rsid w:val="004B25F0"/>
    <w:rsid w:val="005603F9"/>
    <w:rsid w:val="00585E3E"/>
    <w:rsid w:val="0059130D"/>
    <w:rsid w:val="005A770E"/>
    <w:rsid w:val="005B3EAD"/>
    <w:rsid w:val="00672527"/>
    <w:rsid w:val="00685F1C"/>
    <w:rsid w:val="006C3B9A"/>
    <w:rsid w:val="00725227"/>
    <w:rsid w:val="007E233D"/>
    <w:rsid w:val="00810289"/>
    <w:rsid w:val="008A7712"/>
    <w:rsid w:val="008C44E6"/>
    <w:rsid w:val="008C4A12"/>
    <w:rsid w:val="008D3F7F"/>
    <w:rsid w:val="008E6714"/>
    <w:rsid w:val="00A33930"/>
    <w:rsid w:val="00A533CD"/>
    <w:rsid w:val="00AA081D"/>
    <w:rsid w:val="00AC1A82"/>
    <w:rsid w:val="00BB7532"/>
    <w:rsid w:val="00C35F52"/>
    <w:rsid w:val="00C64685"/>
    <w:rsid w:val="00CB1AD1"/>
    <w:rsid w:val="00CB69DD"/>
    <w:rsid w:val="00CE0CC7"/>
    <w:rsid w:val="00CE67B0"/>
    <w:rsid w:val="00CF5CCB"/>
    <w:rsid w:val="00D0149F"/>
    <w:rsid w:val="00D608EB"/>
    <w:rsid w:val="00D61CBC"/>
    <w:rsid w:val="00DA47FF"/>
    <w:rsid w:val="00DD36C7"/>
    <w:rsid w:val="00DE2B6B"/>
    <w:rsid w:val="00E3449A"/>
    <w:rsid w:val="00E7118F"/>
    <w:rsid w:val="00E76C8A"/>
    <w:rsid w:val="00ED4796"/>
    <w:rsid w:val="00ED4F9E"/>
    <w:rsid w:val="00F0718B"/>
    <w:rsid w:val="00F37EE3"/>
    <w:rsid w:val="00F77C0F"/>
    <w:rsid w:val="00FF46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69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69DD"/>
    <w:rPr>
      <w:color w:val="3366FF"/>
      <w:u w:val="single"/>
    </w:rPr>
  </w:style>
  <w:style w:type="character" w:styleId="FollowedHyperlink">
    <w:name w:val="FollowedHyperlink"/>
    <w:rsid w:val="00CB69DD"/>
    <w:rPr>
      <w:color w:val="0000FF"/>
    </w:rPr>
  </w:style>
  <w:style w:type="paragraph" w:customStyle="1" w:styleId="Body">
    <w:name w:val="Body"/>
    <w:basedOn w:val="Normal"/>
    <w:rsid w:val="00CB69DD"/>
    <w:pPr>
      <w:spacing w:after="120"/>
      <w:jc w:val="both"/>
    </w:pPr>
    <w:rPr>
      <w:rFonts w:ascii="Times" w:hAnsi="Times"/>
      <w:kern w:val="28"/>
      <w:lang w:bidi="he-IL"/>
    </w:rPr>
  </w:style>
  <w:style w:type="paragraph" w:customStyle="1" w:styleId="covertext">
    <w:name w:val="cover text"/>
    <w:basedOn w:val="Normal"/>
    <w:rsid w:val="00CB69DD"/>
    <w:pPr>
      <w:spacing w:before="120" w:after="120"/>
    </w:pPr>
    <w:rPr>
      <w:rFonts w:ascii="Times" w:hAnsi="Times"/>
      <w:lang w:bidi="he-IL"/>
    </w:rPr>
  </w:style>
  <w:style w:type="paragraph" w:styleId="BodyText">
    <w:name w:val="Body Text"/>
    <w:basedOn w:val="Normal"/>
    <w:rsid w:val="00CB69DD"/>
    <w:rPr>
      <w:b/>
      <w:bCs/>
    </w:rPr>
  </w:style>
  <w:style w:type="paragraph" w:styleId="Header">
    <w:name w:val="header"/>
    <w:basedOn w:val="Normal"/>
    <w:rsid w:val="00CB69DD"/>
    <w:pPr>
      <w:tabs>
        <w:tab w:val="center" w:pos="4320"/>
        <w:tab w:val="right" w:pos="8640"/>
      </w:tabs>
    </w:pPr>
  </w:style>
  <w:style w:type="paragraph" w:styleId="Footer">
    <w:name w:val="footer"/>
    <w:basedOn w:val="Normal"/>
    <w:rsid w:val="00CB69DD"/>
    <w:pPr>
      <w:tabs>
        <w:tab w:val="center" w:pos="4320"/>
        <w:tab w:val="right" w:pos="8640"/>
      </w:tabs>
    </w:pPr>
  </w:style>
  <w:style w:type="character" w:styleId="PageNumber">
    <w:name w:val="page number"/>
    <w:basedOn w:val="DefaultParagraphFont"/>
    <w:rsid w:val="00CB69DD"/>
  </w:style>
  <w:style w:type="character" w:customStyle="1" w:styleId="IEEEStdsParagraphChar">
    <w:name w:val="IEEEStds Paragraph Char"/>
    <w:link w:val="IEEEStdsParagraph"/>
    <w:locked/>
    <w:rsid w:val="00A533CD"/>
  </w:style>
  <w:style w:type="paragraph" w:customStyle="1" w:styleId="IEEEStdsParagraph">
    <w:name w:val="IEEEStds Paragraph"/>
    <w:link w:val="IEEEStdsParagraphChar"/>
    <w:rsid w:val="00A533CD"/>
    <w:pPr>
      <w:adjustRightInd w:val="0"/>
      <w:spacing w:after="240"/>
      <w:jc w:val="both"/>
    </w:pPr>
    <w:rPr>
      <w:lang w:eastAsia="ja-JP"/>
    </w:rPr>
  </w:style>
</w:styles>
</file>

<file path=word/webSettings.xml><?xml version="1.0" encoding="utf-8"?>
<w:webSettings xmlns:r="http://schemas.openxmlformats.org/officeDocument/2006/relationships" xmlns:w="http://schemas.openxmlformats.org/wordprocessingml/2006/main">
  <w:divs>
    <w:div w:id="102000335">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16752439">
      <w:bodyDiv w:val="1"/>
      <w:marLeft w:val="0"/>
      <w:marRight w:val="0"/>
      <w:marTop w:val="0"/>
      <w:marBottom w:val="0"/>
      <w:divBdr>
        <w:top w:val="none" w:sz="0" w:space="0" w:color="auto"/>
        <w:left w:val="none" w:sz="0" w:space="0" w:color="auto"/>
        <w:bottom w:val="none" w:sz="0" w:space="0" w:color="auto"/>
        <w:right w:val="none" w:sz="0" w:space="0" w:color="auto"/>
      </w:divBdr>
    </w:div>
    <w:div w:id="63406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A6047-A174-4418-869F-D2567BA2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3564</Characters>
  <Application>Microsoft Office Word</Application>
  <DocSecurity>0</DocSecurity>
  <Lines>29</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4156</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c00904532</cp:lastModifiedBy>
  <cp:revision>2</cp:revision>
  <dcterms:created xsi:type="dcterms:W3CDTF">2013-04-06T01:24:00Z</dcterms:created>
  <dcterms:modified xsi:type="dcterms:W3CDTF">2013-04-06T01:24:00Z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y fmtid="{D5CDD505-2E9C-101B-9397-08002B2CF9AE}" pid="7" name="sflag">
    <vt:lpwstr>1364924630</vt:lpwstr>
  </property>
</Properties>
</file>