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227F76" w:rsidRPr="00D86D9A">
        <w:tblPrEx>
          <w:tblCellMar>
            <w:top w:w="0" w:type="dxa"/>
            <w:bottom w:w="0" w:type="dxa"/>
          </w:tblCellMar>
        </w:tblPrEx>
        <w:tc>
          <w:tcPr>
            <w:tcW w:w="1350" w:type="dxa"/>
          </w:tcPr>
          <w:p w:rsidR="00227F76" w:rsidRDefault="00227F76">
            <w:pPr>
              <w:pStyle w:val="covertext"/>
            </w:pPr>
            <w:r>
              <w:t>Project</w:t>
            </w:r>
          </w:p>
        </w:tc>
        <w:tc>
          <w:tcPr>
            <w:tcW w:w="9018" w:type="dxa"/>
            <w:gridSpan w:val="2"/>
          </w:tcPr>
          <w:p w:rsidR="00227F76" w:rsidRPr="00D86D9A" w:rsidRDefault="003A4FD8">
            <w:pPr>
              <w:pStyle w:val="covertext"/>
              <w:rPr>
                <w:b/>
                <w:lang w:val="it-IT"/>
              </w:rPr>
            </w:pPr>
            <w:r>
              <w:rPr>
                <w:b/>
                <w:lang w:val="it-IT"/>
              </w:rPr>
              <w:t xml:space="preserve">IEEE 802.21 </w:t>
            </w:r>
          </w:p>
          <w:p w:rsidR="00227F76" w:rsidRPr="00D86D9A" w:rsidRDefault="00227F76">
            <w:pPr>
              <w:pStyle w:val="covertext"/>
              <w:rPr>
                <w:b/>
                <w:lang w:val="it-IT"/>
              </w:rPr>
            </w:pPr>
            <w:r w:rsidRPr="00D86D9A">
              <w:rPr>
                <w:b/>
                <w:lang w:val="it-IT"/>
              </w:rPr>
              <w:t>&lt;</w:t>
            </w:r>
            <w:hyperlink r:id="rId7" w:history="1">
              <w:r w:rsidRPr="00D86D9A">
                <w:rPr>
                  <w:rStyle w:val="Hyperlink"/>
                  <w:rFonts w:ascii="Times New Roman" w:hAnsi="Times New Roman"/>
                  <w:b/>
                  <w:lang w:val="it-IT" w:bidi="ar-SA"/>
                </w:rPr>
                <w:t>http://www.ieee802.org/21/</w:t>
              </w:r>
            </w:hyperlink>
            <w:r w:rsidRPr="00D86D9A">
              <w:rPr>
                <w:b/>
                <w:lang w:val="it-IT"/>
              </w:rPr>
              <w:t>&gt;</w:t>
            </w:r>
          </w:p>
        </w:tc>
      </w:tr>
      <w:tr w:rsidR="00227F76">
        <w:tblPrEx>
          <w:tblCellMar>
            <w:top w:w="0" w:type="dxa"/>
            <w:bottom w:w="0" w:type="dxa"/>
          </w:tblCellMar>
        </w:tblPrEx>
        <w:tc>
          <w:tcPr>
            <w:tcW w:w="1350" w:type="dxa"/>
          </w:tcPr>
          <w:p w:rsidR="00227F76" w:rsidRDefault="00227F76">
            <w:pPr>
              <w:pStyle w:val="covertext"/>
            </w:pPr>
            <w:r>
              <w:t>Title</w:t>
            </w:r>
          </w:p>
        </w:tc>
        <w:tc>
          <w:tcPr>
            <w:tcW w:w="9018" w:type="dxa"/>
            <w:gridSpan w:val="2"/>
          </w:tcPr>
          <w:p w:rsidR="00227F76" w:rsidRDefault="003A4FD8">
            <w:pPr>
              <w:pStyle w:val="covertext"/>
              <w:rPr>
                <w:b/>
              </w:rPr>
            </w:pPr>
            <w:r>
              <w:rPr>
                <w:b/>
              </w:rPr>
              <w:t xml:space="preserve">IEEE </w:t>
            </w:r>
            <w:r w:rsidR="00227F76">
              <w:rPr>
                <w:b/>
              </w:rPr>
              <w:t>802.21 Election Process</w:t>
            </w:r>
          </w:p>
        </w:tc>
      </w:tr>
      <w:tr w:rsidR="00227F76">
        <w:tblPrEx>
          <w:tblCellMar>
            <w:top w:w="0" w:type="dxa"/>
            <w:bottom w:w="0" w:type="dxa"/>
          </w:tblCellMar>
        </w:tblPrEx>
        <w:tc>
          <w:tcPr>
            <w:tcW w:w="1350" w:type="dxa"/>
          </w:tcPr>
          <w:p w:rsidR="00227F76" w:rsidRDefault="00227F76">
            <w:pPr>
              <w:pStyle w:val="covertext"/>
            </w:pPr>
            <w:r>
              <w:t>DCN</w:t>
            </w:r>
          </w:p>
        </w:tc>
        <w:tc>
          <w:tcPr>
            <w:tcW w:w="9018" w:type="dxa"/>
            <w:gridSpan w:val="2"/>
          </w:tcPr>
          <w:p w:rsidR="00227F76" w:rsidRDefault="00D86D9A">
            <w:pPr>
              <w:pStyle w:val="covertext"/>
              <w:rPr>
                <w:b/>
              </w:rPr>
            </w:pPr>
            <w:r>
              <w:rPr>
                <w:b/>
              </w:rPr>
              <w:t>21-</w:t>
            </w:r>
            <w:r w:rsidR="006A0D9E">
              <w:rPr>
                <w:b/>
              </w:rPr>
              <w:t>1</w:t>
            </w:r>
            <w:r w:rsidR="00386892">
              <w:rPr>
                <w:b/>
              </w:rPr>
              <w:t>2</w:t>
            </w:r>
            <w:r w:rsidR="00227F76">
              <w:rPr>
                <w:b/>
              </w:rPr>
              <w:t>-0</w:t>
            </w:r>
            <w:r w:rsidR="0001336A">
              <w:rPr>
                <w:b/>
              </w:rPr>
              <w:t>0</w:t>
            </w:r>
            <w:r w:rsidR="003A5ED2">
              <w:rPr>
                <w:b/>
              </w:rPr>
              <w:t>18</w:t>
            </w:r>
            <w:r w:rsidR="00227F76">
              <w:rPr>
                <w:b/>
              </w:rPr>
              <w:t>-00-0000</w:t>
            </w:r>
          </w:p>
        </w:tc>
      </w:tr>
      <w:tr w:rsidR="00227F76">
        <w:tblPrEx>
          <w:tblCellMar>
            <w:top w:w="0" w:type="dxa"/>
            <w:bottom w:w="0" w:type="dxa"/>
          </w:tblCellMar>
        </w:tblPrEx>
        <w:tc>
          <w:tcPr>
            <w:tcW w:w="1350" w:type="dxa"/>
          </w:tcPr>
          <w:p w:rsidR="00227F76" w:rsidRDefault="00227F76">
            <w:pPr>
              <w:pStyle w:val="covertext"/>
            </w:pPr>
            <w:r>
              <w:t>Date Submitted</w:t>
            </w:r>
          </w:p>
        </w:tc>
        <w:tc>
          <w:tcPr>
            <w:tcW w:w="9018" w:type="dxa"/>
            <w:gridSpan w:val="2"/>
          </w:tcPr>
          <w:p w:rsidR="00227F76" w:rsidRDefault="006A0D9E">
            <w:pPr>
              <w:pStyle w:val="covertext"/>
              <w:rPr>
                <w:b/>
              </w:rPr>
            </w:pPr>
            <w:r>
              <w:rPr>
                <w:b/>
              </w:rPr>
              <w:t>February</w:t>
            </w:r>
            <w:r w:rsidR="00D86D9A">
              <w:rPr>
                <w:b/>
              </w:rPr>
              <w:t>, 20</w:t>
            </w:r>
            <w:r>
              <w:rPr>
                <w:b/>
              </w:rPr>
              <w:t>1</w:t>
            </w:r>
            <w:r w:rsidR="00386892">
              <w:rPr>
                <w:b/>
              </w:rPr>
              <w:t>2</w:t>
            </w:r>
          </w:p>
        </w:tc>
      </w:tr>
      <w:tr w:rsidR="00227F76">
        <w:tblPrEx>
          <w:tblCellMar>
            <w:top w:w="0" w:type="dxa"/>
            <w:bottom w:w="0" w:type="dxa"/>
          </w:tblCellMar>
        </w:tblPrEx>
        <w:tc>
          <w:tcPr>
            <w:tcW w:w="1350" w:type="dxa"/>
          </w:tcPr>
          <w:p w:rsidR="00227F76" w:rsidRDefault="00227F76">
            <w:pPr>
              <w:pStyle w:val="covertext"/>
            </w:pPr>
            <w:r>
              <w:t>Source(s)</w:t>
            </w:r>
          </w:p>
        </w:tc>
        <w:tc>
          <w:tcPr>
            <w:tcW w:w="3870" w:type="dxa"/>
          </w:tcPr>
          <w:p w:rsidR="00227F76" w:rsidRDefault="00386892">
            <w:pPr>
              <w:pStyle w:val="covertext"/>
            </w:pPr>
            <w:r>
              <w:t xml:space="preserve">Subir Das </w:t>
            </w:r>
          </w:p>
        </w:tc>
        <w:tc>
          <w:tcPr>
            <w:tcW w:w="5148" w:type="dxa"/>
          </w:tcPr>
          <w:p w:rsidR="00227F76" w:rsidRDefault="00227F76">
            <w:pPr>
              <w:pStyle w:val="covertext"/>
              <w:rPr>
                <w:sz w:val="18"/>
              </w:rPr>
            </w:pPr>
          </w:p>
        </w:tc>
      </w:tr>
      <w:tr w:rsidR="00227F76">
        <w:tblPrEx>
          <w:tblCellMar>
            <w:top w:w="0" w:type="dxa"/>
            <w:bottom w:w="0" w:type="dxa"/>
          </w:tblCellMar>
        </w:tblPrEx>
        <w:tc>
          <w:tcPr>
            <w:tcW w:w="1350" w:type="dxa"/>
          </w:tcPr>
          <w:p w:rsidR="00227F76" w:rsidRDefault="00227F76">
            <w:pPr>
              <w:pStyle w:val="covertext"/>
            </w:pPr>
            <w:r>
              <w:t>Re:</w:t>
            </w:r>
          </w:p>
        </w:tc>
        <w:tc>
          <w:tcPr>
            <w:tcW w:w="9018" w:type="dxa"/>
            <w:gridSpan w:val="2"/>
          </w:tcPr>
          <w:p w:rsidR="00227F76" w:rsidRDefault="00227F76">
            <w:pPr>
              <w:pStyle w:val="covertext"/>
            </w:pPr>
          </w:p>
        </w:tc>
      </w:tr>
      <w:tr w:rsidR="00227F76">
        <w:tblPrEx>
          <w:tblCellMar>
            <w:top w:w="0" w:type="dxa"/>
            <w:bottom w:w="0" w:type="dxa"/>
          </w:tblCellMar>
        </w:tblPrEx>
        <w:tc>
          <w:tcPr>
            <w:tcW w:w="1350" w:type="dxa"/>
          </w:tcPr>
          <w:p w:rsidR="00227F76" w:rsidRDefault="00227F76">
            <w:pPr>
              <w:pStyle w:val="covertext"/>
            </w:pPr>
            <w:r>
              <w:t>Abstract</w:t>
            </w:r>
          </w:p>
        </w:tc>
        <w:tc>
          <w:tcPr>
            <w:tcW w:w="9018" w:type="dxa"/>
            <w:gridSpan w:val="2"/>
          </w:tcPr>
          <w:p w:rsidR="00227F76" w:rsidRDefault="004B2B6D">
            <w:pPr>
              <w:pStyle w:val="covertext"/>
            </w:pPr>
            <w:r>
              <w:t>Process for conducting officer elections in IEEE 802.21 WG</w:t>
            </w:r>
          </w:p>
        </w:tc>
      </w:tr>
      <w:tr w:rsidR="00227F76">
        <w:tblPrEx>
          <w:tblCellMar>
            <w:top w:w="0" w:type="dxa"/>
            <w:bottom w:w="0" w:type="dxa"/>
          </w:tblCellMar>
        </w:tblPrEx>
        <w:tc>
          <w:tcPr>
            <w:tcW w:w="1350" w:type="dxa"/>
          </w:tcPr>
          <w:p w:rsidR="00227F76" w:rsidRDefault="00227F76">
            <w:pPr>
              <w:pStyle w:val="covertext"/>
            </w:pPr>
            <w:r>
              <w:t>Purpose</w:t>
            </w:r>
          </w:p>
        </w:tc>
        <w:tc>
          <w:tcPr>
            <w:tcW w:w="9018" w:type="dxa"/>
            <w:gridSpan w:val="2"/>
          </w:tcPr>
          <w:p w:rsidR="00227F76" w:rsidRDefault="00227F76">
            <w:pPr>
              <w:pStyle w:val="covertext"/>
            </w:pPr>
            <w:r>
              <w:t>T</w:t>
            </w:r>
            <w:r w:rsidR="0001336A">
              <w:t>o Conduct the 802.21 WG Officer</w:t>
            </w:r>
            <w:r>
              <w:t xml:space="preserve"> Elections</w:t>
            </w:r>
          </w:p>
        </w:tc>
      </w:tr>
      <w:tr w:rsidR="003A4FD8">
        <w:tblPrEx>
          <w:tblCellMar>
            <w:top w:w="0" w:type="dxa"/>
            <w:bottom w:w="0" w:type="dxa"/>
          </w:tblCellMar>
        </w:tblPrEx>
        <w:trPr>
          <w:trHeight w:val="840"/>
        </w:trPr>
        <w:tc>
          <w:tcPr>
            <w:tcW w:w="1350" w:type="dxa"/>
          </w:tcPr>
          <w:p w:rsidR="003A4FD8" w:rsidRDefault="003A4FD8" w:rsidP="003A4FD8">
            <w:pPr>
              <w:pStyle w:val="covertext"/>
            </w:pPr>
            <w:r>
              <w:t>Notice</w:t>
            </w:r>
          </w:p>
        </w:tc>
        <w:tc>
          <w:tcPr>
            <w:tcW w:w="9018" w:type="dxa"/>
            <w:gridSpan w:val="2"/>
          </w:tcPr>
          <w:p w:rsidR="003A4FD8" w:rsidRDefault="003A4FD8" w:rsidP="003A4FD8">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4FD8">
        <w:tblPrEx>
          <w:tblCellMar>
            <w:top w:w="0" w:type="dxa"/>
            <w:bottom w:w="0" w:type="dxa"/>
          </w:tblCellMar>
        </w:tblPrEx>
        <w:trPr>
          <w:trHeight w:val="1439"/>
        </w:trPr>
        <w:tc>
          <w:tcPr>
            <w:tcW w:w="1350" w:type="dxa"/>
          </w:tcPr>
          <w:p w:rsidR="003A4FD8" w:rsidRDefault="003A4FD8" w:rsidP="003A4FD8">
            <w:pPr>
              <w:pStyle w:val="covertext"/>
            </w:pPr>
            <w:r>
              <w:t>Release</w:t>
            </w:r>
          </w:p>
        </w:tc>
        <w:tc>
          <w:tcPr>
            <w:tcW w:w="9018" w:type="dxa"/>
            <w:gridSpan w:val="2"/>
          </w:tcPr>
          <w:p w:rsidR="003A4FD8" w:rsidRDefault="003A4FD8" w:rsidP="003A4FD8">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3A4FD8">
        <w:tblPrEx>
          <w:tblCellMar>
            <w:top w:w="0" w:type="dxa"/>
            <w:bottom w:w="0" w:type="dxa"/>
          </w:tblCellMar>
        </w:tblPrEx>
        <w:tc>
          <w:tcPr>
            <w:tcW w:w="1350" w:type="dxa"/>
          </w:tcPr>
          <w:p w:rsidR="003A4FD8" w:rsidRDefault="003A4FD8" w:rsidP="003A4FD8">
            <w:pPr>
              <w:pStyle w:val="covertext"/>
            </w:pPr>
            <w:r>
              <w:t>Patent Policy</w:t>
            </w:r>
          </w:p>
        </w:tc>
        <w:tc>
          <w:tcPr>
            <w:tcW w:w="9018" w:type="dxa"/>
            <w:gridSpan w:val="2"/>
          </w:tcPr>
          <w:p w:rsidR="003A4FD8" w:rsidRDefault="003A4FD8" w:rsidP="003A4FD8">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0" w:history="1">
              <w:r>
                <w:rPr>
                  <w:rStyle w:val="Hyperlink"/>
                  <w:sz w:val="20"/>
                </w:rPr>
                <w:t>http://standards.ieee.org/board/pat/guide.html</w:t>
              </w:r>
            </w:hyperlink>
            <w:r>
              <w:rPr>
                <w:sz w:val="20"/>
              </w:rPr>
              <w:t>&gt;.</w:t>
            </w:r>
          </w:p>
        </w:tc>
      </w:tr>
    </w:tbl>
    <w:p w:rsidR="00227F76" w:rsidRDefault="00227F76">
      <w:pPr>
        <w:pStyle w:val="Body"/>
        <w:rPr>
          <w:rStyle w:val="FollowedHyperlink"/>
          <w:color w:val="auto"/>
        </w:rPr>
      </w:pPr>
    </w:p>
    <w:p w:rsidR="00227F76" w:rsidRDefault="00227F76">
      <w:pPr>
        <w:rPr>
          <w:b/>
          <w:bCs/>
          <w:color w:val="000000"/>
          <w:szCs w:val="12"/>
        </w:rPr>
      </w:pPr>
    </w:p>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 w:rsidR="00227F76" w:rsidRDefault="00227F76">
      <w:pPr>
        <w:pStyle w:val="BodyText2"/>
        <w:rPr>
          <w:b/>
          <w:bCs/>
        </w:rPr>
      </w:pPr>
      <w:r>
        <w:rPr>
          <w:b/>
          <w:bCs/>
        </w:rPr>
        <w:lastRenderedPageBreak/>
        <w:t>This</w:t>
      </w:r>
      <w:r w:rsidR="00D86D9A">
        <w:rPr>
          <w:b/>
          <w:bCs/>
        </w:rPr>
        <w:t xml:space="preserve"> document details the procedure</w:t>
      </w:r>
      <w:r>
        <w:rPr>
          <w:b/>
          <w:bCs/>
        </w:rPr>
        <w:t xml:space="preserve"> for the election of the IEEE 802.21 Working Group </w:t>
      </w:r>
      <w:r w:rsidR="006A0D9E">
        <w:rPr>
          <w:b/>
          <w:bCs/>
        </w:rPr>
        <w:t>Officers (Chair and Vice-Chair)</w:t>
      </w:r>
    </w:p>
    <w:p w:rsidR="006A0D9E" w:rsidRDefault="006A0D9E">
      <w:pPr>
        <w:pStyle w:val="BodyText2"/>
        <w:rPr>
          <w:b/>
          <w:bCs/>
        </w:rPr>
      </w:pPr>
    </w:p>
    <w:p w:rsidR="006A0D9E" w:rsidRDefault="006A0D9E">
      <w:pPr>
        <w:pStyle w:val="BodyText2"/>
        <w:rPr>
          <w:b/>
          <w:bCs/>
        </w:rPr>
      </w:pPr>
    </w:p>
    <w:p w:rsidR="00227F76" w:rsidRDefault="00227F76">
      <w:pPr>
        <w:pStyle w:val="BodyText2"/>
      </w:pPr>
    </w:p>
    <w:p w:rsidR="00227F76" w:rsidRDefault="00D86D9A" w:rsidP="006A0D9E">
      <w:pPr>
        <w:numPr>
          <w:ilvl w:val="0"/>
          <w:numId w:val="2"/>
        </w:numPr>
        <w:autoSpaceDE w:val="0"/>
        <w:autoSpaceDN w:val="0"/>
        <w:adjustRightInd w:val="0"/>
        <w:rPr>
          <w:rFonts w:ascii="Times-Roman" w:hAnsi="Times-Roman"/>
        </w:rPr>
      </w:pPr>
      <w:r>
        <w:rPr>
          <w:rFonts w:ascii="Times-Roman" w:hAnsi="Times-Roman"/>
        </w:rPr>
        <w:t>The procedure</w:t>
      </w:r>
      <w:r w:rsidR="00227F76">
        <w:rPr>
          <w:rFonts w:ascii="Times-Roman" w:hAnsi="Times-Roman"/>
        </w:rPr>
        <w:t xml:space="preserve"> regarding </w:t>
      </w:r>
      <w:r>
        <w:rPr>
          <w:rFonts w:ascii="Times-Roman" w:hAnsi="Times-Roman"/>
        </w:rPr>
        <w:t xml:space="preserve">election of </w:t>
      </w:r>
      <w:r w:rsidR="00227F76">
        <w:rPr>
          <w:rFonts w:ascii="Times-Roman" w:hAnsi="Times-Roman"/>
        </w:rPr>
        <w:t xml:space="preserve">Working Group Officers shall be in accordance with all relevant clauses of the </w:t>
      </w:r>
      <w:r>
        <w:rPr>
          <w:rFonts w:ascii="Times-Roman" w:hAnsi="Times-Roman"/>
        </w:rPr>
        <w:t xml:space="preserve">IEEE </w:t>
      </w:r>
      <w:r w:rsidR="00227F76">
        <w:rPr>
          <w:rFonts w:ascii="Times-Roman" w:hAnsi="Times-Roman"/>
        </w:rPr>
        <w:t>802 LMSC rules</w:t>
      </w:r>
      <w:r w:rsidR="006A0D9E">
        <w:rPr>
          <w:rFonts w:ascii="Times-Roman" w:hAnsi="Times-Roman"/>
        </w:rPr>
        <w:t xml:space="preserve"> (including IEEE 802 P&amp;P and the IEEE 802 Operations Manual).</w:t>
      </w:r>
    </w:p>
    <w:p w:rsidR="00227F76" w:rsidRDefault="00227F76">
      <w:pPr>
        <w:numPr>
          <w:ilvl w:val="0"/>
          <w:numId w:val="2"/>
        </w:numPr>
        <w:autoSpaceDE w:val="0"/>
        <w:autoSpaceDN w:val="0"/>
        <w:adjustRightInd w:val="0"/>
        <w:rPr>
          <w:rFonts w:ascii="Times-Roman" w:hAnsi="Times-Roman"/>
        </w:rPr>
      </w:pPr>
      <w:r>
        <w:rPr>
          <w:rFonts w:ascii="Times-Roman" w:hAnsi="Times-Roman"/>
        </w:rPr>
        <w:t>Any individual who will be a Member of the 802.21 Working Group at the time of the election shall be eligible for candidacy and election.</w:t>
      </w:r>
    </w:p>
    <w:p w:rsidR="00227F76" w:rsidRDefault="00227F76" w:rsidP="006A0D9E">
      <w:pPr>
        <w:numPr>
          <w:ilvl w:val="0"/>
          <w:numId w:val="2"/>
        </w:numPr>
        <w:autoSpaceDE w:val="0"/>
        <w:autoSpaceDN w:val="0"/>
        <w:adjustRightInd w:val="0"/>
        <w:rPr>
          <w:rFonts w:ascii="Times-Roman" w:hAnsi="Times-Roman"/>
        </w:rPr>
      </w:pPr>
      <w:r>
        <w:rPr>
          <w:rFonts w:ascii="Times-Roman" w:hAnsi="Times-Roman"/>
        </w:rPr>
        <w:t xml:space="preserve">Working Group elections shall take place in </w:t>
      </w:r>
      <w:r w:rsidR="006A0D9E">
        <w:rPr>
          <w:rFonts w:ascii="Times-Roman" w:hAnsi="Times-Roman"/>
        </w:rPr>
        <w:t>the first plenary session</w:t>
      </w:r>
      <w:r>
        <w:rPr>
          <w:rFonts w:ascii="Times-Roman" w:hAnsi="Times-Roman"/>
        </w:rPr>
        <w:t xml:space="preserve"> of each even-numbered year, in accordance with LMSC rules.</w:t>
      </w:r>
    </w:p>
    <w:p w:rsidR="00227F76" w:rsidRDefault="00227F76" w:rsidP="00D86D9A">
      <w:pPr>
        <w:numPr>
          <w:ilvl w:val="0"/>
          <w:numId w:val="2"/>
        </w:numPr>
        <w:autoSpaceDE w:val="0"/>
        <w:autoSpaceDN w:val="0"/>
        <w:adjustRightInd w:val="0"/>
        <w:rPr>
          <w:rFonts w:ascii="Times-Roman" w:hAnsi="Times-Roman"/>
        </w:rPr>
      </w:pPr>
      <w:r>
        <w:rPr>
          <w:rFonts w:ascii="Times-Roman" w:hAnsi="Times-Roman"/>
        </w:rPr>
        <w:t>Sometimes, such as in the case of unexpired vacancies, special elections may be required. These shall be scheduled for an 802.21 LMSC Plenary Session. The special election shall be announced to the Working Group as soon as possible after the need to hold one is identified.</w:t>
      </w:r>
    </w:p>
    <w:p w:rsidR="00227F76" w:rsidRDefault="00227F76">
      <w:pPr>
        <w:numPr>
          <w:ilvl w:val="0"/>
          <w:numId w:val="2"/>
        </w:numPr>
        <w:autoSpaceDE w:val="0"/>
        <w:autoSpaceDN w:val="0"/>
        <w:adjustRightInd w:val="0"/>
        <w:rPr>
          <w:rFonts w:ascii="Times-Roman" w:hAnsi="Times-Roman"/>
        </w:rPr>
      </w:pPr>
      <w:r>
        <w:rPr>
          <w:rFonts w:ascii="Times-Roman" w:hAnsi="Times-Roman"/>
        </w:rPr>
        <w:t>Candidates are encouraged to declare their candidacy, in a Working Group meeting or via the Working Group email reflector, as soon as possible before the election. The names of those eligible who declare their candidacy at least eight days before the scheduled election shall be included on the paper ballot.</w:t>
      </w:r>
    </w:p>
    <w:p w:rsidR="00227F76" w:rsidRDefault="00227F76">
      <w:pPr>
        <w:numPr>
          <w:ilvl w:val="0"/>
          <w:numId w:val="2"/>
        </w:numPr>
        <w:autoSpaceDE w:val="0"/>
        <w:autoSpaceDN w:val="0"/>
        <w:adjustRightInd w:val="0"/>
        <w:rPr>
          <w:rFonts w:ascii="Times-Roman" w:hAnsi="Times-Roman"/>
        </w:rPr>
      </w:pPr>
      <w:r>
        <w:rPr>
          <w:rFonts w:ascii="Times-Roman" w:hAnsi="Times-Roman"/>
        </w:rPr>
        <w:t>The election shall be held at the Working Group Opening Plenary meeting.</w:t>
      </w:r>
    </w:p>
    <w:p w:rsidR="00227F76" w:rsidRDefault="00227F76">
      <w:pPr>
        <w:numPr>
          <w:ilvl w:val="0"/>
          <w:numId w:val="2"/>
        </w:numPr>
        <w:autoSpaceDE w:val="0"/>
        <w:autoSpaceDN w:val="0"/>
        <w:adjustRightInd w:val="0"/>
        <w:rPr>
          <w:rFonts w:ascii="Times-Roman" w:hAnsi="Times-Roman"/>
        </w:rPr>
      </w:pPr>
      <w:r>
        <w:rPr>
          <w:rFonts w:ascii="Times-Roman" w:hAnsi="Times-Roman"/>
        </w:rPr>
        <w:t>Paper ballots shall be distributed. These shall indicate the declared candidates for Chair and Vice Chair, with room for write-in candidates.</w:t>
      </w:r>
    </w:p>
    <w:p w:rsidR="00227F76" w:rsidRDefault="00227F76">
      <w:pPr>
        <w:numPr>
          <w:ilvl w:val="0"/>
          <w:numId w:val="2"/>
        </w:numPr>
        <w:autoSpaceDE w:val="0"/>
        <w:autoSpaceDN w:val="0"/>
        <w:adjustRightInd w:val="0"/>
        <w:rPr>
          <w:rFonts w:ascii="Times-Roman" w:hAnsi="Times-Roman"/>
        </w:rPr>
      </w:pPr>
      <w:r>
        <w:rPr>
          <w:rFonts w:ascii="Times-Roman" w:hAnsi="Times-Roman"/>
        </w:rPr>
        <w:t>The Vice Chair, as Acting Chair, shall introduce the candidates for Chair and request additional nominations. The candidates shall each be given a short time (nominally, three minutes) for a statement, typically to (1) summarize their qualifications; (2) state their commitment to participate and accept duties and responsibilities; (3) state their vision for the Working Group.</w:t>
      </w:r>
    </w:p>
    <w:p w:rsidR="00227F76" w:rsidRDefault="00227F76">
      <w:pPr>
        <w:numPr>
          <w:ilvl w:val="0"/>
          <w:numId w:val="2"/>
        </w:numPr>
        <w:autoSpaceDE w:val="0"/>
        <w:autoSpaceDN w:val="0"/>
        <w:adjustRightInd w:val="0"/>
        <w:rPr>
          <w:rFonts w:ascii="Times-Roman" w:hAnsi="Times-Roman"/>
        </w:rPr>
      </w:pPr>
      <w:r>
        <w:rPr>
          <w:rFonts w:ascii="Times-Roman" w:hAnsi="Times-Roman"/>
        </w:rPr>
        <w:t>The candidates shall leave the room. The floor shall be opened for discussion (nominally for five minutes).</w:t>
      </w:r>
    </w:p>
    <w:p w:rsidR="00227F76" w:rsidRDefault="00227F76">
      <w:pPr>
        <w:autoSpaceDE w:val="0"/>
        <w:autoSpaceDN w:val="0"/>
        <w:adjustRightInd w:val="0"/>
        <w:rPr>
          <w:rFonts w:ascii="Times-Roman" w:hAnsi="Times-Roman"/>
        </w:rPr>
      </w:pPr>
    </w:p>
    <w:p w:rsidR="00227F76" w:rsidRDefault="00227F76">
      <w:pPr>
        <w:autoSpaceDE w:val="0"/>
        <w:autoSpaceDN w:val="0"/>
        <w:adjustRightInd w:val="0"/>
        <w:rPr>
          <w:rFonts w:ascii="Times-Roman" w:hAnsi="Times-Roman"/>
        </w:rPr>
      </w:pPr>
      <w:r>
        <w:rPr>
          <w:rFonts w:ascii="Times-Roman" w:hAnsi="Times-Roman"/>
        </w:rPr>
        <w:t xml:space="preserve">The Acting Chair should attempt to ensure an emphasis on positive, rather than negative, statements about candidates. However, a negative statement about the past performance of candidates in Working Group assignments is acceptable. </w:t>
      </w:r>
    </w:p>
    <w:p w:rsidR="00227F76" w:rsidRDefault="00227F76">
      <w:pPr>
        <w:autoSpaceDE w:val="0"/>
        <w:autoSpaceDN w:val="0"/>
        <w:adjustRightInd w:val="0"/>
        <w:rPr>
          <w:rFonts w:ascii="Times-Roman" w:hAnsi="Times-Roman"/>
        </w:rPr>
      </w:pPr>
    </w:p>
    <w:p w:rsidR="00227F76" w:rsidRDefault="00227F76">
      <w:pPr>
        <w:autoSpaceDE w:val="0"/>
        <w:autoSpaceDN w:val="0"/>
        <w:adjustRightInd w:val="0"/>
        <w:rPr>
          <w:rFonts w:ascii="Times-Roman" w:hAnsi="Times-Roman"/>
        </w:rPr>
      </w:pPr>
      <w:r>
        <w:rPr>
          <w:rFonts w:ascii="Times-Roman" w:hAnsi="Times-Roman"/>
        </w:rPr>
        <w:t xml:space="preserve">The Acting Chair should limit the duration of comments to allow broad participation. If only one candidate is nominated, the Vice Chair may choose to sharply limit the debate. Afterwards, the candidates shall be invited back into the room. </w:t>
      </w:r>
    </w:p>
    <w:p w:rsidR="00227F76" w:rsidRDefault="00227F76">
      <w:pPr>
        <w:autoSpaceDE w:val="0"/>
        <w:autoSpaceDN w:val="0"/>
        <w:adjustRightInd w:val="0"/>
        <w:rPr>
          <w:rFonts w:ascii="Times-Roman" w:hAnsi="Times-Roman"/>
        </w:rPr>
      </w:pPr>
    </w:p>
    <w:p w:rsidR="00227F76" w:rsidRDefault="00227F76" w:rsidP="00D86D9A">
      <w:pPr>
        <w:numPr>
          <w:ilvl w:val="0"/>
          <w:numId w:val="3"/>
        </w:numPr>
        <w:autoSpaceDE w:val="0"/>
        <w:autoSpaceDN w:val="0"/>
        <w:adjustRightInd w:val="0"/>
        <w:rPr>
          <w:rFonts w:ascii="Times-Roman" w:hAnsi="Times-Roman"/>
        </w:rPr>
      </w:pPr>
      <w:r>
        <w:rPr>
          <w:rFonts w:ascii="Times-Roman" w:hAnsi="Times-Roman"/>
        </w:rPr>
        <w:t xml:space="preserve">The </w:t>
      </w:r>
      <w:r w:rsidR="00D86D9A">
        <w:rPr>
          <w:rFonts w:ascii="Times-Roman" w:hAnsi="Times-Roman"/>
        </w:rPr>
        <w:t>process</w:t>
      </w:r>
      <w:r>
        <w:rPr>
          <w:rFonts w:ascii="Times-Roman" w:hAnsi="Times-Roman"/>
        </w:rPr>
        <w:t xml:space="preserve"> shall be repeated, with the Chair leading the process for the election of the Vice Chair.</w:t>
      </w:r>
    </w:p>
    <w:p w:rsidR="00227F76" w:rsidRDefault="00227F76" w:rsidP="006A0D9E">
      <w:pPr>
        <w:numPr>
          <w:ilvl w:val="0"/>
          <w:numId w:val="3"/>
        </w:numPr>
        <w:autoSpaceDE w:val="0"/>
        <w:autoSpaceDN w:val="0"/>
        <w:adjustRightInd w:val="0"/>
        <w:rPr>
          <w:rFonts w:ascii="Times-Roman" w:hAnsi="Times-Roman"/>
        </w:rPr>
      </w:pPr>
      <w:r>
        <w:rPr>
          <w:rFonts w:ascii="Times-Roman" w:hAnsi="Times-Roman"/>
        </w:rPr>
        <w:t>Afterwards, each Working Group Member may bring a completed, anonymous ballot to the Secretary, or a designated alternate</w:t>
      </w:r>
      <w:r w:rsidR="006A0D9E">
        <w:rPr>
          <w:rFonts w:ascii="Times-Roman" w:hAnsi="Times-Roman"/>
        </w:rPr>
        <w:t>.</w:t>
      </w:r>
      <w:r>
        <w:rPr>
          <w:rFonts w:ascii="Times-Roman" w:hAnsi="Times-Roman"/>
        </w:rPr>
        <w:t xml:space="preserve"> No proxy </w:t>
      </w:r>
      <w:r>
        <w:rPr>
          <w:rFonts w:ascii="Times-Roman" w:hAnsi="Times-Roman"/>
        </w:rPr>
        <w:lastRenderedPageBreak/>
        <w:t>voting is permitted. This process shall take place in plain sight of the assembly.</w:t>
      </w:r>
    </w:p>
    <w:p w:rsidR="00227F76" w:rsidRDefault="00227F76">
      <w:pPr>
        <w:numPr>
          <w:ilvl w:val="0"/>
          <w:numId w:val="3"/>
        </w:numPr>
        <w:autoSpaceDE w:val="0"/>
        <w:autoSpaceDN w:val="0"/>
        <w:adjustRightInd w:val="0"/>
        <w:rPr>
          <w:rFonts w:ascii="Times-Roman" w:hAnsi="Times-Roman"/>
        </w:rPr>
      </w:pPr>
      <w:r>
        <w:rPr>
          <w:rFonts w:ascii="Times-Roman" w:hAnsi="Times-Roman"/>
        </w:rPr>
        <w:t>The Chair, Vice Chair, and Secretary, or as many of these as are present, shall immediately count the ballots, in plain sight of the assembly (or, if a recess is called, in the presence of any Members who wish to observe). The full numerical results shall be announced and included in the minutes.</w:t>
      </w:r>
    </w:p>
    <w:p w:rsidR="00227F76" w:rsidRDefault="00227F76" w:rsidP="00D86D9A">
      <w:pPr>
        <w:numPr>
          <w:ilvl w:val="0"/>
          <w:numId w:val="3"/>
        </w:numPr>
        <w:autoSpaceDE w:val="0"/>
        <w:autoSpaceDN w:val="0"/>
        <w:adjustRightInd w:val="0"/>
        <w:rPr>
          <w:rFonts w:ascii="Times-Roman" w:hAnsi="Times-Roman"/>
        </w:rPr>
      </w:pPr>
      <w:r>
        <w:rPr>
          <w:rFonts w:ascii="Times-Roman" w:hAnsi="Times-Roman"/>
        </w:rPr>
        <w:t>In order to be elected, a candidate must receive a majority (</w:t>
      </w:r>
      <w:r w:rsidR="00D86D9A">
        <w:rPr>
          <w:rFonts w:ascii="Times-Roman" w:hAnsi="Times-Roman"/>
        </w:rPr>
        <w:t>&gt;</w:t>
      </w:r>
      <w:r>
        <w:rPr>
          <w:rFonts w:ascii="Times-Roman" w:hAnsi="Times-Roman"/>
        </w:rPr>
        <w:t xml:space="preserve"> 50%) of the votes cast in the election for the respective position.</w:t>
      </w:r>
    </w:p>
    <w:p w:rsidR="00227F76" w:rsidRDefault="00227F76">
      <w:pPr>
        <w:numPr>
          <w:ilvl w:val="0"/>
          <w:numId w:val="3"/>
        </w:numPr>
        <w:autoSpaceDE w:val="0"/>
        <w:autoSpaceDN w:val="0"/>
        <w:adjustRightInd w:val="0"/>
        <w:rPr>
          <w:rFonts w:ascii="Times-Roman" w:hAnsi="Times-Roman"/>
        </w:rPr>
      </w:pPr>
      <w:r>
        <w:rPr>
          <w:rFonts w:ascii="Times-Roman" w:hAnsi="Times-Roman"/>
        </w:rPr>
        <w:t>Should no candidate receive a majority in either election, a runoff election shall be held at the Working Group Closing Plenary meeting. The process shall be similar to the initial election, except that:</w:t>
      </w:r>
    </w:p>
    <w:p w:rsidR="00227F76" w:rsidRDefault="00227F76">
      <w:pPr>
        <w:autoSpaceDE w:val="0"/>
        <w:autoSpaceDN w:val="0"/>
        <w:adjustRightInd w:val="0"/>
        <w:ind w:left="360"/>
        <w:rPr>
          <w:rFonts w:ascii="Times-Roman" w:hAnsi="Times-Roman"/>
        </w:rPr>
      </w:pPr>
    </w:p>
    <w:p w:rsidR="00227F76" w:rsidRDefault="00227F76">
      <w:pPr>
        <w:numPr>
          <w:ilvl w:val="0"/>
          <w:numId w:val="1"/>
        </w:numPr>
        <w:autoSpaceDE w:val="0"/>
        <w:autoSpaceDN w:val="0"/>
        <w:adjustRightInd w:val="0"/>
        <w:rPr>
          <w:rFonts w:ascii="Times-Roman" w:hAnsi="Times-Roman"/>
        </w:rPr>
      </w:pPr>
      <w:r>
        <w:rPr>
          <w:rFonts w:ascii="Times-Roman" w:hAnsi="Times-Roman"/>
        </w:rPr>
        <w:t>Write-in candidates and new nominations shall not be permitted.</w:t>
      </w:r>
    </w:p>
    <w:p w:rsidR="00227F76" w:rsidRDefault="00227F76">
      <w:pPr>
        <w:numPr>
          <w:ilvl w:val="0"/>
          <w:numId w:val="1"/>
        </w:numPr>
        <w:autoSpaceDE w:val="0"/>
        <w:autoSpaceDN w:val="0"/>
        <w:adjustRightInd w:val="0"/>
        <w:rPr>
          <w:rFonts w:ascii="Times-Roman" w:hAnsi="Times-Roman"/>
        </w:rPr>
      </w:pPr>
      <w:r>
        <w:rPr>
          <w:rFonts w:ascii="Times-Roman" w:hAnsi="Times-Roman"/>
        </w:rPr>
        <w:t>In the runoff election, the nominated candidate having received the fewest votes in the previous election round shall not be an eligible candidate (in case a tie prevents this possibility, all the nominated candidates shall remain eligible).</w:t>
      </w:r>
    </w:p>
    <w:p w:rsidR="00227F76" w:rsidRDefault="00227F76">
      <w:pPr>
        <w:numPr>
          <w:ilvl w:val="0"/>
          <w:numId w:val="1"/>
        </w:numPr>
        <w:autoSpaceDE w:val="0"/>
        <w:autoSpaceDN w:val="0"/>
        <w:adjustRightInd w:val="0"/>
        <w:rPr>
          <w:rFonts w:ascii="Times-Roman" w:hAnsi="Times-Roman"/>
        </w:rPr>
      </w:pPr>
      <w:r>
        <w:rPr>
          <w:rFonts w:ascii="Times-Roman" w:hAnsi="Times-Roman"/>
        </w:rPr>
        <w:t>Each Working Group Member present shall be entitled to receive a paper ballot for each election round.</w:t>
      </w:r>
    </w:p>
    <w:p w:rsidR="00227F76" w:rsidRDefault="00227F76">
      <w:pPr>
        <w:numPr>
          <w:ilvl w:val="0"/>
          <w:numId w:val="1"/>
        </w:numPr>
        <w:autoSpaceDE w:val="0"/>
        <w:autoSpaceDN w:val="0"/>
        <w:adjustRightInd w:val="0"/>
        <w:rPr>
          <w:rFonts w:ascii="Times-Roman" w:hAnsi="Times-Roman"/>
        </w:rPr>
      </w:pPr>
      <w:r>
        <w:rPr>
          <w:rFonts w:ascii="Times-Roman" w:hAnsi="Times-Roman"/>
        </w:rPr>
        <w:t>Ballots shall be counted immediately. If the process is inconclusive, additional runoffs shall be held to narrow the list of candidates.</w:t>
      </w:r>
    </w:p>
    <w:p w:rsidR="00227F76" w:rsidRDefault="00227F76" w:rsidP="00D86D9A">
      <w:pPr>
        <w:numPr>
          <w:ilvl w:val="0"/>
          <w:numId w:val="5"/>
        </w:numPr>
        <w:autoSpaceDE w:val="0"/>
        <w:autoSpaceDN w:val="0"/>
        <w:adjustRightInd w:val="0"/>
        <w:rPr>
          <w:rFonts w:ascii="Times-Roman" w:hAnsi="Times-Roman"/>
        </w:rPr>
      </w:pPr>
      <w:r>
        <w:rPr>
          <w:rFonts w:ascii="Times-Roman" w:hAnsi="Times-Roman"/>
        </w:rPr>
        <w:t>If the runoff process proves inconclusive, the Chair has the discretion to re-open the election to the candidacy to all Working Group members. Should the runoff process not lead to the election of a Vice Chair, the election may be deferred to the next Working Group session, at the Chair’s discretion.</w:t>
      </w:r>
    </w:p>
    <w:p w:rsidR="006A0D9E" w:rsidRDefault="006A0D9E" w:rsidP="006A0D9E">
      <w:pPr>
        <w:autoSpaceDE w:val="0"/>
        <w:autoSpaceDN w:val="0"/>
        <w:adjustRightInd w:val="0"/>
        <w:ind w:left="720"/>
        <w:rPr>
          <w:rFonts w:ascii="Times-Roman" w:hAnsi="Times-Roman"/>
        </w:rPr>
      </w:pPr>
    </w:p>
    <w:p w:rsidR="006A0D9E" w:rsidRDefault="006A0D9E" w:rsidP="006A0D9E">
      <w:pPr>
        <w:autoSpaceDE w:val="0"/>
        <w:autoSpaceDN w:val="0"/>
        <w:adjustRightInd w:val="0"/>
        <w:ind w:left="720"/>
        <w:rPr>
          <w:rFonts w:ascii="Times-Roman" w:hAnsi="Times-Roman"/>
        </w:rPr>
      </w:pPr>
    </w:p>
    <w:p w:rsidR="006A0D9E" w:rsidRDefault="006A0D9E" w:rsidP="006A0D9E">
      <w:pPr>
        <w:autoSpaceDE w:val="0"/>
        <w:autoSpaceDN w:val="0"/>
        <w:adjustRightInd w:val="0"/>
        <w:ind w:left="288"/>
        <w:rPr>
          <w:rFonts w:ascii="Times-Roman" w:hAnsi="Times-Roman"/>
        </w:rPr>
      </w:pPr>
      <w:r>
        <w:rPr>
          <w:rFonts w:ascii="Times-Roman" w:hAnsi="Times-Roman"/>
        </w:rPr>
        <w:t>At the next available meeting opportunity, the WG Chair shall bring a motion before the LMSC Sponsor Executive Committee requesting confirmation, in accordance with the LMSC rules, of the elections.</w:t>
      </w:r>
    </w:p>
    <w:p w:rsidR="00D86D9A" w:rsidRDefault="00D86D9A" w:rsidP="00D86D9A">
      <w:pPr>
        <w:autoSpaceDE w:val="0"/>
        <w:autoSpaceDN w:val="0"/>
        <w:adjustRightInd w:val="0"/>
        <w:ind w:left="720"/>
        <w:rPr>
          <w:rFonts w:ascii="Times-Roman" w:hAnsi="Times-Roman"/>
        </w:rPr>
      </w:pPr>
    </w:p>
    <w:sectPr w:rsidR="00D86D9A">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C52" w:rsidRDefault="00730C52">
      <w:r>
        <w:separator/>
      </w:r>
    </w:p>
  </w:endnote>
  <w:endnote w:type="continuationSeparator" w:id="0">
    <w:p w:rsidR="00730C52" w:rsidRDefault="00730C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76" w:rsidRDefault="00227F76">
    <w:pPr>
      <w:pStyle w:val="Footer"/>
      <w:jc w:val="center"/>
    </w:pPr>
    <w:r>
      <w:rPr>
        <w:rStyle w:val="PageNumber"/>
      </w:rPr>
      <w:fldChar w:fldCharType="begin"/>
    </w:r>
    <w:r>
      <w:rPr>
        <w:rStyle w:val="PageNumber"/>
      </w:rPr>
      <w:instrText xml:space="preserve"> PAGE </w:instrText>
    </w:r>
    <w:r>
      <w:rPr>
        <w:rStyle w:val="PageNumber"/>
      </w:rPr>
      <w:fldChar w:fldCharType="separate"/>
    </w:r>
    <w:r w:rsidR="003A5ED2">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C52" w:rsidRDefault="00730C52">
      <w:r>
        <w:separator/>
      </w:r>
    </w:p>
  </w:footnote>
  <w:footnote w:type="continuationSeparator" w:id="0">
    <w:p w:rsidR="00730C52" w:rsidRDefault="00730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76" w:rsidRDefault="006A0D9E" w:rsidP="006A0D9E">
    <w:pPr>
      <w:pStyle w:val="Header"/>
      <w:tabs>
        <w:tab w:val="clear" w:pos="4320"/>
      </w:tabs>
      <w:rPr>
        <w:b/>
        <w:bCs/>
      </w:rPr>
    </w:pPr>
    <w:r>
      <w:rPr>
        <w:b/>
        <w:bCs/>
      </w:rPr>
      <w:t>Febru</w:t>
    </w:r>
    <w:r w:rsidR="0001336A">
      <w:rPr>
        <w:b/>
        <w:bCs/>
      </w:rPr>
      <w:t>ary 20</w:t>
    </w:r>
    <w:r w:rsidR="00386892">
      <w:rPr>
        <w:b/>
        <w:bCs/>
      </w:rPr>
      <w:t>12</w:t>
    </w:r>
    <w:r w:rsidR="0001336A">
      <w:rPr>
        <w:b/>
        <w:bCs/>
      </w:rPr>
      <w:tab/>
      <w:t>21-</w:t>
    </w:r>
    <w:r w:rsidR="00386892">
      <w:rPr>
        <w:b/>
        <w:bCs/>
      </w:rPr>
      <w:t>12</w:t>
    </w:r>
    <w:r w:rsidR="0001336A">
      <w:rPr>
        <w:b/>
        <w:bCs/>
      </w:rPr>
      <w:t>-00</w:t>
    </w:r>
    <w:r w:rsidR="003A5ED2">
      <w:rPr>
        <w:b/>
        <w:bCs/>
      </w:rPr>
      <w:t>18</w:t>
    </w:r>
    <w:r w:rsidR="00227F76">
      <w:rPr>
        <w:b/>
        <w:bCs/>
      </w:rPr>
      <w:t>-00-0000-Election_Process.doc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848"/>
    <w:multiLevelType w:val="hybridMultilevel"/>
    <w:tmpl w:val="280CBBB6"/>
    <w:lvl w:ilvl="0" w:tplc="F2A2DE7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FA260E9"/>
    <w:multiLevelType w:val="hybridMultilevel"/>
    <w:tmpl w:val="280CBB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2BF2D5A"/>
    <w:multiLevelType w:val="hybridMultilevel"/>
    <w:tmpl w:val="0EE85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734163"/>
    <w:multiLevelType w:val="hybridMultilevel"/>
    <w:tmpl w:val="70B8B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3C0E44"/>
    <w:multiLevelType w:val="hybridMultilevel"/>
    <w:tmpl w:val="280CBBB6"/>
    <w:lvl w:ilvl="0" w:tplc="C764BC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6D9A"/>
    <w:rsid w:val="0001336A"/>
    <w:rsid w:val="00227F76"/>
    <w:rsid w:val="00386892"/>
    <w:rsid w:val="003A4FD8"/>
    <w:rsid w:val="003A5ED2"/>
    <w:rsid w:val="004B2B6D"/>
    <w:rsid w:val="006A0D9E"/>
    <w:rsid w:val="00730C52"/>
    <w:rsid w:val="00A74FBC"/>
    <w:rsid w:val="00D86D9A"/>
    <w:rsid w:val="00F64BAF"/>
    <w:rsid w:val="00F82A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3366FF"/>
      <w:u w:val="single"/>
    </w:rPr>
  </w:style>
  <w:style w:type="character" w:styleId="FollowedHyperlink">
    <w:name w:val="FollowedHyperlink"/>
    <w:rPr>
      <w:color w:val="0000FF"/>
    </w:rPr>
  </w:style>
  <w:style w:type="paragraph" w:customStyle="1" w:styleId="Body">
    <w:name w:val="Body"/>
    <w:basedOn w:val="Normal"/>
    <w:pPr>
      <w:spacing w:after="120"/>
      <w:jc w:val="both"/>
    </w:pPr>
    <w:rPr>
      <w:rFonts w:ascii="Times" w:hAnsi="Times"/>
      <w:kern w:val="28"/>
      <w:lang w:bidi="he-IL"/>
    </w:rPr>
  </w:style>
  <w:style w:type="paragraph" w:customStyle="1" w:styleId="covertext">
    <w:name w:val="cover text"/>
    <w:basedOn w:val="Normal"/>
    <w:pPr>
      <w:spacing w:before="120" w:after="120"/>
    </w:pPr>
    <w:rPr>
      <w:rFonts w:ascii="Times" w:hAnsi="Times"/>
      <w:lang w:bidi="he-IL"/>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autoSpaceDE w:val="0"/>
      <w:autoSpaceDN w:val="0"/>
      <w:adjustRightInd w:val="0"/>
      <w:jc w:val="center"/>
    </w:pPr>
    <w:rPr>
      <w:rFonts w:ascii="Times-Roman" w:hAnsi="Times-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guide.html" TargetMode="External"/><Relationship Id="rId4" Type="http://schemas.openxmlformats.org/officeDocument/2006/relationships/webSettings" Target="webSettings.xml"/><Relationship Id="rId9" Type="http://schemas.openxmlformats.org/officeDocument/2006/relationships/hyperlink" Target="http://standards.ieee.org/guides/opman/sect6.html#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931</Words>
  <Characters>5247</Characters>
  <Application>Microsoft Office Word</Application>
  <DocSecurity>0</DocSecurity>
  <Lines>109</Lines>
  <Paragraphs>52</Paragraphs>
  <ScaleCrop>false</ScaleCrop>
  <HeadingPairs>
    <vt:vector size="2" baseType="variant">
      <vt:variant>
        <vt:lpstr>Title</vt:lpstr>
      </vt:variant>
      <vt:variant>
        <vt:i4>1</vt:i4>
      </vt:variant>
    </vt:vector>
  </HeadingPairs>
  <TitlesOfParts>
    <vt:vector size="1" baseType="lpstr">
      <vt:lpstr>IEEE 802.21 Election Process</vt:lpstr>
    </vt:vector>
  </TitlesOfParts>
  <Company>IEEE 802.21 WG</Company>
  <LinksUpToDate>false</LinksUpToDate>
  <CharactersWithSpaces>6126</CharactersWithSpaces>
  <SharedDoc>false</SharedDoc>
  <HLinks>
    <vt:vector size="24" baseType="variant">
      <vt:variant>
        <vt:i4>7864381</vt:i4>
      </vt:variant>
      <vt:variant>
        <vt:i4>9</vt:i4>
      </vt:variant>
      <vt:variant>
        <vt:i4>0</vt:i4>
      </vt:variant>
      <vt:variant>
        <vt:i4>5</vt:i4>
      </vt:variant>
      <vt:variant>
        <vt:lpwstr>http://standards.ieee.org/board/pat/guide.html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Election Process</dc:title>
  <dc:subject/>
  <dc:creator>Subir Das</dc:creator>
  <cp:keywords/>
  <dc:description/>
  <cp:lastModifiedBy>Subir Das</cp:lastModifiedBy>
  <cp:revision>2</cp:revision>
  <dcterms:created xsi:type="dcterms:W3CDTF">2012-02-07T16:03:00Z</dcterms:created>
  <dcterms:modified xsi:type="dcterms:W3CDTF">2012-02-07T16:03:00Z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