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br w:type="page"/>
              <w:t>Project</w:t>
            </w:r>
          </w:p>
        </w:tc>
        <w:tc>
          <w:tcPr>
            <w:tcW w:w="9018" w:type="dxa"/>
            <w:tcBorders>
              <w:top w:val="single" w:sz="4" w:space="0" w:color="000000"/>
              <w:bottom w:val="single" w:sz="4" w:space="0" w:color="000000"/>
            </w:tcBorders>
          </w:tcPr>
          <w:p w:rsidR="00C567A4" w:rsidRDefault="00C567A4" w:rsidP="00E505EA">
            <w:pPr>
              <w:pStyle w:val="covertext"/>
              <w:snapToGrid w:val="0"/>
              <w:rPr>
                <w:b/>
                <w:lang w:val="it-IT"/>
              </w:rPr>
            </w:pPr>
            <w:r>
              <w:rPr>
                <w:b/>
                <w:lang w:val="it-IT"/>
              </w:rPr>
              <w:t xml:space="preserve">IEEE 802.21a </w:t>
            </w:r>
          </w:p>
          <w:p w:rsidR="00C567A4" w:rsidRDefault="00C567A4" w:rsidP="00E505EA">
            <w:pPr>
              <w:pStyle w:val="covertex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Title</w:t>
            </w:r>
          </w:p>
        </w:tc>
        <w:tc>
          <w:tcPr>
            <w:tcW w:w="9018" w:type="dxa"/>
            <w:tcBorders>
              <w:top w:val="single" w:sz="4" w:space="0" w:color="000000"/>
              <w:bottom w:val="single" w:sz="4" w:space="0" w:color="000000"/>
            </w:tcBorders>
          </w:tcPr>
          <w:p w:rsidR="00C567A4" w:rsidRDefault="00A357F9" w:rsidP="005A0275">
            <w:pPr>
              <w:pStyle w:val="covertext"/>
              <w:snapToGrid w:val="0"/>
              <w:rPr>
                <w:b/>
              </w:rPr>
            </w:pPr>
            <w:r>
              <w:rPr>
                <w:b/>
              </w:rPr>
              <w:t xml:space="preserve">ERP </w:t>
            </w:r>
            <w:r w:rsidR="00293372">
              <w:rPr>
                <w:b/>
              </w:rPr>
              <w:t>support</w:t>
            </w: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DCN</w:t>
            </w:r>
          </w:p>
        </w:tc>
        <w:tc>
          <w:tcPr>
            <w:tcW w:w="9018" w:type="dxa"/>
            <w:tcBorders>
              <w:top w:val="single" w:sz="4" w:space="0" w:color="000000"/>
              <w:bottom w:val="single" w:sz="4" w:space="0" w:color="000000"/>
            </w:tcBorders>
          </w:tcPr>
          <w:p w:rsidR="00C567A4" w:rsidRPr="00822D94" w:rsidRDefault="00183627" w:rsidP="00E505EA">
            <w:pPr>
              <w:pStyle w:val="covertext"/>
              <w:snapToGrid w:val="0"/>
            </w:pPr>
            <w:r>
              <w:rPr>
                <w:rStyle w:val="apple-style-span"/>
                <w:rFonts w:ascii="Verdana" w:hAnsi="Verdana"/>
                <w:b/>
                <w:bCs/>
                <w:color w:val="000000"/>
                <w:sz w:val="20"/>
                <w:szCs w:val="20"/>
                <w:shd w:val="clear" w:color="auto" w:fill="FFFFFF"/>
              </w:rPr>
              <w:t>21-11-0165-00-0sec</w:t>
            </w: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Body"/>
              <w:snapToGrid w:val="0"/>
            </w:pPr>
            <w:r>
              <w:t>Date Submitted</w:t>
            </w:r>
          </w:p>
        </w:tc>
        <w:tc>
          <w:tcPr>
            <w:tcW w:w="9018" w:type="dxa"/>
            <w:tcBorders>
              <w:top w:val="single" w:sz="4" w:space="0" w:color="000000"/>
              <w:bottom w:val="single" w:sz="4" w:space="0" w:color="000000"/>
            </w:tcBorders>
          </w:tcPr>
          <w:p w:rsidR="00C567A4" w:rsidRDefault="00183627" w:rsidP="00E505EA">
            <w:pPr>
              <w:pStyle w:val="covertext"/>
              <w:snapToGrid w:val="0"/>
              <w:rPr>
                <w:b/>
              </w:rPr>
            </w:pPr>
            <w:r>
              <w:rPr>
                <w:b/>
              </w:rPr>
              <w:t>September 28, 2011</w:t>
            </w: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Source(s)</w:t>
            </w:r>
          </w:p>
        </w:tc>
        <w:tc>
          <w:tcPr>
            <w:tcW w:w="9018" w:type="dxa"/>
            <w:tcBorders>
              <w:top w:val="single" w:sz="4" w:space="0" w:color="000000"/>
              <w:bottom w:val="single" w:sz="4" w:space="0" w:color="000000"/>
            </w:tcBorders>
          </w:tcPr>
          <w:p w:rsidR="00C567A4" w:rsidRDefault="00C567A4" w:rsidP="00E505EA">
            <w:pPr>
              <w:pStyle w:val="covertext"/>
              <w:snapToGrid w:val="0"/>
              <w:rPr>
                <w:lang w:val="de-DE"/>
              </w:rPr>
            </w:pPr>
            <w:r>
              <w:rPr>
                <w:lang w:val="de-DE"/>
              </w:rPr>
              <w:t>Fernando Bernal-Hidalgo (University of Murcia), Rafael Marin-Lopez (University of Murcia)</w:t>
            </w:r>
          </w:p>
        </w:tc>
      </w:tr>
      <w:tr w:rsidR="00C567A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Re:</w:t>
            </w:r>
          </w:p>
        </w:tc>
        <w:tc>
          <w:tcPr>
            <w:tcW w:w="9018" w:type="dxa"/>
            <w:tcBorders>
              <w:top w:val="single" w:sz="4" w:space="0" w:color="000000"/>
              <w:bottom w:val="single" w:sz="4" w:space="0" w:color="000000"/>
            </w:tcBorders>
          </w:tcPr>
          <w:p w:rsidR="00C567A4" w:rsidRDefault="00C567A4" w:rsidP="00E505EA">
            <w:pPr>
              <w:pStyle w:val="covertext"/>
              <w:snapToGrid w:val="0"/>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Abstract</w:t>
            </w:r>
          </w:p>
        </w:tc>
        <w:tc>
          <w:tcPr>
            <w:tcW w:w="9018" w:type="dxa"/>
            <w:tcBorders>
              <w:top w:val="single" w:sz="4" w:space="0" w:color="000000"/>
              <w:bottom w:val="single" w:sz="4" w:space="0" w:color="000000"/>
            </w:tcBorders>
          </w:tcPr>
          <w:p w:rsidR="00C567A4" w:rsidRDefault="00C567A4" w:rsidP="00A357F9">
            <w:pPr>
              <w:pStyle w:val="covertext"/>
              <w:snapToGrid w:val="0"/>
            </w:pPr>
            <w:r>
              <w:t xml:space="preserve">This document elaborates </w:t>
            </w:r>
            <w:r w:rsidR="00A357F9">
              <w:t>modifications</w:t>
            </w:r>
            <w:r w:rsidR="005A0275">
              <w:t xml:space="preserve"> that need to be carried out in the draft</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Purpose</w:t>
            </w:r>
          </w:p>
        </w:tc>
        <w:tc>
          <w:tcPr>
            <w:tcW w:w="9018" w:type="dxa"/>
            <w:tcBorders>
              <w:top w:val="single" w:sz="4" w:space="0" w:color="000000"/>
              <w:bottom w:val="single" w:sz="4" w:space="0" w:color="000000"/>
            </w:tcBorders>
          </w:tcPr>
          <w:p w:rsidR="00C567A4" w:rsidRDefault="00C567A4" w:rsidP="00E505EA">
            <w:pPr>
              <w:pStyle w:val="covertext"/>
              <w:snapToGrid w:val="0"/>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E505EA">
            <w:pPr>
              <w:pStyle w:val="covertext"/>
              <w:snapToGrid w:val="0"/>
            </w:pPr>
            <w:r>
              <w:t>Notice</w:t>
            </w:r>
          </w:p>
        </w:tc>
        <w:tc>
          <w:tcPr>
            <w:tcW w:w="9018" w:type="dxa"/>
            <w:tcBorders>
              <w:top w:val="single" w:sz="4" w:space="0" w:color="000000"/>
              <w:bottom w:val="single" w:sz="4" w:space="0" w:color="000000"/>
            </w:tcBorders>
          </w:tcPr>
          <w:p w:rsidR="00C567A4" w:rsidRDefault="00C567A4" w:rsidP="00E505EA">
            <w:pPr>
              <w:pStyle w:val="covertext"/>
              <w:snapToGrid w:val="0"/>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E505EA">
            <w:pPr>
              <w:pStyle w:val="covertext"/>
              <w:snapToGrid w:val="0"/>
            </w:pPr>
            <w:r>
              <w:t>Release</w:t>
            </w:r>
          </w:p>
        </w:tc>
        <w:tc>
          <w:tcPr>
            <w:tcW w:w="9018" w:type="dxa"/>
            <w:tcBorders>
              <w:top w:val="single" w:sz="4" w:space="0" w:color="000000"/>
              <w:bottom w:val="single" w:sz="4" w:space="0" w:color="000000"/>
            </w:tcBorders>
          </w:tcPr>
          <w:p w:rsidR="00C567A4" w:rsidRDefault="00C567A4" w:rsidP="00E505EA">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E505EA">
            <w:pPr>
              <w:pStyle w:val="covertext"/>
              <w:snapToGrid w:val="0"/>
            </w:pPr>
            <w:r>
              <w:t>Patent Policy</w:t>
            </w:r>
          </w:p>
        </w:tc>
        <w:tc>
          <w:tcPr>
            <w:tcW w:w="9018" w:type="dxa"/>
            <w:tcBorders>
              <w:top w:val="single" w:sz="4" w:space="0" w:color="000000"/>
              <w:bottom w:val="single" w:sz="4" w:space="0" w:color="000000"/>
            </w:tcBorders>
          </w:tcPr>
          <w:p w:rsidR="00C567A4" w:rsidRPr="00A93AA7" w:rsidRDefault="00C567A4" w:rsidP="00E505EA">
            <w:pPr>
              <w:snapToGrid w:val="0"/>
              <w:rPr>
                <w:lang w:val="en-US"/>
              </w:rPr>
            </w:pPr>
            <w:r w:rsidRPr="00A93AA7">
              <w:rPr>
                <w:sz w:val="20"/>
                <w:lang w:val="en-US"/>
              </w:rPr>
              <w:t xml:space="preserve">The contributor is familiar with IEEE patent policy, as stated in </w:t>
            </w:r>
            <w:hyperlink r:id="rId6" w:anchor="_blank" w:history="1">
              <w:r w:rsidRPr="00A93AA7">
                <w:rPr>
                  <w:rStyle w:val="Hyperlink"/>
                  <w:lang w:val="en-US"/>
                </w:rPr>
                <w:t>Section 6 of the IEEE-SA Standards Board bylaws</w:t>
              </w:r>
            </w:hyperlink>
            <w:r w:rsidRPr="00A93AA7">
              <w:rPr>
                <w:sz w:val="20"/>
                <w:lang w:val="en-US"/>
              </w:rPr>
              <w:t xml:space="preserve"> &lt;</w:t>
            </w:r>
            <w:hyperlink r:id="rId7" w:anchor="_blank" w:history="1">
              <w:r w:rsidRPr="00A93AA7">
                <w:rPr>
                  <w:rStyle w:val="Hyperlink"/>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8" w:anchor="_blank" w:history="1">
              <w:r w:rsidRPr="00A93AA7">
                <w:rPr>
                  <w:rStyle w:val="Hyperlink"/>
                  <w:lang w:val="en-US"/>
                </w:rPr>
                <w:t>http://standards.ieee.org/board/pat/faq.pdf</w:t>
              </w:r>
            </w:hyperlink>
          </w:p>
        </w:tc>
      </w:tr>
    </w:tbl>
    <w:p w:rsidR="00C567A4" w:rsidRDefault="00C567A4"/>
    <w:p w:rsidR="00C567A4" w:rsidRDefault="00C567A4">
      <w:r>
        <w:br w:type="page"/>
      </w:r>
    </w:p>
    <w:p w:rsidR="00C567A4" w:rsidRDefault="00C567A4"/>
    <w:tbl>
      <w:tblPr>
        <w:tblStyle w:val="TableGrid"/>
        <w:tblW w:w="0" w:type="auto"/>
        <w:tblLook w:val="04A0"/>
      </w:tblPr>
      <w:tblGrid>
        <w:gridCol w:w="1809"/>
        <w:gridCol w:w="6911"/>
      </w:tblGrid>
      <w:tr w:rsidR="008034DB" w:rsidTr="00AA102E">
        <w:tc>
          <w:tcPr>
            <w:tcW w:w="1809" w:type="dxa"/>
          </w:tcPr>
          <w:p w:rsidR="008034DB" w:rsidRDefault="008034DB" w:rsidP="00AA102E">
            <w:r>
              <w:t>Ref.</w:t>
            </w:r>
          </w:p>
        </w:tc>
        <w:tc>
          <w:tcPr>
            <w:tcW w:w="6911" w:type="dxa"/>
          </w:tcPr>
          <w:p w:rsidR="008034DB" w:rsidRDefault="008034DB">
            <w:r>
              <w:t>001</w:t>
            </w:r>
          </w:p>
        </w:tc>
      </w:tr>
      <w:tr w:rsidR="00AA102E" w:rsidTr="00AA102E">
        <w:tc>
          <w:tcPr>
            <w:tcW w:w="1809" w:type="dxa"/>
          </w:tcPr>
          <w:p w:rsidR="00AA102E" w:rsidRDefault="00AA102E" w:rsidP="00AA102E">
            <w:r>
              <w:t>DRAFT  SECTION</w:t>
            </w:r>
          </w:p>
        </w:tc>
        <w:tc>
          <w:tcPr>
            <w:tcW w:w="6911" w:type="dxa"/>
          </w:tcPr>
          <w:p w:rsidR="00AA102E" w:rsidRDefault="00A357F9">
            <w:r w:rsidRPr="00A357F9">
              <w:t>8.6.1.12 MIH_Auth request</w:t>
            </w:r>
          </w:p>
        </w:tc>
      </w:tr>
      <w:tr w:rsidR="00AA102E" w:rsidTr="00AA102E">
        <w:tc>
          <w:tcPr>
            <w:tcW w:w="1809" w:type="dxa"/>
          </w:tcPr>
          <w:p w:rsidR="00AA102E" w:rsidRDefault="00AA102E">
            <w:r>
              <w:t>Modification type</w:t>
            </w:r>
          </w:p>
        </w:tc>
        <w:tc>
          <w:tcPr>
            <w:tcW w:w="6911" w:type="dxa"/>
          </w:tcPr>
          <w:p w:rsidR="00AA102E" w:rsidRDefault="00A357F9" w:rsidP="00A357F9">
            <w:r>
              <w:t>Replace definition text</w:t>
            </w:r>
          </w:p>
        </w:tc>
      </w:tr>
      <w:tr w:rsidR="00AA102E" w:rsidRPr="00FF4031" w:rsidTr="00AA102E">
        <w:tc>
          <w:tcPr>
            <w:tcW w:w="1809" w:type="dxa"/>
          </w:tcPr>
          <w:p w:rsidR="00AA102E" w:rsidRPr="00FF4031" w:rsidRDefault="00AA102E">
            <w:pPr>
              <w:rPr>
                <w:color w:val="000000" w:themeColor="text1"/>
              </w:rPr>
            </w:pPr>
            <w:r w:rsidRPr="00FF4031">
              <w:rPr>
                <w:color w:val="000000" w:themeColor="text1"/>
              </w:rPr>
              <w:t>Text</w:t>
            </w:r>
          </w:p>
        </w:tc>
        <w:tc>
          <w:tcPr>
            <w:tcW w:w="6911" w:type="dxa"/>
          </w:tcPr>
          <w:p w:rsidR="00AA102E" w:rsidRPr="00FF4031" w:rsidRDefault="00A357F9" w:rsidP="007B2888">
            <w:pPr>
              <w:ind w:left="32"/>
              <w:rPr>
                <w:color w:val="000000" w:themeColor="text1"/>
              </w:rPr>
            </w:pPr>
            <w:r w:rsidRPr="00A357F9">
              <w:rPr>
                <w:color w:val="000000" w:themeColor="text1"/>
              </w:rPr>
              <w:t xml:space="preserve">This message is used for an MIHF </w:t>
            </w:r>
            <w:r w:rsidR="00070F32">
              <w:rPr>
                <w:color w:val="000000" w:themeColor="text1"/>
              </w:rPr>
              <w:t xml:space="preserve">in </w:t>
            </w:r>
            <w:r w:rsidRPr="00A357F9">
              <w:rPr>
                <w:color w:val="000000" w:themeColor="text1"/>
              </w:rPr>
              <w:t>both  MN and PoS to send EAP or ERP messages in an MIH service authentication.</w:t>
            </w:r>
          </w:p>
        </w:tc>
      </w:tr>
    </w:tbl>
    <w:p w:rsidR="00AA102E" w:rsidRDefault="00AA102E"/>
    <w:tbl>
      <w:tblPr>
        <w:tblStyle w:val="TableGrid"/>
        <w:tblW w:w="0" w:type="auto"/>
        <w:tblLook w:val="04A0"/>
      </w:tblPr>
      <w:tblGrid>
        <w:gridCol w:w="1809"/>
        <w:gridCol w:w="6911"/>
      </w:tblGrid>
      <w:tr w:rsidR="008034DB" w:rsidRPr="00FF4031" w:rsidTr="00EE6484">
        <w:tc>
          <w:tcPr>
            <w:tcW w:w="1809" w:type="dxa"/>
          </w:tcPr>
          <w:p w:rsidR="008034DB" w:rsidRPr="00FF4031" w:rsidRDefault="008034DB" w:rsidP="00EE6484">
            <w:pPr>
              <w:rPr>
                <w:color w:val="000000" w:themeColor="text1"/>
              </w:rPr>
            </w:pPr>
            <w:r>
              <w:rPr>
                <w:color w:val="000000" w:themeColor="text1"/>
              </w:rPr>
              <w:t>Ref.</w:t>
            </w:r>
          </w:p>
        </w:tc>
        <w:tc>
          <w:tcPr>
            <w:tcW w:w="6911" w:type="dxa"/>
          </w:tcPr>
          <w:p w:rsidR="008034DB" w:rsidRPr="00FF4031" w:rsidRDefault="008034DB" w:rsidP="003B12C4">
            <w:pPr>
              <w:rPr>
                <w:color w:val="000000" w:themeColor="text1"/>
              </w:rPr>
            </w:pPr>
            <w:r>
              <w:rPr>
                <w:color w:val="000000" w:themeColor="text1"/>
              </w:rPr>
              <w:t>002</w:t>
            </w:r>
          </w:p>
        </w:tc>
      </w:tr>
      <w:tr w:rsidR="00484ED7" w:rsidRPr="00FF4031" w:rsidTr="00EE6484">
        <w:tc>
          <w:tcPr>
            <w:tcW w:w="1809" w:type="dxa"/>
          </w:tcPr>
          <w:p w:rsidR="00484ED7" w:rsidRPr="00FF4031" w:rsidRDefault="00484ED7" w:rsidP="00EE6484">
            <w:pPr>
              <w:rPr>
                <w:color w:val="000000" w:themeColor="text1"/>
              </w:rPr>
            </w:pPr>
            <w:r w:rsidRPr="00FF4031">
              <w:rPr>
                <w:color w:val="000000" w:themeColor="text1"/>
              </w:rPr>
              <w:t>DRAFT  SECTION</w:t>
            </w:r>
          </w:p>
        </w:tc>
        <w:tc>
          <w:tcPr>
            <w:tcW w:w="6911" w:type="dxa"/>
          </w:tcPr>
          <w:p w:rsidR="00484ED7" w:rsidRPr="00FF4031" w:rsidRDefault="00A357F9" w:rsidP="003B12C4">
            <w:pPr>
              <w:rPr>
                <w:color w:val="000000" w:themeColor="text1"/>
              </w:rPr>
            </w:pPr>
            <w:r w:rsidRPr="00A357F9">
              <w:rPr>
                <w:color w:val="000000" w:themeColor="text1"/>
              </w:rPr>
              <w:t>8.6.1.13 MIH_Auth response</w:t>
            </w:r>
          </w:p>
        </w:tc>
      </w:tr>
      <w:tr w:rsidR="00484ED7" w:rsidRPr="00FF4031" w:rsidTr="00EE6484">
        <w:tc>
          <w:tcPr>
            <w:tcW w:w="1809" w:type="dxa"/>
          </w:tcPr>
          <w:p w:rsidR="00484ED7" w:rsidRPr="00FF4031" w:rsidRDefault="00484ED7" w:rsidP="00EE6484">
            <w:pPr>
              <w:rPr>
                <w:color w:val="000000" w:themeColor="text1"/>
              </w:rPr>
            </w:pPr>
            <w:r w:rsidRPr="00FF4031">
              <w:rPr>
                <w:color w:val="000000" w:themeColor="text1"/>
              </w:rPr>
              <w:t>Modification type</w:t>
            </w:r>
          </w:p>
        </w:tc>
        <w:tc>
          <w:tcPr>
            <w:tcW w:w="6911" w:type="dxa"/>
          </w:tcPr>
          <w:p w:rsidR="00484ED7" w:rsidRPr="00FF4031" w:rsidRDefault="00A357F9" w:rsidP="00EE6484">
            <w:pPr>
              <w:rPr>
                <w:color w:val="000000" w:themeColor="text1"/>
              </w:rPr>
            </w:pPr>
            <w:r>
              <w:rPr>
                <w:color w:val="000000" w:themeColor="text1"/>
              </w:rPr>
              <w:t>Replace definition text</w:t>
            </w:r>
          </w:p>
        </w:tc>
      </w:tr>
      <w:tr w:rsidR="00484ED7" w:rsidRPr="00FF4031" w:rsidTr="00EE6484">
        <w:tc>
          <w:tcPr>
            <w:tcW w:w="1809" w:type="dxa"/>
          </w:tcPr>
          <w:p w:rsidR="00484ED7" w:rsidRPr="00FF4031" w:rsidRDefault="00484ED7" w:rsidP="00EE6484">
            <w:pPr>
              <w:rPr>
                <w:color w:val="000000" w:themeColor="text1"/>
              </w:rPr>
            </w:pPr>
            <w:r w:rsidRPr="00FF4031">
              <w:rPr>
                <w:color w:val="000000" w:themeColor="text1"/>
              </w:rPr>
              <w:t>Text</w:t>
            </w:r>
          </w:p>
        </w:tc>
        <w:tc>
          <w:tcPr>
            <w:tcW w:w="6911" w:type="dxa"/>
          </w:tcPr>
          <w:p w:rsidR="00484ED7" w:rsidRPr="00FF4031" w:rsidRDefault="00A357F9" w:rsidP="00484ED7">
            <w:pPr>
              <w:ind w:left="32"/>
              <w:rPr>
                <w:color w:val="000000" w:themeColor="text1"/>
              </w:rPr>
            </w:pPr>
            <w:r w:rsidRPr="00A357F9">
              <w:rPr>
                <w:color w:val="000000" w:themeColor="text1"/>
              </w:rPr>
              <w:t xml:space="preserve">This message is used for an MIHF </w:t>
            </w:r>
            <w:r w:rsidR="00070F32">
              <w:rPr>
                <w:color w:val="000000" w:themeColor="text1"/>
              </w:rPr>
              <w:t xml:space="preserve">in </w:t>
            </w:r>
            <w:r w:rsidRPr="00A357F9">
              <w:rPr>
                <w:color w:val="000000" w:themeColor="text1"/>
              </w:rPr>
              <w:t>both MN and PoS to send EAP or ERP messages in an MIH service authentication.</w:t>
            </w:r>
          </w:p>
        </w:tc>
      </w:tr>
    </w:tbl>
    <w:p w:rsidR="00C80683" w:rsidRDefault="00C80683"/>
    <w:tbl>
      <w:tblPr>
        <w:tblStyle w:val="TableGrid"/>
        <w:tblW w:w="0" w:type="auto"/>
        <w:tblLayout w:type="fixed"/>
        <w:tblLook w:val="04A0"/>
      </w:tblPr>
      <w:tblGrid>
        <w:gridCol w:w="1809"/>
        <w:gridCol w:w="6911"/>
      </w:tblGrid>
      <w:tr w:rsidR="008034DB" w:rsidRPr="00FF4031" w:rsidTr="005121A8">
        <w:tc>
          <w:tcPr>
            <w:tcW w:w="1809" w:type="dxa"/>
          </w:tcPr>
          <w:p w:rsidR="008034DB" w:rsidRPr="00FF4031" w:rsidRDefault="008034DB" w:rsidP="005121A8">
            <w:pPr>
              <w:rPr>
                <w:color w:val="000000" w:themeColor="text1"/>
              </w:rPr>
            </w:pPr>
            <w:r>
              <w:rPr>
                <w:color w:val="000000" w:themeColor="text1"/>
              </w:rPr>
              <w:t>Ref.</w:t>
            </w:r>
          </w:p>
        </w:tc>
        <w:tc>
          <w:tcPr>
            <w:tcW w:w="6911" w:type="dxa"/>
          </w:tcPr>
          <w:p w:rsidR="008034DB" w:rsidRPr="00FF4031" w:rsidRDefault="008034DB" w:rsidP="00D13B1B">
            <w:pPr>
              <w:rPr>
                <w:color w:val="000000" w:themeColor="text1"/>
              </w:rPr>
            </w:pPr>
            <w:r>
              <w:rPr>
                <w:color w:val="000000" w:themeColor="text1"/>
              </w:rPr>
              <w:t>003</w:t>
            </w:r>
          </w:p>
        </w:tc>
      </w:tr>
      <w:tr w:rsidR="00D13B1B" w:rsidRPr="00FF4031" w:rsidTr="005121A8">
        <w:tc>
          <w:tcPr>
            <w:tcW w:w="1809" w:type="dxa"/>
          </w:tcPr>
          <w:p w:rsidR="00D13B1B" w:rsidRPr="00FF4031" w:rsidRDefault="00D13B1B" w:rsidP="005121A8">
            <w:pPr>
              <w:rPr>
                <w:color w:val="000000" w:themeColor="text1"/>
              </w:rPr>
            </w:pPr>
            <w:r w:rsidRPr="00FF4031">
              <w:rPr>
                <w:color w:val="000000" w:themeColor="text1"/>
              </w:rPr>
              <w:t>DRAFT  SECTION</w:t>
            </w:r>
          </w:p>
        </w:tc>
        <w:tc>
          <w:tcPr>
            <w:tcW w:w="6911" w:type="dxa"/>
          </w:tcPr>
          <w:p w:rsidR="00D13B1B" w:rsidRPr="00FF4031" w:rsidRDefault="00A357F9" w:rsidP="00D13B1B">
            <w:pPr>
              <w:rPr>
                <w:color w:val="000000" w:themeColor="text1"/>
              </w:rPr>
            </w:pPr>
            <w:r w:rsidRPr="00A357F9">
              <w:rPr>
                <w:color w:val="000000" w:themeColor="text1"/>
              </w:rPr>
              <w:t>8.6.1.11 MIH_Auth indication</w:t>
            </w:r>
          </w:p>
        </w:tc>
      </w:tr>
      <w:tr w:rsidR="00D13B1B" w:rsidRPr="00FF4031" w:rsidTr="005121A8">
        <w:tc>
          <w:tcPr>
            <w:tcW w:w="1809" w:type="dxa"/>
          </w:tcPr>
          <w:p w:rsidR="00D13B1B" w:rsidRPr="00FF4031" w:rsidRDefault="00D13B1B" w:rsidP="005121A8">
            <w:pPr>
              <w:rPr>
                <w:color w:val="000000" w:themeColor="text1"/>
              </w:rPr>
            </w:pPr>
            <w:r w:rsidRPr="00FF4031">
              <w:rPr>
                <w:color w:val="000000" w:themeColor="text1"/>
              </w:rPr>
              <w:t>Modification type</w:t>
            </w:r>
          </w:p>
        </w:tc>
        <w:tc>
          <w:tcPr>
            <w:tcW w:w="6911" w:type="dxa"/>
          </w:tcPr>
          <w:p w:rsidR="00071F9A" w:rsidRPr="00FF4031" w:rsidRDefault="00D13B1B" w:rsidP="00A357F9">
            <w:pPr>
              <w:rPr>
                <w:color w:val="000000" w:themeColor="text1"/>
              </w:rPr>
            </w:pPr>
            <w:r w:rsidRPr="00FF4031">
              <w:rPr>
                <w:color w:val="000000" w:themeColor="text1"/>
              </w:rPr>
              <w:t>Replace</w:t>
            </w:r>
            <w:r w:rsidR="00A357F9">
              <w:rPr>
                <w:color w:val="000000" w:themeColor="text1"/>
              </w:rPr>
              <w:t xml:space="preserve"> definition text</w:t>
            </w:r>
          </w:p>
        </w:tc>
      </w:tr>
      <w:tr w:rsidR="00D13B1B" w:rsidRPr="00FF4031" w:rsidTr="005121A8">
        <w:tc>
          <w:tcPr>
            <w:tcW w:w="1809" w:type="dxa"/>
          </w:tcPr>
          <w:p w:rsidR="00D13B1B" w:rsidRPr="00FF4031" w:rsidRDefault="00D13B1B" w:rsidP="005121A8">
            <w:pPr>
              <w:rPr>
                <w:color w:val="000000" w:themeColor="text1"/>
              </w:rPr>
            </w:pPr>
            <w:r w:rsidRPr="00FF4031">
              <w:rPr>
                <w:color w:val="000000" w:themeColor="text1"/>
              </w:rPr>
              <w:t>Text</w:t>
            </w:r>
          </w:p>
        </w:tc>
        <w:tc>
          <w:tcPr>
            <w:tcW w:w="6911" w:type="dxa"/>
          </w:tcPr>
          <w:p w:rsidR="00D13B1B" w:rsidRPr="00FF4031" w:rsidRDefault="00A357F9" w:rsidP="00A357F9">
            <w:pPr>
              <w:suppressAutoHyphens/>
              <w:ind w:left="34"/>
              <w:jc w:val="both"/>
              <w:rPr>
                <w:color w:val="000000" w:themeColor="text1"/>
              </w:rPr>
            </w:pPr>
            <w:r w:rsidRPr="00A357F9">
              <w:rPr>
                <w:color w:val="000000" w:themeColor="text1"/>
              </w:rPr>
              <w:t>This is used for an MIHF to perform (D)TLS exchange with another MIHF to establish or terminate a (D)TLS-generated MIH SA, or to communicate with another MIHF to initiate an MIH service access authentication through EAP or ERP. In the former case, an AuthenticationContent shall be included to carry a TLS record of type handshake, change ciphersuite or alert message.  In the latter case,</w:t>
            </w:r>
            <w:r w:rsidRPr="00A357F9">
              <w:rPr>
                <w:color w:val="000000" w:themeColor="text1"/>
              </w:rPr>
              <w:br/>
              <w:t>AuthenticationContent shall be included to carry an ERP payload message when ERP is initiated by a PoS.  This message shall not be used when EAP is initiated by a PoS or when ERP is initiated by a MN, and MIH_Auth request message shall be used instead</w:t>
            </w:r>
            <w:r>
              <w:rPr>
                <w:color w:val="000000" w:themeColor="text1"/>
              </w:rPr>
              <w:t>.</w:t>
            </w:r>
          </w:p>
        </w:tc>
      </w:tr>
    </w:tbl>
    <w:p w:rsidR="00682B39" w:rsidRDefault="00682B39"/>
    <w:tbl>
      <w:tblPr>
        <w:tblStyle w:val="TableGrid"/>
        <w:tblW w:w="0" w:type="auto"/>
        <w:tblLayout w:type="fixed"/>
        <w:tblLook w:val="04A0"/>
      </w:tblPr>
      <w:tblGrid>
        <w:gridCol w:w="1809"/>
        <w:gridCol w:w="6911"/>
      </w:tblGrid>
      <w:tr w:rsidR="008034DB" w:rsidRPr="00FF4031" w:rsidTr="008269C1">
        <w:tc>
          <w:tcPr>
            <w:tcW w:w="1809" w:type="dxa"/>
          </w:tcPr>
          <w:p w:rsidR="008034DB" w:rsidRPr="00FF4031" w:rsidRDefault="008034DB" w:rsidP="008269C1">
            <w:pPr>
              <w:rPr>
                <w:color w:val="000000" w:themeColor="text1"/>
              </w:rPr>
            </w:pPr>
            <w:r>
              <w:rPr>
                <w:color w:val="000000" w:themeColor="text1"/>
              </w:rPr>
              <w:t>Ref.</w:t>
            </w:r>
          </w:p>
        </w:tc>
        <w:tc>
          <w:tcPr>
            <w:tcW w:w="6911" w:type="dxa"/>
          </w:tcPr>
          <w:p w:rsidR="008034DB" w:rsidRPr="00FF4031" w:rsidRDefault="008034DB" w:rsidP="008034DB">
            <w:pPr>
              <w:rPr>
                <w:color w:val="000000" w:themeColor="text1"/>
              </w:rPr>
            </w:pPr>
            <w:r>
              <w:rPr>
                <w:color w:val="000000" w:themeColor="text1"/>
              </w:rPr>
              <w:t>004</w:t>
            </w:r>
          </w:p>
        </w:tc>
      </w:tr>
      <w:tr w:rsidR="008269C1" w:rsidRPr="00FF4031" w:rsidTr="008269C1">
        <w:tc>
          <w:tcPr>
            <w:tcW w:w="1809" w:type="dxa"/>
          </w:tcPr>
          <w:p w:rsidR="008269C1" w:rsidRPr="00FF4031" w:rsidRDefault="008269C1" w:rsidP="008269C1">
            <w:pPr>
              <w:rPr>
                <w:color w:val="000000" w:themeColor="text1"/>
              </w:rPr>
            </w:pPr>
            <w:r w:rsidRPr="00FF4031">
              <w:rPr>
                <w:color w:val="000000" w:themeColor="text1"/>
              </w:rPr>
              <w:t>DRAFT  SECTION</w:t>
            </w:r>
          </w:p>
        </w:tc>
        <w:tc>
          <w:tcPr>
            <w:tcW w:w="6911" w:type="dxa"/>
          </w:tcPr>
          <w:p w:rsidR="008269C1" w:rsidRPr="00FF4031" w:rsidRDefault="00A357F9" w:rsidP="008269C1">
            <w:pPr>
              <w:rPr>
                <w:color w:val="000000" w:themeColor="text1"/>
              </w:rPr>
            </w:pPr>
            <w:r w:rsidRPr="00A357F9">
              <w:rPr>
                <w:color w:val="000000" w:themeColor="text1"/>
              </w:rPr>
              <w:t>Figure 31—Main Stages with MN Initiated Authentication</w:t>
            </w:r>
          </w:p>
        </w:tc>
      </w:tr>
      <w:tr w:rsidR="008269C1" w:rsidRPr="00FF4031" w:rsidTr="008269C1">
        <w:tc>
          <w:tcPr>
            <w:tcW w:w="1809" w:type="dxa"/>
          </w:tcPr>
          <w:p w:rsidR="008269C1" w:rsidRPr="00FF4031" w:rsidRDefault="008269C1" w:rsidP="008269C1">
            <w:pPr>
              <w:rPr>
                <w:color w:val="000000" w:themeColor="text1"/>
              </w:rPr>
            </w:pPr>
            <w:r w:rsidRPr="00FF4031">
              <w:rPr>
                <w:color w:val="000000" w:themeColor="text1"/>
              </w:rPr>
              <w:t>Modification type</w:t>
            </w:r>
          </w:p>
        </w:tc>
        <w:tc>
          <w:tcPr>
            <w:tcW w:w="6911" w:type="dxa"/>
          </w:tcPr>
          <w:p w:rsidR="00933E19" w:rsidRPr="00FF4031" w:rsidRDefault="00A357F9" w:rsidP="008269C1">
            <w:pPr>
              <w:rPr>
                <w:color w:val="000000" w:themeColor="text1"/>
              </w:rPr>
            </w:pPr>
            <w:r>
              <w:rPr>
                <w:color w:val="000000" w:themeColor="text1"/>
              </w:rPr>
              <w:t>Update figure</w:t>
            </w:r>
          </w:p>
        </w:tc>
      </w:tr>
      <w:tr w:rsidR="00A357F9" w:rsidRPr="00FF4031" w:rsidTr="008269C1">
        <w:tc>
          <w:tcPr>
            <w:tcW w:w="1809" w:type="dxa"/>
          </w:tcPr>
          <w:p w:rsidR="00A357F9" w:rsidRPr="00FF4031" w:rsidRDefault="00A357F9" w:rsidP="008269C1">
            <w:pPr>
              <w:rPr>
                <w:color w:val="000000" w:themeColor="text1"/>
              </w:rPr>
            </w:pPr>
            <w:r>
              <w:rPr>
                <w:color w:val="000000" w:themeColor="text1"/>
              </w:rPr>
              <w:t>Text</w:t>
            </w:r>
          </w:p>
        </w:tc>
        <w:tc>
          <w:tcPr>
            <w:tcW w:w="6911" w:type="dxa"/>
          </w:tcPr>
          <w:p w:rsidR="00A357F9" w:rsidRDefault="00A357F9" w:rsidP="008269C1">
            <w:pPr>
              <w:rPr>
                <w:color w:val="000000" w:themeColor="text1"/>
              </w:rPr>
            </w:pPr>
            <w:r w:rsidRPr="00A357F9">
              <w:rPr>
                <w:color w:val="000000" w:themeColor="text1"/>
              </w:rPr>
              <w:t>Remove ERP from figure in MIH Service Access Authentication Phase</w:t>
            </w:r>
          </w:p>
        </w:tc>
      </w:tr>
    </w:tbl>
    <w:p w:rsidR="008912B9" w:rsidRDefault="008912B9" w:rsidP="00A357F9"/>
    <w:tbl>
      <w:tblPr>
        <w:tblStyle w:val="TableGrid"/>
        <w:tblW w:w="0" w:type="auto"/>
        <w:tblLayout w:type="fixed"/>
        <w:tblLook w:val="04A0"/>
      </w:tblPr>
      <w:tblGrid>
        <w:gridCol w:w="1809"/>
        <w:gridCol w:w="6911"/>
      </w:tblGrid>
      <w:tr w:rsidR="00A357F9" w:rsidRPr="00FF4031" w:rsidTr="00677C36">
        <w:tc>
          <w:tcPr>
            <w:tcW w:w="1809" w:type="dxa"/>
          </w:tcPr>
          <w:p w:rsidR="00A357F9" w:rsidRPr="00FF4031" w:rsidRDefault="00A357F9" w:rsidP="00677C36">
            <w:pPr>
              <w:rPr>
                <w:color w:val="000000" w:themeColor="text1"/>
              </w:rPr>
            </w:pPr>
            <w:r>
              <w:rPr>
                <w:color w:val="000000" w:themeColor="text1"/>
              </w:rPr>
              <w:t>Ref.</w:t>
            </w:r>
          </w:p>
        </w:tc>
        <w:tc>
          <w:tcPr>
            <w:tcW w:w="6911" w:type="dxa"/>
          </w:tcPr>
          <w:p w:rsidR="00A357F9" w:rsidRPr="00FF4031" w:rsidRDefault="00A357F9" w:rsidP="00677C36">
            <w:pPr>
              <w:rPr>
                <w:color w:val="000000" w:themeColor="text1"/>
              </w:rPr>
            </w:pPr>
            <w:r>
              <w:rPr>
                <w:color w:val="000000" w:themeColor="text1"/>
              </w:rPr>
              <w:t>005</w:t>
            </w:r>
          </w:p>
        </w:tc>
      </w:tr>
      <w:tr w:rsidR="00A357F9" w:rsidRPr="00FF4031" w:rsidTr="00677C36">
        <w:tc>
          <w:tcPr>
            <w:tcW w:w="1809" w:type="dxa"/>
          </w:tcPr>
          <w:p w:rsidR="00A357F9" w:rsidRPr="00FF4031" w:rsidRDefault="00A357F9" w:rsidP="00677C36">
            <w:pPr>
              <w:rPr>
                <w:color w:val="000000" w:themeColor="text1"/>
              </w:rPr>
            </w:pPr>
            <w:r w:rsidRPr="00FF4031">
              <w:rPr>
                <w:color w:val="000000" w:themeColor="text1"/>
              </w:rPr>
              <w:t>DRAFT  SECTION</w:t>
            </w:r>
          </w:p>
        </w:tc>
        <w:tc>
          <w:tcPr>
            <w:tcW w:w="6911" w:type="dxa"/>
          </w:tcPr>
          <w:p w:rsidR="00A357F9" w:rsidRPr="00FF4031" w:rsidRDefault="00A357F9" w:rsidP="00677C36">
            <w:pPr>
              <w:rPr>
                <w:color w:val="000000" w:themeColor="text1"/>
              </w:rPr>
            </w:pPr>
            <w:r w:rsidRPr="00A357F9">
              <w:rPr>
                <w:color w:val="000000" w:themeColor="text1"/>
              </w:rPr>
              <w:t>Figure 32—Main Stages with Network Initiated Authentication</w:t>
            </w:r>
          </w:p>
        </w:tc>
      </w:tr>
      <w:tr w:rsidR="00A357F9" w:rsidRPr="00FF4031" w:rsidTr="00677C36">
        <w:tc>
          <w:tcPr>
            <w:tcW w:w="1809" w:type="dxa"/>
          </w:tcPr>
          <w:p w:rsidR="00A357F9" w:rsidRPr="00FF4031" w:rsidRDefault="00A357F9" w:rsidP="00677C36">
            <w:pPr>
              <w:rPr>
                <w:color w:val="000000" w:themeColor="text1"/>
              </w:rPr>
            </w:pPr>
            <w:r w:rsidRPr="00FF4031">
              <w:rPr>
                <w:color w:val="000000" w:themeColor="text1"/>
              </w:rPr>
              <w:t>Modification type</w:t>
            </w:r>
          </w:p>
        </w:tc>
        <w:tc>
          <w:tcPr>
            <w:tcW w:w="6911" w:type="dxa"/>
          </w:tcPr>
          <w:p w:rsidR="00A357F9" w:rsidRPr="00FF4031" w:rsidRDefault="00A357F9" w:rsidP="00677C36">
            <w:pPr>
              <w:rPr>
                <w:color w:val="000000" w:themeColor="text1"/>
              </w:rPr>
            </w:pPr>
            <w:r>
              <w:rPr>
                <w:color w:val="000000" w:themeColor="text1"/>
              </w:rPr>
              <w:t>Update figure</w:t>
            </w:r>
          </w:p>
        </w:tc>
      </w:tr>
      <w:tr w:rsidR="00A357F9" w:rsidRPr="00FF4031" w:rsidTr="00677C36">
        <w:tc>
          <w:tcPr>
            <w:tcW w:w="1809" w:type="dxa"/>
          </w:tcPr>
          <w:p w:rsidR="00A357F9" w:rsidRPr="00FF4031" w:rsidRDefault="00A357F9" w:rsidP="00677C36">
            <w:pPr>
              <w:rPr>
                <w:color w:val="000000" w:themeColor="text1"/>
              </w:rPr>
            </w:pPr>
            <w:r>
              <w:rPr>
                <w:color w:val="000000" w:themeColor="text1"/>
              </w:rPr>
              <w:t>Text</w:t>
            </w:r>
          </w:p>
        </w:tc>
        <w:tc>
          <w:tcPr>
            <w:tcW w:w="6911" w:type="dxa"/>
          </w:tcPr>
          <w:p w:rsidR="00A357F9" w:rsidRDefault="00A357F9" w:rsidP="00677C36">
            <w:pPr>
              <w:rPr>
                <w:color w:val="000000" w:themeColor="text1"/>
              </w:rPr>
            </w:pPr>
            <w:r w:rsidRPr="00A357F9">
              <w:rPr>
                <w:color w:val="000000" w:themeColor="text1"/>
              </w:rPr>
              <w:t>Remove ERP from figure in MIH Service Access Authentication Phase</w:t>
            </w:r>
          </w:p>
        </w:tc>
      </w:tr>
    </w:tbl>
    <w:p w:rsidR="00A357F9" w:rsidRDefault="00A357F9" w:rsidP="00A357F9"/>
    <w:tbl>
      <w:tblPr>
        <w:tblStyle w:val="TableGrid"/>
        <w:tblW w:w="0" w:type="auto"/>
        <w:tblLayout w:type="fixed"/>
        <w:tblLook w:val="04A0"/>
      </w:tblPr>
      <w:tblGrid>
        <w:gridCol w:w="1809"/>
        <w:gridCol w:w="6911"/>
      </w:tblGrid>
      <w:tr w:rsidR="00293372" w:rsidRPr="00FF4031" w:rsidTr="00677C36">
        <w:tc>
          <w:tcPr>
            <w:tcW w:w="1809" w:type="dxa"/>
          </w:tcPr>
          <w:p w:rsidR="00293372" w:rsidRPr="00FF4031" w:rsidRDefault="00293372" w:rsidP="00677C36">
            <w:pPr>
              <w:rPr>
                <w:color w:val="000000" w:themeColor="text1"/>
              </w:rPr>
            </w:pPr>
            <w:r>
              <w:rPr>
                <w:color w:val="000000" w:themeColor="text1"/>
              </w:rPr>
              <w:t>Ref.</w:t>
            </w:r>
          </w:p>
        </w:tc>
        <w:tc>
          <w:tcPr>
            <w:tcW w:w="6911" w:type="dxa"/>
          </w:tcPr>
          <w:p w:rsidR="00293372" w:rsidRPr="00FF4031" w:rsidRDefault="00293372" w:rsidP="00677C36">
            <w:pPr>
              <w:rPr>
                <w:color w:val="000000" w:themeColor="text1"/>
              </w:rPr>
            </w:pPr>
            <w:r>
              <w:rPr>
                <w:color w:val="000000" w:themeColor="text1"/>
              </w:rPr>
              <w:t>006</w:t>
            </w:r>
          </w:p>
        </w:tc>
      </w:tr>
      <w:tr w:rsidR="00293372" w:rsidRPr="00FF4031" w:rsidTr="00677C36">
        <w:tc>
          <w:tcPr>
            <w:tcW w:w="1809" w:type="dxa"/>
          </w:tcPr>
          <w:p w:rsidR="00293372" w:rsidRPr="00FF4031" w:rsidRDefault="00293372" w:rsidP="00677C36">
            <w:pPr>
              <w:rPr>
                <w:color w:val="000000" w:themeColor="text1"/>
              </w:rPr>
            </w:pPr>
            <w:r w:rsidRPr="00FF4031">
              <w:rPr>
                <w:color w:val="000000" w:themeColor="text1"/>
              </w:rPr>
              <w:t>DRAFT  SECTION</w:t>
            </w:r>
          </w:p>
        </w:tc>
        <w:tc>
          <w:tcPr>
            <w:tcW w:w="6911" w:type="dxa"/>
          </w:tcPr>
          <w:p w:rsidR="00293372" w:rsidRPr="00FF4031" w:rsidRDefault="00293372" w:rsidP="00677C36">
            <w:pPr>
              <w:rPr>
                <w:color w:val="000000" w:themeColor="text1"/>
              </w:rPr>
            </w:pPr>
            <w:r w:rsidRPr="00293372">
              <w:rPr>
                <w:color w:val="000000" w:themeColor="text1"/>
              </w:rPr>
              <w:t>9.2.1 MIH service access authentication</w:t>
            </w:r>
          </w:p>
        </w:tc>
      </w:tr>
      <w:tr w:rsidR="00293372" w:rsidRPr="00FF4031" w:rsidTr="00677C36">
        <w:tc>
          <w:tcPr>
            <w:tcW w:w="1809" w:type="dxa"/>
          </w:tcPr>
          <w:p w:rsidR="00293372" w:rsidRPr="00FF4031" w:rsidRDefault="00293372" w:rsidP="00677C36">
            <w:pPr>
              <w:rPr>
                <w:color w:val="000000" w:themeColor="text1"/>
              </w:rPr>
            </w:pPr>
            <w:r w:rsidRPr="00FF4031">
              <w:rPr>
                <w:color w:val="000000" w:themeColor="text1"/>
              </w:rPr>
              <w:t>Modification type</w:t>
            </w:r>
          </w:p>
        </w:tc>
        <w:tc>
          <w:tcPr>
            <w:tcW w:w="6911" w:type="dxa"/>
          </w:tcPr>
          <w:p w:rsidR="00293372" w:rsidRPr="00FF4031" w:rsidRDefault="00293372" w:rsidP="00677C36">
            <w:pPr>
              <w:rPr>
                <w:color w:val="000000" w:themeColor="text1"/>
              </w:rPr>
            </w:pPr>
            <w:r>
              <w:rPr>
                <w:color w:val="000000" w:themeColor="text1"/>
              </w:rPr>
              <w:t>Add figure</w:t>
            </w:r>
          </w:p>
        </w:tc>
      </w:tr>
      <w:tr w:rsidR="00293372" w:rsidRPr="00FF4031" w:rsidTr="00677C36">
        <w:tc>
          <w:tcPr>
            <w:tcW w:w="1809" w:type="dxa"/>
          </w:tcPr>
          <w:p w:rsidR="00293372" w:rsidRPr="00FF4031" w:rsidRDefault="00293372" w:rsidP="00677C36">
            <w:pPr>
              <w:rPr>
                <w:color w:val="000000" w:themeColor="text1"/>
              </w:rPr>
            </w:pPr>
            <w:r>
              <w:rPr>
                <w:color w:val="000000" w:themeColor="text1"/>
              </w:rPr>
              <w:lastRenderedPageBreak/>
              <w:t>Figure</w:t>
            </w:r>
          </w:p>
        </w:tc>
        <w:tc>
          <w:tcPr>
            <w:tcW w:w="6911" w:type="dxa"/>
          </w:tcPr>
          <w:p w:rsidR="00293372" w:rsidRDefault="00293372" w:rsidP="00677C36">
            <w:pPr>
              <w:rPr>
                <w:color w:val="000000" w:themeColor="text1"/>
              </w:rPr>
            </w:pPr>
            <w:r>
              <w:rPr>
                <w:noProof/>
                <w:color w:val="000000" w:themeColor="text1"/>
                <w:lang w:val="en-US"/>
              </w:rPr>
              <w:drawing>
                <wp:inline distT="0" distB="0" distL="0" distR="0">
                  <wp:extent cx="3726180" cy="3045144"/>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26180" cy="3045144"/>
                          </a:xfrm>
                          <a:prstGeom prst="rect">
                            <a:avLst/>
                          </a:prstGeom>
                          <a:noFill/>
                        </pic:spPr>
                      </pic:pic>
                    </a:graphicData>
                  </a:graphic>
                </wp:inline>
              </w:drawing>
            </w:r>
          </w:p>
        </w:tc>
      </w:tr>
      <w:tr w:rsidR="00293372" w:rsidRPr="00FF4031" w:rsidTr="00677C36">
        <w:tc>
          <w:tcPr>
            <w:tcW w:w="1809" w:type="dxa"/>
          </w:tcPr>
          <w:p w:rsidR="00293372" w:rsidRDefault="00293372" w:rsidP="00677C36">
            <w:pPr>
              <w:rPr>
                <w:color w:val="000000" w:themeColor="text1"/>
              </w:rPr>
            </w:pPr>
            <w:r>
              <w:rPr>
                <w:color w:val="000000" w:themeColor="text1"/>
              </w:rPr>
              <w:t>Title</w:t>
            </w:r>
          </w:p>
        </w:tc>
        <w:tc>
          <w:tcPr>
            <w:tcW w:w="6911" w:type="dxa"/>
          </w:tcPr>
          <w:p w:rsidR="00293372" w:rsidRDefault="00293372" w:rsidP="00677C36">
            <w:pPr>
              <w:rPr>
                <w:noProof/>
                <w:color w:val="000000" w:themeColor="text1"/>
                <w:lang w:val="en-US"/>
              </w:rPr>
            </w:pPr>
            <w:r>
              <w:rPr>
                <w:noProof/>
                <w:color w:val="000000" w:themeColor="text1"/>
                <w:lang w:val="en-US"/>
              </w:rPr>
              <w:t>Main stages with MN initiated re-authentication</w:t>
            </w:r>
          </w:p>
        </w:tc>
      </w:tr>
    </w:tbl>
    <w:p w:rsidR="00293372" w:rsidRDefault="00293372" w:rsidP="00293372">
      <w:pPr>
        <w:pStyle w:val="Default"/>
        <w:spacing w:after="1080"/>
      </w:pPr>
    </w:p>
    <w:tbl>
      <w:tblPr>
        <w:tblStyle w:val="TableGrid"/>
        <w:tblW w:w="0" w:type="auto"/>
        <w:tblLayout w:type="fixed"/>
        <w:tblLook w:val="04A0"/>
      </w:tblPr>
      <w:tblGrid>
        <w:gridCol w:w="1809"/>
        <w:gridCol w:w="6911"/>
      </w:tblGrid>
      <w:tr w:rsidR="00293372" w:rsidRPr="00FF4031" w:rsidTr="00677C36">
        <w:tc>
          <w:tcPr>
            <w:tcW w:w="1809" w:type="dxa"/>
          </w:tcPr>
          <w:p w:rsidR="00293372" w:rsidRPr="00FF4031" w:rsidRDefault="00293372" w:rsidP="00677C36">
            <w:pPr>
              <w:rPr>
                <w:color w:val="000000" w:themeColor="text1"/>
              </w:rPr>
            </w:pPr>
            <w:r>
              <w:rPr>
                <w:color w:val="000000" w:themeColor="text1"/>
              </w:rPr>
              <w:t>Ref.</w:t>
            </w:r>
          </w:p>
        </w:tc>
        <w:tc>
          <w:tcPr>
            <w:tcW w:w="6911" w:type="dxa"/>
          </w:tcPr>
          <w:p w:rsidR="00293372" w:rsidRPr="00FF4031" w:rsidRDefault="00293372" w:rsidP="00677C36">
            <w:pPr>
              <w:rPr>
                <w:color w:val="000000" w:themeColor="text1"/>
              </w:rPr>
            </w:pPr>
            <w:r>
              <w:rPr>
                <w:color w:val="000000" w:themeColor="text1"/>
              </w:rPr>
              <w:t>007</w:t>
            </w:r>
          </w:p>
        </w:tc>
      </w:tr>
      <w:tr w:rsidR="00293372" w:rsidRPr="00FF4031" w:rsidTr="00677C36">
        <w:tc>
          <w:tcPr>
            <w:tcW w:w="1809" w:type="dxa"/>
          </w:tcPr>
          <w:p w:rsidR="00293372" w:rsidRPr="00FF4031" w:rsidRDefault="00293372" w:rsidP="00677C36">
            <w:pPr>
              <w:rPr>
                <w:color w:val="000000" w:themeColor="text1"/>
              </w:rPr>
            </w:pPr>
            <w:r w:rsidRPr="00FF4031">
              <w:rPr>
                <w:color w:val="000000" w:themeColor="text1"/>
              </w:rPr>
              <w:t>DRAFT  SECTION</w:t>
            </w:r>
          </w:p>
        </w:tc>
        <w:tc>
          <w:tcPr>
            <w:tcW w:w="6911" w:type="dxa"/>
          </w:tcPr>
          <w:p w:rsidR="00293372" w:rsidRPr="00FF4031" w:rsidRDefault="00293372" w:rsidP="00677C36">
            <w:pPr>
              <w:rPr>
                <w:color w:val="000000" w:themeColor="text1"/>
              </w:rPr>
            </w:pPr>
            <w:r w:rsidRPr="00293372">
              <w:rPr>
                <w:color w:val="000000" w:themeColor="text1"/>
              </w:rPr>
              <w:t>9.2.1 MIH service access authentication</w:t>
            </w:r>
          </w:p>
        </w:tc>
      </w:tr>
      <w:tr w:rsidR="00293372" w:rsidRPr="00FF4031" w:rsidTr="00677C36">
        <w:tc>
          <w:tcPr>
            <w:tcW w:w="1809" w:type="dxa"/>
          </w:tcPr>
          <w:p w:rsidR="00293372" w:rsidRPr="00FF4031" w:rsidRDefault="00293372" w:rsidP="00677C36">
            <w:pPr>
              <w:rPr>
                <w:color w:val="000000" w:themeColor="text1"/>
              </w:rPr>
            </w:pPr>
            <w:r w:rsidRPr="00FF4031">
              <w:rPr>
                <w:color w:val="000000" w:themeColor="text1"/>
              </w:rPr>
              <w:t>Modification type</w:t>
            </w:r>
          </w:p>
        </w:tc>
        <w:tc>
          <w:tcPr>
            <w:tcW w:w="6911" w:type="dxa"/>
          </w:tcPr>
          <w:p w:rsidR="00293372" w:rsidRPr="00FF4031" w:rsidRDefault="00293372" w:rsidP="00677C36">
            <w:pPr>
              <w:rPr>
                <w:color w:val="000000" w:themeColor="text1"/>
              </w:rPr>
            </w:pPr>
            <w:r>
              <w:rPr>
                <w:color w:val="000000" w:themeColor="text1"/>
              </w:rPr>
              <w:t>Add figure</w:t>
            </w:r>
          </w:p>
        </w:tc>
      </w:tr>
      <w:tr w:rsidR="00293372" w:rsidRPr="00FF4031" w:rsidTr="00677C36">
        <w:tc>
          <w:tcPr>
            <w:tcW w:w="1809" w:type="dxa"/>
          </w:tcPr>
          <w:p w:rsidR="00293372" w:rsidRPr="00FF4031" w:rsidRDefault="00293372" w:rsidP="00677C36">
            <w:pPr>
              <w:rPr>
                <w:color w:val="000000" w:themeColor="text1"/>
              </w:rPr>
            </w:pPr>
            <w:r>
              <w:rPr>
                <w:color w:val="000000" w:themeColor="text1"/>
              </w:rPr>
              <w:t>Figure</w:t>
            </w:r>
          </w:p>
        </w:tc>
        <w:tc>
          <w:tcPr>
            <w:tcW w:w="6911" w:type="dxa"/>
          </w:tcPr>
          <w:p w:rsidR="00293372" w:rsidRDefault="00293372" w:rsidP="00677C36">
            <w:pPr>
              <w:rPr>
                <w:color w:val="000000" w:themeColor="text1"/>
              </w:rPr>
            </w:pPr>
            <w:r>
              <w:rPr>
                <w:noProof/>
                <w:color w:val="000000" w:themeColor="text1"/>
                <w:lang w:val="en-US"/>
              </w:rPr>
              <w:drawing>
                <wp:inline distT="0" distB="0" distL="0" distR="0">
                  <wp:extent cx="3943350" cy="35588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943350" cy="3558895"/>
                          </a:xfrm>
                          <a:prstGeom prst="rect">
                            <a:avLst/>
                          </a:prstGeom>
                          <a:noFill/>
                        </pic:spPr>
                      </pic:pic>
                    </a:graphicData>
                  </a:graphic>
                </wp:inline>
              </w:drawing>
            </w:r>
          </w:p>
        </w:tc>
      </w:tr>
      <w:tr w:rsidR="00293372" w:rsidRPr="00FF4031" w:rsidTr="00677C36">
        <w:tc>
          <w:tcPr>
            <w:tcW w:w="1809" w:type="dxa"/>
          </w:tcPr>
          <w:p w:rsidR="00293372" w:rsidRDefault="00293372" w:rsidP="00677C36">
            <w:pPr>
              <w:rPr>
                <w:color w:val="000000" w:themeColor="text1"/>
              </w:rPr>
            </w:pPr>
            <w:r>
              <w:rPr>
                <w:color w:val="000000" w:themeColor="text1"/>
              </w:rPr>
              <w:t>Title</w:t>
            </w:r>
          </w:p>
        </w:tc>
        <w:tc>
          <w:tcPr>
            <w:tcW w:w="6911" w:type="dxa"/>
          </w:tcPr>
          <w:p w:rsidR="00293372" w:rsidRDefault="00293372" w:rsidP="00677C36">
            <w:pPr>
              <w:rPr>
                <w:noProof/>
                <w:color w:val="000000" w:themeColor="text1"/>
                <w:lang w:val="en-US"/>
              </w:rPr>
            </w:pPr>
            <w:r w:rsidRPr="00A357F9">
              <w:rPr>
                <w:color w:val="000000" w:themeColor="text1"/>
              </w:rPr>
              <w:t xml:space="preserve">Main Stages with Network Initiated </w:t>
            </w:r>
            <w:r>
              <w:rPr>
                <w:color w:val="000000" w:themeColor="text1"/>
              </w:rPr>
              <w:t xml:space="preserve"> Re-</w:t>
            </w:r>
            <w:r w:rsidRPr="00A357F9">
              <w:rPr>
                <w:color w:val="000000" w:themeColor="text1"/>
              </w:rPr>
              <w:t>Authentication</w:t>
            </w:r>
            <w:r w:rsidR="004507FC">
              <w:rPr>
                <w:color w:val="000000" w:themeColor="text1"/>
              </w:rPr>
              <w:t xml:space="preserve"> (1)</w:t>
            </w:r>
          </w:p>
        </w:tc>
      </w:tr>
    </w:tbl>
    <w:p w:rsidR="00293372" w:rsidRDefault="00293372" w:rsidP="00293372">
      <w:pPr>
        <w:pStyle w:val="Default"/>
        <w:spacing w:after="1080"/>
      </w:pPr>
    </w:p>
    <w:tbl>
      <w:tblPr>
        <w:tblStyle w:val="TableGrid"/>
        <w:tblW w:w="0" w:type="auto"/>
        <w:tblLayout w:type="fixed"/>
        <w:tblLook w:val="04A0"/>
      </w:tblPr>
      <w:tblGrid>
        <w:gridCol w:w="1809"/>
        <w:gridCol w:w="6911"/>
      </w:tblGrid>
      <w:tr w:rsidR="004507FC" w:rsidRPr="00FF4031" w:rsidTr="00677C36">
        <w:tc>
          <w:tcPr>
            <w:tcW w:w="1809" w:type="dxa"/>
          </w:tcPr>
          <w:p w:rsidR="004507FC" w:rsidRPr="00FF4031" w:rsidRDefault="004507FC" w:rsidP="00677C36">
            <w:pPr>
              <w:rPr>
                <w:color w:val="000000" w:themeColor="text1"/>
              </w:rPr>
            </w:pPr>
            <w:r>
              <w:rPr>
                <w:color w:val="000000" w:themeColor="text1"/>
              </w:rPr>
              <w:lastRenderedPageBreak/>
              <w:t>Ref.</w:t>
            </w:r>
          </w:p>
        </w:tc>
        <w:tc>
          <w:tcPr>
            <w:tcW w:w="6911" w:type="dxa"/>
          </w:tcPr>
          <w:p w:rsidR="004507FC" w:rsidRPr="00FF4031" w:rsidRDefault="004D19C4" w:rsidP="00677C36">
            <w:pPr>
              <w:rPr>
                <w:color w:val="000000" w:themeColor="text1"/>
              </w:rPr>
            </w:pPr>
            <w:r>
              <w:rPr>
                <w:color w:val="000000" w:themeColor="text1"/>
              </w:rPr>
              <w:t>008</w:t>
            </w:r>
          </w:p>
        </w:tc>
      </w:tr>
      <w:tr w:rsidR="004507FC" w:rsidRPr="00FF4031" w:rsidTr="00677C36">
        <w:tc>
          <w:tcPr>
            <w:tcW w:w="1809" w:type="dxa"/>
          </w:tcPr>
          <w:p w:rsidR="004507FC" w:rsidRPr="00FF4031" w:rsidRDefault="004507FC" w:rsidP="00677C36">
            <w:pPr>
              <w:rPr>
                <w:color w:val="000000" w:themeColor="text1"/>
              </w:rPr>
            </w:pPr>
            <w:r w:rsidRPr="00FF4031">
              <w:rPr>
                <w:color w:val="000000" w:themeColor="text1"/>
              </w:rPr>
              <w:t>DRAFT  SECTION</w:t>
            </w:r>
          </w:p>
        </w:tc>
        <w:tc>
          <w:tcPr>
            <w:tcW w:w="6911" w:type="dxa"/>
          </w:tcPr>
          <w:p w:rsidR="004507FC" w:rsidRPr="00FF4031" w:rsidRDefault="004507FC" w:rsidP="00677C36">
            <w:pPr>
              <w:rPr>
                <w:color w:val="000000" w:themeColor="text1"/>
              </w:rPr>
            </w:pPr>
            <w:r w:rsidRPr="00293372">
              <w:rPr>
                <w:color w:val="000000" w:themeColor="text1"/>
              </w:rPr>
              <w:t>9.2.1 MIH service access authentication</w:t>
            </w:r>
          </w:p>
        </w:tc>
      </w:tr>
      <w:tr w:rsidR="004507FC" w:rsidRPr="00FF4031" w:rsidTr="00677C36">
        <w:tc>
          <w:tcPr>
            <w:tcW w:w="1809" w:type="dxa"/>
          </w:tcPr>
          <w:p w:rsidR="004507FC" w:rsidRPr="00FF4031" w:rsidRDefault="004507FC" w:rsidP="00677C36">
            <w:pPr>
              <w:rPr>
                <w:color w:val="000000" w:themeColor="text1"/>
              </w:rPr>
            </w:pPr>
            <w:r w:rsidRPr="00FF4031">
              <w:rPr>
                <w:color w:val="000000" w:themeColor="text1"/>
              </w:rPr>
              <w:t>Modification type</w:t>
            </w:r>
          </w:p>
        </w:tc>
        <w:tc>
          <w:tcPr>
            <w:tcW w:w="6911" w:type="dxa"/>
          </w:tcPr>
          <w:p w:rsidR="004507FC" w:rsidRPr="00FF4031" w:rsidRDefault="004507FC" w:rsidP="00677C36">
            <w:pPr>
              <w:rPr>
                <w:color w:val="000000" w:themeColor="text1"/>
              </w:rPr>
            </w:pPr>
            <w:r>
              <w:rPr>
                <w:color w:val="000000" w:themeColor="text1"/>
              </w:rPr>
              <w:t>Add figure</w:t>
            </w:r>
          </w:p>
        </w:tc>
      </w:tr>
      <w:tr w:rsidR="004507FC" w:rsidRPr="00FF4031" w:rsidTr="00677C36">
        <w:tc>
          <w:tcPr>
            <w:tcW w:w="1809" w:type="dxa"/>
          </w:tcPr>
          <w:p w:rsidR="004507FC" w:rsidRPr="00FF4031" w:rsidRDefault="004507FC" w:rsidP="00677C36">
            <w:pPr>
              <w:rPr>
                <w:color w:val="000000" w:themeColor="text1"/>
              </w:rPr>
            </w:pPr>
            <w:r>
              <w:rPr>
                <w:color w:val="000000" w:themeColor="text1"/>
              </w:rPr>
              <w:t>Figure</w:t>
            </w:r>
          </w:p>
        </w:tc>
        <w:tc>
          <w:tcPr>
            <w:tcW w:w="6911" w:type="dxa"/>
          </w:tcPr>
          <w:p w:rsidR="004507FC" w:rsidRDefault="004507FC" w:rsidP="00677C36">
            <w:pPr>
              <w:rPr>
                <w:color w:val="000000" w:themeColor="text1"/>
              </w:rPr>
            </w:pPr>
            <w:r>
              <w:rPr>
                <w:noProof/>
                <w:color w:val="000000" w:themeColor="text1"/>
                <w:lang w:val="en-US"/>
              </w:rPr>
              <w:drawing>
                <wp:inline distT="0" distB="0" distL="0" distR="0">
                  <wp:extent cx="3935730" cy="3216394"/>
                  <wp:effectExtent l="1905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935730" cy="3216394"/>
                          </a:xfrm>
                          <a:prstGeom prst="rect">
                            <a:avLst/>
                          </a:prstGeom>
                          <a:noFill/>
                        </pic:spPr>
                      </pic:pic>
                    </a:graphicData>
                  </a:graphic>
                </wp:inline>
              </w:drawing>
            </w:r>
          </w:p>
        </w:tc>
      </w:tr>
      <w:tr w:rsidR="004507FC" w:rsidRPr="00FF4031" w:rsidTr="00677C36">
        <w:tc>
          <w:tcPr>
            <w:tcW w:w="1809" w:type="dxa"/>
          </w:tcPr>
          <w:p w:rsidR="004507FC" w:rsidRDefault="004507FC" w:rsidP="00677C36">
            <w:pPr>
              <w:rPr>
                <w:color w:val="000000" w:themeColor="text1"/>
              </w:rPr>
            </w:pPr>
            <w:r>
              <w:rPr>
                <w:color w:val="000000" w:themeColor="text1"/>
              </w:rPr>
              <w:t>Title</w:t>
            </w:r>
          </w:p>
        </w:tc>
        <w:tc>
          <w:tcPr>
            <w:tcW w:w="6911" w:type="dxa"/>
          </w:tcPr>
          <w:p w:rsidR="004507FC" w:rsidRDefault="004507FC" w:rsidP="00677C36">
            <w:pPr>
              <w:rPr>
                <w:noProof/>
                <w:color w:val="000000" w:themeColor="text1"/>
                <w:lang w:val="en-US"/>
              </w:rPr>
            </w:pPr>
            <w:r w:rsidRPr="00A357F9">
              <w:rPr>
                <w:color w:val="000000" w:themeColor="text1"/>
              </w:rPr>
              <w:t xml:space="preserve">Main Stages with Network Initiated </w:t>
            </w:r>
            <w:r>
              <w:rPr>
                <w:color w:val="000000" w:themeColor="text1"/>
              </w:rPr>
              <w:t xml:space="preserve"> Re-</w:t>
            </w:r>
            <w:r w:rsidRPr="00A357F9">
              <w:rPr>
                <w:color w:val="000000" w:themeColor="text1"/>
              </w:rPr>
              <w:t>Authentication</w:t>
            </w:r>
            <w:r>
              <w:rPr>
                <w:color w:val="000000" w:themeColor="text1"/>
              </w:rPr>
              <w:t xml:space="preserve"> (2)</w:t>
            </w:r>
          </w:p>
        </w:tc>
      </w:tr>
    </w:tbl>
    <w:p w:rsidR="00293372" w:rsidRDefault="00293372" w:rsidP="00293372">
      <w:pPr>
        <w:pStyle w:val="Default"/>
        <w:spacing w:after="1080"/>
      </w:pPr>
    </w:p>
    <w:p w:rsidR="00293372" w:rsidRDefault="00293372" w:rsidP="00293372">
      <w:pPr>
        <w:pStyle w:val="SP4229381"/>
        <w:spacing w:before="480" w:after="240"/>
        <w:rPr>
          <w:color w:val="000000"/>
        </w:rPr>
      </w:pPr>
    </w:p>
    <w:p w:rsidR="00293372" w:rsidRDefault="00293372" w:rsidP="00293372">
      <w:pPr>
        <w:pStyle w:val="SP4229427"/>
        <w:spacing w:before="360" w:after="240"/>
        <w:rPr>
          <w:color w:val="000000"/>
        </w:rPr>
      </w:pPr>
    </w:p>
    <w:sectPr w:rsidR="00293372" w:rsidSect="00030C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8">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9">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0">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12"/>
  </w:num>
  <w:num w:numId="5">
    <w:abstractNumId w:val="11"/>
  </w:num>
  <w:num w:numId="6">
    <w:abstractNumId w:val="5"/>
  </w:num>
  <w:num w:numId="7">
    <w:abstractNumId w:val="8"/>
  </w:num>
  <w:num w:numId="8">
    <w:abstractNumId w:val="13"/>
  </w:num>
  <w:num w:numId="9">
    <w:abstractNumId w:val="10"/>
  </w:num>
  <w:num w:numId="10">
    <w:abstractNumId w:val="9"/>
  </w:num>
  <w:num w:numId="11">
    <w:abstractNumId w:val="1"/>
  </w:num>
  <w:num w:numId="12">
    <w:abstractNumId w:val="4"/>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characterSpacingControl w:val="doNotCompress"/>
  <w:compat/>
  <w:rsids>
    <w:rsidRoot w:val="00AA102E"/>
    <w:rsid w:val="00030CD1"/>
    <w:rsid w:val="000551A2"/>
    <w:rsid w:val="000571F4"/>
    <w:rsid w:val="00070F32"/>
    <w:rsid w:val="00071F9A"/>
    <w:rsid w:val="000A78DC"/>
    <w:rsid w:val="000D1B21"/>
    <w:rsid w:val="00140BFC"/>
    <w:rsid w:val="00141643"/>
    <w:rsid w:val="00183627"/>
    <w:rsid w:val="0018745B"/>
    <w:rsid w:val="00190E3F"/>
    <w:rsid w:val="001B6030"/>
    <w:rsid w:val="001D5730"/>
    <w:rsid w:val="001E2404"/>
    <w:rsid w:val="002251ED"/>
    <w:rsid w:val="00247001"/>
    <w:rsid w:val="00293372"/>
    <w:rsid w:val="002A1855"/>
    <w:rsid w:val="002C3E18"/>
    <w:rsid w:val="002D15F2"/>
    <w:rsid w:val="002D38B7"/>
    <w:rsid w:val="0031441B"/>
    <w:rsid w:val="00333E91"/>
    <w:rsid w:val="00347BA7"/>
    <w:rsid w:val="0035090A"/>
    <w:rsid w:val="00354E8B"/>
    <w:rsid w:val="00386319"/>
    <w:rsid w:val="003A41F8"/>
    <w:rsid w:val="003A6B9F"/>
    <w:rsid w:val="003B12C4"/>
    <w:rsid w:val="003E07C6"/>
    <w:rsid w:val="004238B0"/>
    <w:rsid w:val="00425B47"/>
    <w:rsid w:val="004507FC"/>
    <w:rsid w:val="00452FA5"/>
    <w:rsid w:val="00484ED7"/>
    <w:rsid w:val="00494651"/>
    <w:rsid w:val="00494F01"/>
    <w:rsid w:val="004A3626"/>
    <w:rsid w:val="004B5C13"/>
    <w:rsid w:val="004D19C4"/>
    <w:rsid w:val="004D1D3A"/>
    <w:rsid w:val="00504715"/>
    <w:rsid w:val="005121A8"/>
    <w:rsid w:val="00514108"/>
    <w:rsid w:val="00530E68"/>
    <w:rsid w:val="00562765"/>
    <w:rsid w:val="0058538A"/>
    <w:rsid w:val="005A0275"/>
    <w:rsid w:val="005A182E"/>
    <w:rsid w:val="005B723B"/>
    <w:rsid w:val="005B750E"/>
    <w:rsid w:val="005D02B5"/>
    <w:rsid w:val="005F6D41"/>
    <w:rsid w:val="00632633"/>
    <w:rsid w:val="006653CB"/>
    <w:rsid w:val="00677782"/>
    <w:rsid w:val="00682B39"/>
    <w:rsid w:val="00684273"/>
    <w:rsid w:val="00724F95"/>
    <w:rsid w:val="007507D4"/>
    <w:rsid w:val="007A4A24"/>
    <w:rsid w:val="007B2888"/>
    <w:rsid w:val="007C6FBE"/>
    <w:rsid w:val="008034DB"/>
    <w:rsid w:val="008269C1"/>
    <w:rsid w:val="00852731"/>
    <w:rsid w:val="0086176C"/>
    <w:rsid w:val="008912B9"/>
    <w:rsid w:val="008A5247"/>
    <w:rsid w:val="008C186E"/>
    <w:rsid w:val="008C2DDC"/>
    <w:rsid w:val="008E566B"/>
    <w:rsid w:val="008F53E6"/>
    <w:rsid w:val="009135A1"/>
    <w:rsid w:val="00913BBE"/>
    <w:rsid w:val="00925339"/>
    <w:rsid w:val="0093283B"/>
    <w:rsid w:val="00933E19"/>
    <w:rsid w:val="00987A09"/>
    <w:rsid w:val="009A7E16"/>
    <w:rsid w:val="009B01F4"/>
    <w:rsid w:val="009B76D2"/>
    <w:rsid w:val="009C5A8D"/>
    <w:rsid w:val="009F4E85"/>
    <w:rsid w:val="00A17F59"/>
    <w:rsid w:val="00A24040"/>
    <w:rsid w:val="00A357F9"/>
    <w:rsid w:val="00A55952"/>
    <w:rsid w:val="00A57305"/>
    <w:rsid w:val="00A9409B"/>
    <w:rsid w:val="00AA102E"/>
    <w:rsid w:val="00B1354D"/>
    <w:rsid w:val="00B209DC"/>
    <w:rsid w:val="00B8587F"/>
    <w:rsid w:val="00BC4830"/>
    <w:rsid w:val="00C567A4"/>
    <w:rsid w:val="00C659A9"/>
    <w:rsid w:val="00C75C17"/>
    <w:rsid w:val="00C80683"/>
    <w:rsid w:val="00CA28FD"/>
    <w:rsid w:val="00CD7D3B"/>
    <w:rsid w:val="00CE5117"/>
    <w:rsid w:val="00D00BF4"/>
    <w:rsid w:val="00D13B1B"/>
    <w:rsid w:val="00D267D6"/>
    <w:rsid w:val="00D46A82"/>
    <w:rsid w:val="00D54C4E"/>
    <w:rsid w:val="00D56E1F"/>
    <w:rsid w:val="00DA0464"/>
    <w:rsid w:val="00DB6AFC"/>
    <w:rsid w:val="00DC0C2A"/>
    <w:rsid w:val="00DD1CD6"/>
    <w:rsid w:val="00DD356F"/>
    <w:rsid w:val="00DD5E99"/>
    <w:rsid w:val="00DE57DE"/>
    <w:rsid w:val="00E505EA"/>
    <w:rsid w:val="00E618DA"/>
    <w:rsid w:val="00E821A3"/>
    <w:rsid w:val="00EC6049"/>
    <w:rsid w:val="00ED4F7A"/>
    <w:rsid w:val="00EE6484"/>
    <w:rsid w:val="00F700BE"/>
    <w:rsid w:val="00F92C60"/>
    <w:rsid w:val="00F93520"/>
    <w:rsid w:val="00F93A77"/>
    <w:rsid w:val="00FE1596"/>
    <w:rsid w:val="00FE18BB"/>
    <w:rsid w:val="00FF4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D1"/>
  </w:style>
  <w:style w:type="paragraph" w:styleId="Heading2">
    <w:name w:val="heading 2"/>
    <w:basedOn w:val="Normal"/>
    <w:next w:val="Normal"/>
    <w:link w:val="Heading2Char"/>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93A77"/>
    <w:rPr>
      <w:rFonts w:cs="Times New Roman"/>
      <w:sz w:val="16"/>
      <w:szCs w:val="16"/>
    </w:rPr>
  </w:style>
  <w:style w:type="paragraph" w:styleId="CommentText">
    <w:name w:val="annotation text"/>
    <w:basedOn w:val="Normal"/>
    <w:link w:val="CommentTextChar"/>
    <w:rsid w:val="00F93A77"/>
    <w:pPr>
      <w:suppressAutoHyphens/>
      <w:spacing w:line="240" w:lineRule="auto"/>
    </w:pPr>
    <w:rPr>
      <w:rFonts w:ascii="Calibri" w:eastAsia="PMingLiU" w:hAnsi="Calibri" w:cs="Calibri"/>
      <w:sz w:val="20"/>
      <w:szCs w:val="20"/>
      <w:lang w:val="en-US" w:eastAsia="ar-SA"/>
    </w:rPr>
  </w:style>
  <w:style w:type="character" w:customStyle="1" w:styleId="CommentTextChar">
    <w:name w:val="Comment Text Char"/>
    <w:basedOn w:val="DefaultParagraphFont"/>
    <w:link w:val="CommentText"/>
    <w:rsid w:val="00F93A77"/>
    <w:rPr>
      <w:rFonts w:ascii="Calibri" w:eastAsia="PMingLiU" w:hAnsi="Calibri" w:cs="Calibri"/>
      <w:sz w:val="20"/>
      <w:szCs w:val="20"/>
      <w:lang w:val="en-US" w:eastAsia="ar-SA"/>
    </w:rPr>
  </w:style>
  <w:style w:type="paragraph" w:customStyle="1" w:styleId="Cuadrculamedia1-nfasis21">
    <w:name w:val="Cuadrícula media 1 - Énfasis 21"/>
    <w:basedOn w:val="Normal"/>
    <w:uiPriority w:val="34"/>
    <w:qFormat/>
    <w:rsid w:val="00F93A77"/>
    <w:pPr>
      <w:suppressAutoHyphens/>
      <w:ind w:left="720"/>
      <w:contextualSpacing/>
    </w:pPr>
    <w:rPr>
      <w:rFonts w:ascii="Calibri" w:eastAsia="PMingLiU" w:hAnsi="Calibri" w:cs="Calibri"/>
      <w:lang w:val="en-US" w:eastAsia="ar-SA"/>
    </w:rPr>
  </w:style>
  <w:style w:type="paragraph" w:styleId="BalloonText">
    <w:name w:val="Balloon Text"/>
    <w:basedOn w:val="Normal"/>
    <w:link w:val="BalloonTextChar"/>
    <w:uiPriority w:val="99"/>
    <w:semiHidden/>
    <w:unhideWhenUsed/>
    <w:rsid w:val="00F93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77"/>
    <w:rPr>
      <w:rFonts w:ascii="Tahoma" w:hAnsi="Tahoma" w:cs="Tahoma"/>
      <w:sz w:val="16"/>
      <w:szCs w:val="16"/>
    </w:rPr>
  </w:style>
  <w:style w:type="paragraph" w:styleId="Caption">
    <w:name w:val="caption"/>
    <w:basedOn w:val="Normal"/>
    <w:next w:val="Normal"/>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Heading2Char">
    <w:name w:val="Heading 2 Char"/>
    <w:basedOn w:val="DefaultParagraphFont"/>
    <w:link w:val="Heading2"/>
    <w:rsid w:val="00140BFC"/>
    <w:rPr>
      <w:rFonts w:ascii="Cambria" w:eastAsia="PMingLiU" w:hAnsi="Cambria" w:cs="Calibri"/>
      <w:b/>
      <w:bCs/>
      <w:sz w:val="26"/>
      <w:szCs w:val="26"/>
      <w:lang w:val="en-US" w:eastAsia="ar-SA"/>
    </w:rPr>
  </w:style>
  <w:style w:type="paragraph" w:styleId="ListParagraph">
    <w:name w:val="List Paragraph"/>
    <w:basedOn w:val="Normal"/>
    <w:uiPriority w:val="34"/>
    <w:qFormat/>
    <w:rsid w:val="008269C1"/>
    <w:pPr>
      <w:ind w:left="720"/>
      <w:contextualSpacing/>
    </w:pPr>
  </w:style>
  <w:style w:type="character" w:styleId="Hyperlink">
    <w:name w:val="Hyperlink"/>
    <w:basedOn w:val="DefaultParagraphFont"/>
    <w:rsid w:val="00C567A4"/>
    <w:rPr>
      <w:rFonts w:cs="Times New Roman"/>
      <w:color w:val="0000FF"/>
      <w:u w:val="single"/>
    </w:rPr>
  </w:style>
  <w:style w:type="paragraph" w:customStyle="1" w:styleId="covertext">
    <w:name w:val="cover text"/>
    <w:basedOn w:val="Normal"/>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Normal"/>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DefaultParagraphFont"/>
    <w:rsid w:val="009135A1"/>
  </w:style>
  <w:style w:type="paragraph" w:customStyle="1" w:styleId="Default">
    <w:name w:val="Default"/>
    <w:rsid w:val="00293372"/>
    <w:pPr>
      <w:autoSpaceDE w:val="0"/>
      <w:autoSpaceDN w:val="0"/>
      <w:adjustRightInd w:val="0"/>
      <w:spacing w:after="0" w:line="240" w:lineRule="auto"/>
    </w:pPr>
    <w:rPr>
      <w:rFonts w:ascii="Arial" w:hAnsi="Arial" w:cs="Arial"/>
      <w:color w:val="000000"/>
      <w:sz w:val="24"/>
      <w:szCs w:val="24"/>
      <w:lang w:val="en-US"/>
    </w:rPr>
  </w:style>
  <w:style w:type="paragraph" w:customStyle="1" w:styleId="SP4229381">
    <w:name w:val="SP.4.229381"/>
    <w:basedOn w:val="Default"/>
    <w:next w:val="Default"/>
    <w:uiPriority w:val="99"/>
    <w:rsid w:val="00293372"/>
    <w:rPr>
      <w:color w:val="auto"/>
    </w:rPr>
  </w:style>
  <w:style w:type="paragraph" w:customStyle="1" w:styleId="SP4229427">
    <w:name w:val="SP.4.229427"/>
    <w:basedOn w:val="Default"/>
    <w:next w:val="Default"/>
    <w:uiPriority w:val="99"/>
    <w:rsid w:val="00293372"/>
    <w:rPr>
      <w:color w:val="auto"/>
    </w:rPr>
  </w:style>
  <w:style w:type="character" w:customStyle="1" w:styleId="SC4167947">
    <w:name w:val="SC.4.167947"/>
    <w:uiPriority w:val="99"/>
    <w:rsid w:val="00293372"/>
    <w:rPr>
      <w:b/>
      <w:bCs/>
      <w:color w:val="000000"/>
      <w:sz w:val="20"/>
      <w:szCs w:val="20"/>
    </w:rPr>
  </w:style>
  <w:style w:type="character" w:customStyle="1" w:styleId="apple-style-span">
    <w:name w:val="apple-style-span"/>
    <w:basedOn w:val="DefaultParagraphFont"/>
    <w:rsid w:val="00183627"/>
  </w:style>
</w:styles>
</file>

<file path=word/webSettings.xml><?xml version="1.0" encoding="utf-8"?>
<w:webSettings xmlns:r="http://schemas.openxmlformats.org/officeDocument/2006/relationships" xmlns:w="http://schemas.openxmlformats.org/wordprocessingml/2006/main">
  <w:divs>
    <w:div w:id="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129442819">
          <w:marLeft w:val="547"/>
          <w:marRight w:val="0"/>
          <w:marTop w:val="154"/>
          <w:marBottom w:val="0"/>
          <w:divBdr>
            <w:top w:val="none" w:sz="0" w:space="0" w:color="auto"/>
            <w:left w:val="none" w:sz="0" w:space="0" w:color="auto"/>
            <w:bottom w:val="none" w:sz="0" w:space="0" w:color="auto"/>
            <w:right w:val="none" w:sz="0" w:space="0" w:color="auto"/>
          </w:divBdr>
        </w:div>
      </w:divsChild>
    </w:div>
    <w:div w:id="1196849598">
      <w:bodyDiv w:val="1"/>
      <w:marLeft w:val="0"/>
      <w:marRight w:val="0"/>
      <w:marTop w:val="0"/>
      <w:marBottom w:val="0"/>
      <w:divBdr>
        <w:top w:val="none" w:sz="0" w:space="0" w:color="auto"/>
        <w:left w:val="none" w:sz="0" w:space="0" w:color="auto"/>
        <w:bottom w:val="none" w:sz="0" w:space="0" w:color="auto"/>
        <w:right w:val="none" w:sz="0" w:space="0" w:color="auto"/>
      </w:divBdr>
      <w:divsChild>
        <w:div w:id="933778670">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faq.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127.0.0.1:4664/cache?event_id=757737&amp;schema_id=1&amp;s=5X0vID10lu_E6yrIkWkNd4Wz2H8&amp;q=hancoc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ndards.ieee.org/guides/opman/sect6.html"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A108-BA88-4407-B142-779C0E3E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589</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Bernal</dc:creator>
  <cp:lastModifiedBy>Fernando</cp:lastModifiedBy>
  <cp:revision>8</cp:revision>
  <dcterms:created xsi:type="dcterms:W3CDTF">2011-09-28T10:52:00Z</dcterms:created>
  <dcterms:modified xsi:type="dcterms:W3CDTF">2011-09-28T12:39:00Z</dcterms:modified>
</cp:coreProperties>
</file>