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jc w:val="center"/>
        <w:tblInd w:w="-963" w:type="dxa"/>
        <w:tblLayout w:type="fixed"/>
        <w:tblLook w:val="0000"/>
      </w:tblPr>
      <w:tblGrid>
        <w:gridCol w:w="1350"/>
        <w:gridCol w:w="9018"/>
      </w:tblGrid>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br w:type="page"/>
              <w:t>Project</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rPr>
                <w:b/>
                <w:lang w:val="it-IT"/>
              </w:rPr>
            </w:pPr>
            <w:r>
              <w:rPr>
                <w:b/>
                <w:lang w:val="it-IT"/>
              </w:rPr>
              <w:t xml:space="preserve">IEEE 802.21a </w:t>
            </w:r>
          </w:p>
          <w:p w:rsidR="00C567A4" w:rsidRDefault="00C567A4" w:rsidP="00F43D3C">
            <w:pPr>
              <w:pStyle w:val="covertext"/>
              <w:spacing w:line="240" w:lineRule="exact"/>
              <w:rPr>
                <w:b/>
                <w:lang w:val="it-IT"/>
              </w:rPr>
            </w:pPr>
            <w:r>
              <w:rPr>
                <w:b/>
                <w:lang w:val="it-IT"/>
              </w:rPr>
              <w:t>&lt;https://mentor.ieee.org/802.21&gt;</w:t>
            </w:r>
          </w:p>
        </w:tc>
      </w:tr>
      <w:tr w:rsidR="00C567A4" w:rsidRPr="00A93AA7"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Title</w:t>
            </w:r>
          </w:p>
        </w:tc>
        <w:tc>
          <w:tcPr>
            <w:tcW w:w="9018" w:type="dxa"/>
            <w:tcBorders>
              <w:top w:val="single" w:sz="4" w:space="0" w:color="000000"/>
              <w:bottom w:val="single" w:sz="4" w:space="0" w:color="000000"/>
            </w:tcBorders>
          </w:tcPr>
          <w:p w:rsidR="00C567A4" w:rsidRPr="00C15B43" w:rsidRDefault="003A5D2A" w:rsidP="003A5D2A">
            <w:pPr>
              <w:pStyle w:val="covertext"/>
              <w:snapToGrid w:val="0"/>
              <w:spacing w:line="240" w:lineRule="exact"/>
              <w:rPr>
                <w:rFonts w:eastAsiaTheme="minorEastAsia"/>
                <w:b/>
                <w:lang w:eastAsia="ja-JP"/>
              </w:rPr>
            </w:pPr>
            <w:r>
              <w:rPr>
                <w:rFonts w:asciiTheme="minorEastAsia" w:eastAsiaTheme="minorEastAsia" w:hAnsiTheme="minorEastAsia" w:hint="eastAsia"/>
                <w:b/>
                <w:lang w:eastAsia="ja-JP"/>
              </w:rPr>
              <w:t>Suggested Remedies on 802.21a/D02</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DCN</w:t>
            </w:r>
          </w:p>
        </w:tc>
        <w:tc>
          <w:tcPr>
            <w:tcW w:w="9018" w:type="dxa"/>
            <w:tcBorders>
              <w:top w:val="single" w:sz="4" w:space="0" w:color="000000"/>
              <w:bottom w:val="single" w:sz="4" w:space="0" w:color="000000"/>
            </w:tcBorders>
          </w:tcPr>
          <w:p w:rsidR="00C567A4" w:rsidRPr="00822D94" w:rsidRDefault="00C15B43" w:rsidP="00F43D3C">
            <w:pPr>
              <w:pStyle w:val="covertext"/>
              <w:snapToGrid w:val="0"/>
              <w:spacing w:line="240" w:lineRule="exact"/>
            </w:pPr>
            <w:r>
              <w:rPr>
                <w:rStyle w:val="highlight"/>
              </w:rPr>
              <w:t>21-10-0</w:t>
            </w:r>
            <w:r w:rsidR="008E122D">
              <w:rPr>
                <w:rStyle w:val="highlight"/>
                <w:rFonts w:eastAsiaTheme="minorEastAsia" w:hint="eastAsia"/>
                <w:lang w:eastAsia="ja-JP"/>
              </w:rPr>
              <w:t>021</w:t>
            </w:r>
            <w:r w:rsidR="00C659A9">
              <w:rPr>
                <w:rStyle w:val="highlight"/>
              </w:rPr>
              <w:t>-00-0sec</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Body"/>
              <w:snapToGrid w:val="0"/>
              <w:spacing w:line="240" w:lineRule="exact"/>
            </w:pPr>
            <w:r>
              <w:t>Date Submitted</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rPr>
                <w:b/>
              </w:rPr>
            </w:pP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Source(s)</w:t>
            </w:r>
          </w:p>
        </w:tc>
        <w:tc>
          <w:tcPr>
            <w:tcW w:w="9018" w:type="dxa"/>
            <w:tcBorders>
              <w:top w:val="single" w:sz="4" w:space="0" w:color="000000"/>
              <w:bottom w:val="single" w:sz="4" w:space="0" w:color="000000"/>
            </w:tcBorders>
          </w:tcPr>
          <w:p w:rsidR="00C567A4" w:rsidRDefault="00C15B43" w:rsidP="00F43D3C">
            <w:pPr>
              <w:pStyle w:val="covertext"/>
              <w:snapToGrid w:val="0"/>
              <w:spacing w:line="240" w:lineRule="exact"/>
              <w:rPr>
                <w:lang w:val="de-DE"/>
              </w:rPr>
            </w:pPr>
            <w:r>
              <w:rPr>
                <w:rFonts w:eastAsiaTheme="minorEastAsia" w:hint="eastAsia"/>
                <w:lang w:val="de-DE" w:eastAsia="ja-JP"/>
              </w:rPr>
              <w:t>Yoshihiro Ohba</w:t>
            </w:r>
            <w:r w:rsidR="00C567A4">
              <w:rPr>
                <w:lang w:val="de-DE"/>
              </w:rPr>
              <w:t xml:space="preserve"> (</w:t>
            </w:r>
            <w:r>
              <w:rPr>
                <w:rFonts w:eastAsiaTheme="minorEastAsia" w:hint="eastAsia"/>
                <w:lang w:val="de-DE" w:eastAsia="ja-JP"/>
              </w:rPr>
              <w:t>Toshia</w:t>
            </w:r>
            <w:r w:rsidR="00C567A4">
              <w:rPr>
                <w:lang w:val="de-DE"/>
              </w:rPr>
              <w:t>)</w:t>
            </w:r>
          </w:p>
        </w:tc>
      </w:tr>
      <w:tr w:rsidR="00C567A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Re:</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pP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Abstract</w:t>
            </w:r>
          </w:p>
        </w:tc>
        <w:tc>
          <w:tcPr>
            <w:tcW w:w="9018" w:type="dxa"/>
            <w:tcBorders>
              <w:top w:val="single" w:sz="4" w:space="0" w:color="000000"/>
              <w:bottom w:val="single" w:sz="4" w:space="0" w:color="000000"/>
            </w:tcBorders>
          </w:tcPr>
          <w:p w:rsidR="00C567A4" w:rsidRDefault="00C567A4" w:rsidP="006A3268">
            <w:pPr>
              <w:pStyle w:val="covertext"/>
              <w:snapToGrid w:val="0"/>
              <w:spacing w:line="240" w:lineRule="exact"/>
            </w:pPr>
            <w:r>
              <w:t xml:space="preserve">This document </w:t>
            </w:r>
            <w:r w:rsidR="006A3268">
              <w:rPr>
                <w:rFonts w:eastAsiaTheme="minorEastAsia" w:hint="eastAsia"/>
                <w:lang w:eastAsia="ja-JP"/>
              </w:rPr>
              <w:t>contains remedies to 802.21a/D02 associated with the author</w:t>
            </w:r>
            <w:r w:rsidR="006A3268">
              <w:rPr>
                <w:rFonts w:eastAsiaTheme="minorEastAsia"/>
                <w:lang w:eastAsia="ja-JP"/>
              </w:rPr>
              <w:t>’</w:t>
            </w:r>
            <w:r w:rsidR="006A3268">
              <w:rPr>
                <w:rFonts w:eastAsiaTheme="minorEastAsia" w:hint="eastAsia"/>
                <w:lang w:eastAsia="ja-JP"/>
              </w:rPr>
              <w:t xml:space="preserve">s </w:t>
            </w:r>
            <w:proofErr w:type="spellStart"/>
            <w:r w:rsidR="006A3268">
              <w:rPr>
                <w:rFonts w:eastAsiaTheme="minorEastAsia" w:hint="eastAsia"/>
                <w:lang w:eastAsia="ja-JP"/>
              </w:rPr>
              <w:t>LBa</w:t>
            </w:r>
            <w:proofErr w:type="spellEnd"/>
            <w:r w:rsidR="006A3268">
              <w:rPr>
                <w:rFonts w:eastAsiaTheme="minorEastAsia" w:hint="eastAsia"/>
                <w:lang w:eastAsia="ja-JP"/>
              </w:rPr>
              <w:t xml:space="preserve"> comments.</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Purpose</w:t>
            </w:r>
          </w:p>
        </w:tc>
        <w:tc>
          <w:tcPr>
            <w:tcW w:w="9018" w:type="dxa"/>
            <w:tcBorders>
              <w:top w:val="single" w:sz="4" w:space="0" w:color="000000"/>
              <w:bottom w:val="single" w:sz="4" w:space="0" w:color="000000"/>
            </w:tcBorders>
          </w:tcPr>
          <w:p w:rsidR="00C567A4" w:rsidRDefault="00C567A4" w:rsidP="00F43D3C">
            <w:pPr>
              <w:pStyle w:val="covertext"/>
              <w:snapToGrid w:val="0"/>
              <w:spacing w:line="240" w:lineRule="exact"/>
            </w:pPr>
            <w:r>
              <w:t>Proposes changes in the current draft</w:t>
            </w:r>
          </w:p>
        </w:tc>
      </w:tr>
      <w:tr w:rsidR="00C567A4" w:rsidRPr="00822D94" w:rsidTr="00E505EA">
        <w:trPr>
          <w:trHeight w:val="840"/>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Notice</w:t>
            </w:r>
          </w:p>
        </w:tc>
        <w:tc>
          <w:tcPr>
            <w:tcW w:w="9018" w:type="dxa"/>
            <w:tcBorders>
              <w:top w:val="single" w:sz="4" w:space="0" w:color="000000"/>
              <w:bottom w:val="single" w:sz="4" w:space="0" w:color="000000"/>
            </w:tcBorders>
          </w:tcPr>
          <w:p w:rsidR="00C567A4" w:rsidRDefault="00C567A4" w:rsidP="00F43D3C">
            <w:pPr>
              <w:pStyle w:val="covertext"/>
              <w:snapToGrid w:val="0"/>
              <w:spacing w:before="0" w:after="0" w:line="240" w:lineRule="exact"/>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567A4" w:rsidRPr="00822D94" w:rsidTr="00E505EA">
        <w:trPr>
          <w:trHeight w:val="1439"/>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Release</w:t>
            </w:r>
          </w:p>
        </w:tc>
        <w:tc>
          <w:tcPr>
            <w:tcW w:w="9018" w:type="dxa"/>
            <w:tcBorders>
              <w:top w:val="single" w:sz="4" w:space="0" w:color="000000"/>
              <w:bottom w:val="single" w:sz="4" w:space="0" w:color="000000"/>
            </w:tcBorders>
          </w:tcPr>
          <w:p w:rsidR="00C567A4" w:rsidRDefault="00C567A4" w:rsidP="00F43D3C">
            <w:pPr>
              <w:pStyle w:val="covertext"/>
              <w:snapToGrid w:val="0"/>
              <w:spacing w:before="0" w:after="0" w:line="240" w:lineRule="exact"/>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802.21 may make this contribution public.</w:t>
            </w:r>
          </w:p>
        </w:tc>
      </w:tr>
      <w:tr w:rsidR="00C567A4" w:rsidRPr="00822D94" w:rsidTr="00E505EA">
        <w:trPr>
          <w:jc w:val="center"/>
        </w:trPr>
        <w:tc>
          <w:tcPr>
            <w:tcW w:w="1350" w:type="dxa"/>
            <w:tcBorders>
              <w:top w:val="single" w:sz="4" w:space="0" w:color="000000"/>
              <w:bottom w:val="single" w:sz="4" w:space="0" w:color="000000"/>
            </w:tcBorders>
          </w:tcPr>
          <w:p w:rsidR="00C567A4" w:rsidRDefault="00C567A4" w:rsidP="00F43D3C">
            <w:pPr>
              <w:pStyle w:val="covertext"/>
              <w:snapToGrid w:val="0"/>
              <w:spacing w:line="240" w:lineRule="exact"/>
            </w:pPr>
            <w:r>
              <w:t>Patent Policy</w:t>
            </w:r>
          </w:p>
        </w:tc>
        <w:tc>
          <w:tcPr>
            <w:tcW w:w="9018" w:type="dxa"/>
            <w:tcBorders>
              <w:top w:val="single" w:sz="4" w:space="0" w:color="000000"/>
              <w:bottom w:val="single" w:sz="4" w:space="0" w:color="000000"/>
            </w:tcBorders>
          </w:tcPr>
          <w:p w:rsidR="00C567A4" w:rsidRPr="00A93AA7" w:rsidRDefault="00C567A4" w:rsidP="00F43D3C">
            <w:pPr>
              <w:snapToGrid w:val="0"/>
              <w:rPr>
                <w:lang w:val="en-US"/>
              </w:rPr>
            </w:pPr>
            <w:r w:rsidRPr="00A93AA7">
              <w:rPr>
                <w:sz w:val="20"/>
                <w:lang w:val="en-US"/>
              </w:rPr>
              <w:t xml:space="preserve">The contributor is familiar with IEEE patent policy, as stated in </w:t>
            </w:r>
            <w:hyperlink r:id="rId8" w:anchor="_blank" w:history="1">
              <w:r w:rsidRPr="00A93AA7">
                <w:rPr>
                  <w:rStyle w:val="ab"/>
                  <w:lang w:val="en-US"/>
                </w:rPr>
                <w:t>Section 6 of the IEEE-SA Standards Board bylaws</w:t>
              </w:r>
            </w:hyperlink>
            <w:r w:rsidRPr="00A93AA7">
              <w:rPr>
                <w:sz w:val="20"/>
                <w:lang w:val="en-US"/>
              </w:rPr>
              <w:t xml:space="preserve"> &lt;</w:t>
            </w:r>
            <w:hyperlink r:id="rId9" w:anchor="_blank" w:history="1">
              <w:r w:rsidRPr="00A93AA7">
                <w:rPr>
                  <w:rStyle w:val="ab"/>
                  <w:lang w:val="en-US"/>
                </w:rPr>
                <w:t>http://standards.ieee.org/guides/bylaws/sect6-7.html#6</w:t>
              </w:r>
            </w:hyperlink>
            <w:r w:rsidRPr="00A93AA7">
              <w:rPr>
                <w:sz w:val="20"/>
                <w:lang w:val="en-US"/>
              </w:rPr>
              <w:t xml:space="preserve">&gt; and in </w:t>
            </w:r>
            <w:r w:rsidRPr="00A93AA7">
              <w:rPr>
                <w:i/>
                <w:iCs/>
                <w:sz w:val="20"/>
                <w:lang w:val="en-US"/>
              </w:rPr>
              <w:t>Understanding Patent Issues During IEEE Standards Development</w:t>
            </w:r>
            <w:r w:rsidRPr="00A93AA7">
              <w:rPr>
                <w:sz w:val="20"/>
                <w:lang w:val="en-US"/>
              </w:rPr>
              <w:t xml:space="preserve"> </w:t>
            </w:r>
            <w:hyperlink r:id="rId10" w:anchor="_blank" w:history="1">
              <w:r w:rsidRPr="00A93AA7">
                <w:rPr>
                  <w:rStyle w:val="ab"/>
                  <w:lang w:val="en-US"/>
                </w:rPr>
                <w:t>http://standards.ieee.org/board/pat/faq.pdf</w:t>
              </w:r>
            </w:hyperlink>
          </w:p>
        </w:tc>
      </w:tr>
    </w:tbl>
    <w:p w:rsidR="00C567A4" w:rsidRDefault="00C567A4" w:rsidP="00F43D3C"/>
    <w:p w:rsidR="00C567A4" w:rsidRDefault="00C567A4" w:rsidP="00F43D3C">
      <w:r>
        <w:br w:type="page"/>
      </w:r>
    </w:p>
    <w:p w:rsidR="00C567A4" w:rsidRDefault="00C567A4" w:rsidP="00F43D3C"/>
    <w:tbl>
      <w:tblPr>
        <w:tblStyle w:val="a3"/>
        <w:tblW w:w="0" w:type="auto"/>
        <w:tblLook w:val="04A0"/>
      </w:tblPr>
      <w:tblGrid>
        <w:gridCol w:w="1809"/>
        <w:gridCol w:w="6911"/>
      </w:tblGrid>
      <w:tr w:rsidR="008034DB" w:rsidTr="00AA102E">
        <w:tc>
          <w:tcPr>
            <w:tcW w:w="1809" w:type="dxa"/>
          </w:tcPr>
          <w:p w:rsidR="008034DB" w:rsidRDefault="008034DB" w:rsidP="00F43D3C">
            <w:pPr>
              <w:spacing w:line="240" w:lineRule="exact"/>
            </w:pPr>
            <w:r>
              <w:t>Ref.</w:t>
            </w:r>
          </w:p>
        </w:tc>
        <w:tc>
          <w:tcPr>
            <w:tcW w:w="6911" w:type="dxa"/>
          </w:tcPr>
          <w:p w:rsidR="008034DB" w:rsidRDefault="008034DB" w:rsidP="00F43D3C">
            <w:pPr>
              <w:spacing w:line="240" w:lineRule="exact"/>
            </w:pPr>
            <w:r>
              <w:t>001</w:t>
            </w:r>
          </w:p>
        </w:tc>
      </w:tr>
      <w:tr w:rsidR="00AA102E" w:rsidTr="00AA102E">
        <w:tc>
          <w:tcPr>
            <w:tcW w:w="1809" w:type="dxa"/>
          </w:tcPr>
          <w:p w:rsidR="00AA102E" w:rsidRDefault="00AA102E" w:rsidP="00F43D3C">
            <w:pPr>
              <w:spacing w:line="240" w:lineRule="exact"/>
            </w:pPr>
            <w:r>
              <w:t>DRAFT  SECTION</w:t>
            </w:r>
          </w:p>
        </w:tc>
        <w:tc>
          <w:tcPr>
            <w:tcW w:w="6911" w:type="dxa"/>
          </w:tcPr>
          <w:p w:rsidR="00AA102E" w:rsidRDefault="00C15B43" w:rsidP="00F43D3C">
            <w:pPr>
              <w:spacing w:line="240" w:lineRule="exact"/>
            </w:pPr>
            <w:r>
              <w:rPr>
                <w:rFonts w:hint="eastAsia"/>
                <w:lang w:eastAsia="ja-JP"/>
              </w:rPr>
              <w:t>7.4.31</w:t>
            </w:r>
            <w:r w:rsidR="00DA4941">
              <w:rPr>
                <w:rFonts w:hint="eastAsia"/>
                <w:lang w:eastAsia="ja-JP"/>
              </w:rPr>
              <w:t xml:space="preserve"> (MIH_Start_Auth)</w:t>
            </w:r>
            <w:r>
              <w:rPr>
                <w:rFonts w:hint="eastAsia"/>
                <w:lang w:eastAsia="ja-JP"/>
              </w:rPr>
              <w:t>, 7.4.32</w:t>
            </w:r>
            <w:r w:rsidR="00DA4941">
              <w:rPr>
                <w:rFonts w:hint="eastAsia"/>
                <w:lang w:eastAsia="ja-JP"/>
              </w:rPr>
              <w:t xml:space="preserve"> (MIH_Auth)</w:t>
            </w:r>
            <w:r>
              <w:rPr>
                <w:rFonts w:hint="eastAsia"/>
                <w:lang w:eastAsia="ja-JP"/>
              </w:rPr>
              <w:t>, 7.4.33</w:t>
            </w:r>
            <w:r w:rsidR="00DA4941">
              <w:rPr>
                <w:rFonts w:hint="eastAsia"/>
                <w:lang w:eastAsia="ja-JP"/>
              </w:rPr>
              <w:t xml:space="preserve"> (MIH_Termination_Auth)</w:t>
            </w:r>
          </w:p>
        </w:tc>
      </w:tr>
      <w:tr w:rsidR="00AA102E" w:rsidTr="00AA102E">
        <w:tc>
          <w:tcPr>
            <w:tcW w:w="1809" w:type="dxa"/>
          </w:tcPr>
          <w:p w:rsidR="00AA102E" w:rsidRDefault="00AA102E" w:rsidP="00F43D3C">
            <w:pPr>
              <w:spacing w:line="240" w:lineRule="exact"/>
            </w:pPr>
            <w:r>
              <w:t>Modification type</w:t>
            </w:r>
          </w:p>
        </w:tc>
        <w:tc>
          <w:tcPr>
            <w:tcW w:w="6911" w:type="dxa"/>
          </w:tcPr>
          <w:p w:rsidR="00AA102E" w:rsidRDefault="00DF7818" w:rsidP="00F43D3C">
            <w:pPr>
              <w:spacing w:line="240" w:lineRule="exact"/>
              <w:rPr>
                <w:lang w:eastAsia="ja-JP"/>
              </w:rPr>
            </w:pPr>
            <w:r>
              <w:rPr>
                <w:rFonts w:hint="eastAsia"/>
                <w:lang w:eastAsia="ja-JP"/>
              </w:rPr>
              <w:t>DELETE</w:t>
            </w:r>
          </w:p>
        </w:tc>
      </w:tr>
      <w:tr w:rsidR="00AA102E" w:rsidRPr="00FF4031" w:rsidTr="00AA102E">
        <w:tc>
          <w:tcPr>
            <w:tcW w:w="1809" w:type="dxa"/>
          </w:tcPr>
          <w:p w:rsidR="00AA102E" w:rsidRPr="00FF4031" w:rsidRDefault="00AA102E" w:rsidP="00F43D3C">
            <w:pPr>
              <w:spacing w:line="240" w:lineRule="exact"/>
              <w:rPr>
                <w:color w:val="000000" w:themeColor="text1"/>
              </w:rPr>
            </w:pPr>
            <w:r w:rsidRPr="00FF4031">
              <w:rPr>
                <w:color w:val="000000" w:themeColor="text1"/>
              </w:rPr>
              <w:t>Text</w:t>
            </w:r>
          </w:p>
        </w:tc>
        <w:tc>
          <w:tcPr>
            <w:tcW w:w="6911" w:type="dxa"/>
          </w:tcPr>
          <w:p w:rsidR="00AA102E" w:rsidRPr="00FF4031" w:rsidRDefault="00B141BF" w:rsidP="00F43D3C">
            <w:pPr>
              <w:spacing w:line="240" w:lineRule="exact"/>
              <w:rPr>
                <w:color w:val="000000" w:themeColor="text1"/>
                <w:lang w:eastAsia="ja-JP"/>
              </w:rPr>
            </w:pPr>
            <w:r>
              <w:rPr>
                <w:rFonts w:hint="eastAsia"/>
                <w:color w:val="000000" w:themeColor="text1"/>
                <w:lang w:eastAsia="ja-JP"/>
              </w:rPr>
              <w:t xml:space="preserve">Remove </w:t>
            </w:r>
            <w:r w:rsidR="00677A0D">
              <w:rPr>
                <w:rFonts w:hint="eastAsia"/>
                <w:color w:val="000000" w:themeColor="text1"/>
                <w:lang w:eastAsia="ja-JP"/>
              </w:rPr>
              <w:t>above mentioned clauses.</w:t>
            </w:r>
          </w:p>
        </w:tc>
      </w:tr>
    </w:tbl>
    <w:p w:rsidR="00AA102E" w:rsidRDefault="00AA102E" w:rsidP="00F43D3C"/>
    <w:tbl>
      <w:tblPr>
        <w:tblStyle w:val="a3"/>
        <w:tblW w:w="0" w:type="auto"/>
        <w:tblLook w:val="04A0"/>
      </w:tblPr>
      <w:tblGrid>
        <w:gridCol w:w="1799"/>
        <w:gridCol w:w="6921"/>
      </w:tblGrid>
      <w:tr w:rsidR="008034DB" w:rsidRPr="00FF4031" w:rsidTr="00EE6484">
        <w:tc>
          <w:tcPr>
            <w:tcW w:w="1809" w:type="dxa"/>
          </w:tcPr>
          <w:p w:rsidR="008034DB" w:rsidRPr="00FF4031" w:rsidRDefault="008034DB" w:rsidP="00F43D3C">
            <w:pPr>
              <w:spacing w:line="240" w:lineRule="exact"/>
              <w:rPr>
                <w:color w:val="000000" w:themeColor="text1"/>
              </w:rPr>
            </w:pPr>
            <w:r>
              <w:rPr>
                <w:color w:val="000000" w:themeColor="text1"/>
              </w:rPr>
              <w:t>Ref.</w:t>
            </w:r>
          </w:p>
        </w:tc>
        <w:tc>
          <w:tcPr>
            <w:tcW w:w="6911" w:type="dxa"/>
          </w:tcPr>
          <w:p w:rsidR="008034DB" w:rsidRPr="00FF4031" w:rsidRDefault="008034DB" w:rsidP="00F43D3C">
            <w:pPr>
              <w:spacing w:line="240" w:lineRule="exact"/>
              <w:rPr>
                <w:color w:val="000000" w:themeColor="text1"/>
              </w:rPr>
            </w:pPr>
            <w:r>
              <w:rPr>
                <w:color w:val="000000" w:themeColor="text1"/>
              </w:rPr>
              <w:t>002</w:t>
            </w:r>
          </w:p>
        </w:tc>
      </w:tr>
      <w:tr w:rsidR="00484ED7" w:rsidRPr="00FF4031" w:rsidTr="00EE6484">
        <w:tc>
          <w:tcPr>
            <w:tcW w:w="1809" w:type="dxa"/>
          </w:tcPr>
          <w:p w:rsidR="00484ED7" w:rsidRPr="00FF4031" w:rsidRDefault="00484ED7" w:rsidP="00F43D3C">
            <w:pPr>
              <w:spacing w:line="240" w:lineRule="exact"/>
              <w:rPr>
                <w:color w:val="000000" w:themeColor="text1"/>
              </w:rPr>
            </w:pPr>
            <w:r w:rsidRPr="00FF4031">
              <w:rPr>
                <w:color w:val="000000" w:themeColor="text1"/>
              </w:rPr>
              <w:t>DRAFT  SECTION</w:t>
            </w:r>
          </w:p>
        </w:tc>
        <w:tc>
          <w:tcPr>
            <w:tcW w:w="6911" w:type="dxa"/>
          </w:tcPr>
          <w:p w:rsidR="00484ED7" w:rsidRPr="00FF4031" w:rsidRDefault="004317EE" w:rsidP="00F43D3C">
            <w:pPr>
              <w:spacing w:line="240" w:lineRule="exact"/>
              <w:rPr>
                <w:color w:val="000000" w:themeColor="text1"/>
                <w:lang w:eastAsia="ja-JP"/>
              </w:rPr>
            </w:pPr>
            <w:r>
              <w:rPr>
                <w:rFonts w:hint="eastAsia"/>
                <w:color w:val="000000" w:themeColor="text1"/>
                <w:lang w:eastAsia="ja-JP"/>
              </w:rPr>
              <w:t xml:space="preserve">9.1.2.1 </w:t>
            </w:r>
            <w:r w:rsidRPr="004317EE">
              <w:rPr>
                <w:b/>
                <w:bCs/>
                <w:color w:val="000000" w:themeColor="text1"/>
                <w:lang w:val="en-US" w:eastAsia="ja-JP"/>
              </w:rPr>
              <w:t>MIH service access authentication</w:t>
            </w:r>
          </w:p>
        </w:tc>
      </w:tr>
      <w:tr w:rsidR="00484ED7" w:rsidRPr="00FF4031" w:rsidTr="00EE6484">
        <w:tc>
          <w:tcPr>
            <w:tcW w:w="1809" w:type="dxa"/>
          </w:tcPr>
          <w:p w:rsidR="00484ED7" w:rsidRPr="00FF4031" w:rsidRDefault="00484ED7" w:rsidP="00F43D3C">
            <w:pPr>
              <w:spacing w:line="240" w:lineRule="exact"/>
              <w:rPr>
                <w:color w:val="000000" w:themeColor="text1"/>
              </w:rPr>
            </w:pPr>
            <w:r w:rsidRPr="00FF4031">
              <w:rPr>
                <w:color w:val="000000" w:themeColor="text1"/>
              </w:rPr>
              <w:t>Modification type</w:t>
            </w:r>
          </w:p>
        </w:tc>
        <w:tc>
          <w:tcPr>
            <w:tcW w:w="6911" w:type="dxa"/>
          </w:tcPr>
          <w:p w:rsidR="00484ED7" w:rsidRPr="00FF4031" w:rsidRDefault="00DF7818" w:rsidP="00F43D3C">
            <w:pPr>
              <w:spacing w:line="240" w:lineRule="exact"/>
              <w:rPr>
                <w:color w:val="000000" w:themeColor="text1"/>
                <w:lang w:eastAsia="ja-JP"/>
              </w:rPr>
            </w:pPr>
            <w:r>
              <w:rPr>
                <w:rFonts w:hint="eastAsia"/>
                <w:color w:val="000000" w:themeColor="text1"/>
                <w:lang w:eastAsia="ja-JP"/>
              </w:rPr>
              <w:t>REPLACE</w:t>
            </w:r>
          </w:p>
        </w:tc>
      </w:tr>
      <w:tr w:rsidR="00484ED7" w:rsidRPr="00FF4031" w:rsidTr="00EE6484">
        <w:tc>
          <w:tcPr>
            <w:tcW w:w="1809" w:type="dxa"/>
          </w:tcPr>
          <w:p w:rsidR="00484ED7" w:rsidRPr="00FF4031" w:rsidRDefault="00484ED7" w:rsidP="00F43D3C">
            <w:pPr>
              <w:spacing w:line="240" w:lineRule="exact"/>
              <w:rPr>
                <w:color w:val="000000" w:themeColor="text1"/>
              </w:rPr>
            </w:pPr>
            <w:r w:rsidRPr="00FF4031">
              <w:rPr>
                <w:color w:val="000000" w:themeColor="text1"/>
              </w:rPr>
              <w:t>Text</w:t>
            </w:r>
          </w:p>
        </w:tc>
        <w:tc>
          <w:tcPr>
            <w:tcW w:w="6911" w:type="dxa"/>
          </w:tcPr>
          <w:p w:rsidR="00484ED7" w:rsidRDefault="004317EE" w:rsidP="00F43D3C">
            <w:pPr>
              <w:spacing w:line="240" w:lineRule="exact"/>
              <w:ind w:left="34"/>
              <w:rPr>
                <w:color w:val="000000" w:themeColor="text1"/>
                <w:lang w:val="en-US" w:eastAsia="ja-JP"/>
              </w:rPr>
            </w:pPr>
            <w:r w:rsidRPr="004317EE">
              <w:rPr>
                <w:color w:val="000000" w:themeColor="text1"/>
                <w:lang w:val="en-US" w:eastAsia="ja-JP"/>
              </w:rPr>
              <w:t xml:space="preserve">This clause describes MIH service access authentication process. </w:t>
            </w:r>
            <w:r w:rsidRPr="007C413C">
              <w:rPr>
                <w:strike/>
                <w:color w:val="FF0000"/>
                <w:lang w:val="en-US" w:eastAsia="ja-JP"/>
              </w:rPr>
              <w:t>The primitives are specified in Clause 7.4.</w:t>
            </w:r>
          </w:p>
          <w:p w:rsidR="004317EE" w:rsidRDefault="004317EE" w:rsidP="00F43D3C">
            <w:pPr>
              <w:spacing w:line="240" w:lineRule="exact"/>
              <w:ind w:left="34"/>
              <w:rPr>
                <w:color w:val="000000" w:themeColor="text1"/>
                <w:lang w:val="en-US" w:eastAsia="ja-JP"/>
              </w:rPr>
            </w:pPr>
          </w:p>
          <w:p w:rsidR="004317EE" w:rsidRDefault="004317EE" w:rsidP="00F43D3C">
            <w:pPr>
              <w:spacing w:line="240" w:lineRule="exact"/>
              <w:ind w:left="34"/>
              <w:rPr>
                <w:color w:val="000000" w:themeColor="text1"/>
                <w:lang w:val="en-US" w:eastAsia="ja-JP"/>
              </w:rPr>
            </w:pPr>
            <w:r w:rsidRPr="004317EE">
              <w:rPr>
                <w:color w:val="000000" w:themeColor="text1"/>
                <w:lang w:val="en-US" w:eastAsia="ja-JP"/>
              </w:rPr>
              <w:t xml:space="preserve">In this standard, it is assumed that EAP [RFC3748] or EAP Re-authentication (ERP) [RFC5296] is used as the authentication protocol with an MN as the peer and </w:t>
            </w:r>
            <w:proofErr w:type="gramStart"/>
            <w:r w:rsidRPr="004317EE">
              <w:rPr>
                <w:color w:val="000000" w:themeColor="text1"/>
                <w:lang w:val="en-US" w:eastAsia="ja-JP"/>
              </w:rPr>
              <w:t xml:space="preserve">a </w:t>
            </w:r>
            <w:proofErr w:type="spellStart"/>
            <w:r w:rsidRPr="004317EE">
              <w:rPr>
                <w:color w:val="000000" w:themeColor="text1"/>
                <w:lang w:val="en-US" w:eastAsia="ja-JP"/>
              </w:rPr>
              <w:t>PoS</w:t>
            </w:r>
            <w:proofErr w:type="spellEnd"/>
            <w:proofErr w:type="gramEnd"/>
            <w:r w:rsidRPr="004317EE">
              <w:rPr>
                <w:color w:val="000000" w:themeColor="text1"/>
                <w:lang w:val="en-US" w:eastAsia="ja-JP"/>
              </w:rPr>
              <w:t xml:space="preserve"> as the authenticator. An EAP server may be used as a backend server.</w:t>
            </w:r>
          </w:p>
          <w:p w:rsidR="004317EE" w:rsidRDefault="003D1237" w:rsidP="00F43D3C">
            <w:pPr>
              <w:spacing w:line="240" w:lineRule="exact"/>
              <w:ind w:left="34"/>
              <w:rPr>
                <w:color w:val="000000" w:themeColor="text1"/>
                <w:lang w:val="en-US" w:eastAsia="ja-JP"/>
              </w:rPr>
            </w:pPr>
            <w:r>
              <w:rPr>
                <w:noProof/>
                <w:color w:val="000000" w:themeColor="text1"/>
                <w:lang w:val="en-US" w:eastAsia="ja-JP"/>
              </w:rPr>
              <w:pict>
                <v:group id="_x0000_s1027" editas="canvas" style="position:absolute;left:0;text-align:left;margin-left:1.7pt;margin-top:157.95pt;width:334.75pt;height:155.25pt;z-index:251662336" coordorigin="2362,9054" coordsize="7200,33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362;top:9054;width:7200;height:3340" o:preferrelative="f">
                    <v:fill o:detectmouseclick="t"/>
                    <v:path o:extrusionok="t" o:connecttype="none"/>
                    <o:lock v:ext="edit" text="t"/>
                  </v:shape>
                  <w10:wrap type="topAndBottom"/>
                </v:group>
              </w:pict>
            </w:r>
          </w:p>
          <w:p w:rsidR="004317EE" w:rsidRDefault="004317EE" w:rsidP="00F43D3C">
            <w:pPr>
              <w:spacing w:line="240" w:lineRule="exact"/>
              <w:ind w:left="34"/>
              <w:rPr>
                <w:color w:val="000000" w:themeColor="text1"/>
                <w:lang w:val="en-US" w:eastAsia="ja-JP"/>
              </w:rPr>
            </w:pPr>
            <w:r w:rsidRPr="004317EE">
              <w:rPr>
                <w:color w:val="000000" w:themeColor="text1"/>
                <w:lang w:val="en-US" w:eastAsia="ja-JP"/>
              </w:rPr>
              <w:t xml:space="preserve">For the interface between an MN and </w:t>
            </w:r>
            <w:proofErr w:type="gramStart"/>
            <w:r w:rsidRPr="004317EE">
              <w:rPr>
                <w:color w:val="000000" w:themeColor="text1"/>
                <w:lang w:val="en-US" w:eastAsia="ja-JP"/>
              </w:rPr>
              <w:t xml:space="preserve">a </w:t>
            </w:r>
            <w:proofErr w:type="spellStart"/>
            <w:r w:rsidRPr="004317EE">
              <w:rPr>
                <w:color w:val="000000" w:themeColor="text1"/>
                <w:lang w:val="en-US" w:eastAsia="ja-JP"/>
              </w:rPr>
              <w:t>PoS</w:t>
            </w:r>
            <w:proofErr w:type="spellEnd"/>
            <w:proofErr w:type="gramEnd"/>
            <w:r w:rsidRPr="004317EE">
              <w:rPr>
                <w:color w:val="000000" w:themeColor="text1"/>
                <w:lang w:val="en-US" w:eastAsia="ja-JP"/>
              </w:rPr>
              <w:t xml:space="preserve">, the MIH protocol is acting as an EAP lower layer. That is, at the MN, an EAP message is generated at an MIH user and then passed to the MIHF. When it reaches the </w:t>
            </w:r>
            <w:proofErr w:type="spellStart"/>
            <w:r w:rsidRPr="004317EE">
              <w:rPr>
                <w:color w:val="000000" w:themeColor="text1"/>
                <w:lang w:val="en-US" w:eastAsia="ja-JP"/>
              </w:rPr>
              <w:t>PoS</w:t>
            </w:r>
            <w:proofErr w:type="spellEnd"/>
            <w:r w:rsidRPr="004317EE">
              <w:rPr>
                <w:color w:val="000000" w:themeColor="text1"/>
                <w:lang w:val="en-US" w:eastAsia="ja-JP"/>
              </w:rPr>
              <w:t xml:space="preserve">, the MIHF in the </w:t>
            </w:r>
            <w:proofErr w:type="spellStart"/>
            <w:r w:rsidRPr="004317EE">
              <w:rPr>
                <w:color w:val="000000" w:themeColor="text1"/>
                <w:lang w:val="en-US" w:eastAsia="ja-JP"/>
              </w:rPr>
              <w:t>PoS</w:t>
            </w:r>
            <w:proofErr w:type="spellEnd"/>
            <w:r w:rsidRPr="004317EE">
              <w:rPr>
                <w:color w:val="000000" w:themeColor="text1"/>
                <w:lang w:val="en-US" w:eastAsia="ja-JP"/>
              </w:rPr>
              <w:t xml:space="preserve"> will pass the EAP message to the </w:t>
            </w:r>
            <w:r w:rsidRPr="00CD5779">
              <w:rPr>
                <w:strike/>
                <w:color w:val="FF0000"/>
                <w:lang w:val="en-US" w:eastAsia="ja-JP"/>
              </w:rPr>
              <w:t xml:space="preserve">MIH user </w:t>
            </w:r>
            <w:r w:rsidR="00CD5779" w:rsidRPr="00CD5779">
              <w:rPr>
                <w:rFonts w:hint="eastAsia"/>
                <w:color w:val="FF0000"/>
                <w:lang w:val="en-US" w:eastAsia="ja-JP"/>
              </w:rPr>
              <w:t>MIHF</w:t>
            </w:r>
            <w:r w:rsidR="00CD5779">
              <w:rPr>
                <w:rFonts w:hint="eastAsia"/>
                <w:color w:val="FF0000"/>
                <w:lang w:val="en-US" w:eastAsia="ja-JP"/>
              </w:rPr>
              <w:t xml:space="preserve"> </w:t>
            </w:r>
            <w:r w:rsidRPr="004317EE">
              <w:rPr>
                <w:color w:val="000000" w:themeColor="text1"/>
                <w:lang w:val="en-US" w:eastAsia="ja-JP"/>
              </w:rPr>
              <w:t xml:space="preserve">to process it. For an EAP message from the </w:t>
            </w:r>
            <w:proofErr w:type="spellStart"/>
            <w:r w:rsidRPr="004317EE">
              <w:rPr>
                <w:color w:val="000000" w:themeColor="text1"/>
                <w:lang w:val="en-US" w:eastAsia="ja-JP"/>
              </w:rPr>
              <w:t>PoS</w:t>
            </w:r>
            <w:proofErr w:type="spellEnd"/>
            <w:r w:rsidRPr="004317EE">
              <w:rPr>
                <w:color w:val="000000" w:themeColor="text1"/>
                <w:lang w:val="en-US" w:eastAsia="ja-JP"/>
              </w:rPr>
              <w:t xml:space="preserve"> to the MN, it will also be generated by the </w:t>
            </w:r>
            <w:r w:rsidRPr="00CD5779">
              <w:rPr>
                <w:strike/>
                <w:color w:val="FF0000"/>
                <w:lang w:val="en-US" w:eastAsia="ja-JP"/>
              </w:rPr>
              <w:t xml:space="preserve">MIH user </w:t>
            </w:r>
            <w:r w:rsidR="00CD5779" w:rsidRPr="00CD5779">
              <w:rPr>
                <w:rFonts w:hint="eastAsia"/>
                <w:color w:val="FF0000"/>
                <w:lang w:val="en-US" w:eastAsia="ja-JP"/>
              </w:rPr>
              <w:t>MIHF</w:t>
            </w:r>
            <w:r w:rsidR="00CD5779" w:rsidRPr="00CD5779">
              <w:rPr>
                <w:rFonts w:hint="eastAsia"/>
                <w:strike/>
                <w:color w:val="FF0000"/>
                <w:lang w:val="en-US" w:eastAsia="ja-JP"/>
              </w:rPr>
              <w:t xml:space="preserve"> </w:t>
            </w:r>
            <w:r w:rsidRPr="00CD5779">
              <w:rPr>
                <w:strike/>
                <w:color w:val="FF0000"/>
                <w:lang w:val="en-US" w:eastAsia="ja-JP"/>
              </w:rPr>
              <w:t xml:space="preserve">and passes to the MIHF </w:t>
            </w:r>
            <w:r w:rsidRPr="004317EE">
              <w:rPr>
                <w:color w:val="000000" w:themeColor="text1"/>
                <w:lang w:val="en-US" w:eastAsia="ja-JP"/>
              </w:rPr>
              <w:t xml:space="preserve">in the </w:t>
            </w:r>
            <w:proofErr w:type="spellStart"/>
            <w:r w:rsidRPr="004317EE">
              <w:rPr>
                <w:color w:val="000000" w:themeColor="text1"/>
                <w:lang w:val="en-US" w:eastAsia="ja-JP"/>
              </w:rPr>
              <w:t>PoS.</w:t>
            </w:r>
            <w:proofErr w:type="spellEnd"/>
            <w:r w:rsidRPr="004317EE">
              <w:rPr>
                <w:color w:val="000000" w:themeColor="text1"/>
                <w:lang w:val="en-US" w:eastAsia="ja-JP"/>
              </w:rPr>
              <w:t xml:space="preserve"> At the MN, the EAP message is passed to the </w:t>
            </w:r>
            <w:r w:rsidRPr="00CD5779">
              <w:rPr>
                <w:strike/>
                <w:color w:val="FF0000"/>
                <w:lang w:val="en-US" w:eastAsia="ja-JP"/>
              </w:rPr>
              <w:t xml:space="preserve">MIH user </w:t>
            </w:r>
            <w:r w:rsidR="00CD5779" w:rsidRPr="00CD5779">
              <w:rPr>
                <w:rFonts w:hint="eastAsia"/>
                <w:color w:val="FF0000"/>
                <w:lang w:val="en-US" w:eastAsia="ja-JP"/>
              </w:rPr>
              <w:t>MIHF</w:t>
            </w:r>
            <w:r w:rsidR="00CD5779">
              <w:rPr>
                <w:rFonts w:hint="eastAsia"/>
                <w:color w:val="000000" w:themeColor="text1"/>
                <w:lang w:val="en-US" w:eastAsia="ja-JP"/>
              </w:rPr>
              <w:t xml:space="preserve"> </w:t>
            </w:r>
            <w:r w:rsidRPr="004317EE">
              <w:rPr>
                <w:color w:val="000000" w:themeColor="text1"/>
                <w:lang w:val="en-US" w:eastAsia="ja-JP"/>
              </w:rPr>
              <w:t>to process. The protocol stack is illustrated in Figure 33, where it is assumed that an EAP server is employed. After a successful authentication, a master session key (MSK) is exported to the lower layer, that is, MIH layer. In 9.1.2.2, we will see that an MSK is used to further derive MIH message protection keys.</w:t>
            </w:r>
          </w:p>
          <w:p w:rsidR="00CD5779" w:rsidRDefault="00CD5779" w:rsidP="00F43D3C">
            <w:pPr>
              <w:spacing w:line="240" w:lineRule="exact"/>
              <w:ind w:left="34"/>
              <w:rPr>
                <w:color w:val="000000" w:themeColor="text1"/>
                <w:lang w:val="en-US" w:eastAsia="ja-JP"/>
              </w:rPr>
            </w:pPr>
          </w:p>
          <w:p w:rsidR="00CE2028" w:rsidRPr="00CE2028" w:rsidRDefault="00F43D3C" w:rsidP="00F43D3C">
            <w:pPr>
              <w:spacing w:line="240" w:lineRule="exact"/>
              <w:ind w:left="34"/>
              <w:rPr>
                <w:color w:val="000000" w:themeColor="text1"/>
                <w:lang w:val="en-US" w:eastAsia="ja-JP"/>
              </w:rPr>
            </w:pPr>
            <w:r>
              <w:rPr>
                <w:rFonts w:hint="eastAsia"/>
                <w:noProof/>
                <w:color w:val="000000" w:themeColor="text1"/>
                <w:lang w:val="en-US" w:eastAsia="ja-JP"/>
              </w:rPr>
              <w:drawing>
                <wp:anchor distT="0" distB="0" distL="114300" distR="114300" simplePos="0" relativeHeight="251658240" behindDoc="0" locked="0" layoutInCell="1" allowOverlap="1">
                  <wp:simplePos x="0" y="0"/>
                  <wp:positionH relativeFrom="column">
                    <wp:posOffset>69215</wp:posOffset>
                  </wp:positionH>
                  <wp:positionV relativeFrom="paragraph">
                    <wp:posOffset>208280</wp:posOffset>
                  </wp:positionV>
                  <wp:extent cx="3965575" cy="1651000"/>
                  <wp:effectExtent l="1905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965575" cy="1651000"/>
                          </a:xfrm>
                          <a:prstGeom prst="rect">
                            <a:avLst/>
                          </a:prstGeom>
                          <a:noFill/>
                          <a:ln w="9525">
                            <a:noFill/>
                            <a:miter lim="800000"/>
                            <a:headEnd/>
                            <a:tailEnd/>
                          </a:ln>
                        </pic:spPr>
                      </pic:pic>
                    </a:graphicData>
                  </a:graphic>
                </wp:anchor>
              </w:drawing>
            </w:r>
          </w:p>
          <w:p w:rsidR="00CE2028" w:rsidRDefault="00CE2028" w:rsidP="00F43D3C">
            <w:pPr>
              <w:spacing w:line="240" w:lineRule="exact"/>
              <w:ind w:left="34"/>
              <w:rPr>
                <w:b/>
                <w:bCs/>
                <w:color w:val="000000" w:themeColor="text1"/>
                <w:lang w:val="en-US" w:eastAsia="ja-JP"/>
              </w:rPr>
            </w:pPr>
            <w:r w:rsidRPr="00CE2028">
              <w:rPr>
                <w:b/>
                <w:bCs/>
                <w:color w:val="000000" w:themeColor="text1"/>
                <w:lang w:val="en-US" w:eastAsia="ja-JP"/>
              </w:rPr>
              <w:t>Figure 33—Protocol Stack of Service Access Authentication (with an EAP Server)</w:t>
            </w:r>
          </w:p>
          <w:p w:rsidR="00CE2028" w:rsidRPr="00DF7818" w:rsidRDefault="00CE2028" w:rsidP="00F43D3C">
            <w:pPr>
              <w:spacing w:line="240" w:lineRule="exact"/>
              <w:ind w:left="34"/>
              <w:rPr>
                <w:color w:val="000000" w:themeColor="text1"/>
                <w:lang w:val="en-US" w:eastAsia="ja-JP"/>
              </w:rPr>
            </w:pPr>
          </w:p>
          <w:p w:rsidR="00CD5779" w:rsidRPr="00CD5779" w:rsidRDefault="00CD5779" w:rsidP="00F43D3C">
            <w:pPr>
              <w:spacing w:line="240" w:lineRule="exact"/>
              <w:ind w:left="34"/>
              <w:rPr>
                <w:color w:val="000000" w:themeColor="text1"/>
                <w:lang w:val="en-US" w:eastAsia="ja-JP"/>
              </w:rPr>
            </w:pPr>
            <w:r w:rsidRPr="00CD5779">
              <w:rPr>
                <w:color w:val="000000" w:themeColor="text1"/>
                <w:lang w:val="en-US" w:eastAsia="ja-JP"/>
              </w:rPr>
              <w:t>The authentication is divided to the following phases:</w:t>
            </w:r>
          </w:p>
          <w:p w:rsidR="00CD5779" w:rsidRPr="00CD5779" w:rsidRDefault="00CD5779" w:rsidP="00F43D3C">
            <w:pPr>
              <w:spacing w:line="240" w:lineRule="exact"/>
              <w:ind w:left="34"/>
              <w:rPr>
                <w:color w:val="000000" w:themeColor="text1"/>
                <w:lang w:val="en-US" w:eastAsia="ja-JP"/>
              </w:rPr>
            </w:pPr>
            <w:proofErr w:type="gramStart"/>
            <w:r w:rsidRPr="00CD5779">
              <w:rPr>
                <w:color w:val="000000" w:themeColor="text1"/>
                <w:lang w:val="en-US" w:eastAsia="ja-JP"/>
              </w:rPr>
              <w:t>a)</w:t>
            </w:r>
            <w:proofErr w:type="gramEnd"/>
            <w:r w:rsidRPr="00CD5779">
              <w:rPr>
                <w:i/>
                <w:iCs/>
                <w:color w:val="000000" w:themeColor="text1"/>
                <w:lang w:val="en-US" w:eastAsia="ja-JP"/>
              </w:rPr>
              <w:t>Capability Discovery Phase</w:t>
            </w:r>
            <w:r w:rsidRPr="00CD5779">
              <w:rPr>
                <w:color w:val="000000" w:themeColor="text1"/>
                <w:lang w:val="en-US" w:eastAsia="ja-JP"/>
              </w:rPr>
              <w:t xml:space="preserve">. In this phase, both the MN and the </w:t>
            </w:r>
            <w:proofErr w:type="spellStart"/>
            <w:r w:rsidRPr="00CD5779">
              <w:rPr>
                <w:color w:val="000000" w:themeColor="text1"/>
                <w:lang w:val="en-US" w:eastAsia="ja-JP"/>
              </w:rPr>
              <w:t>PoS</w:t>
            </w:r>
            <w:proofErr w:type="spellEnd"/>
            <w:r w:rsidRPr="00CD5779">
              <w:rPr>
                <w:color w:val="000000" w:themeColor="text1"/>
                <w:lang w:val="en-US" w:eastAsia="ja-JP"/>
              </w:rPr>
              <w:t xml:space="preserve"> exchange unprotected MIH messages for an MN to discover services </w:t>
            </w:r>
            <w:proofErr w:type="gramStart"/>
            <w:r w:rsidRPr="00CD5779">
              <w:rPr>
                <w:color w:val="000000" w:themeColor="text1"/>
                <w:lang w:val="en-US" w:eastAsia="ja-JP"/>
              </w:rPr>
              <w:t xml:space="preserve">a </w:t>
            </w:r>
            <w:proofErr w:type="spellStart"/>
            <w:r w:rsidRPr="00CD5779">
              <w:rPr>
                <w:color w:val="000000" w:themeColor="text1"/>
                <w:lang w:val="en-US" w:eastAsia="ja-JP"/>
              </w:rPr>
              <w:t>PoS</w:t>
            </w:r>
            <w:proofErr w:type="spellEnd"/>
            <w:proofErr w:type="gramEnd"/>
            <w:r w:rsidRPr="00CD5779">
              <w:rPr>
                <w:color w:val="000000" w:themeColor="text1"/>
                <w:lang w:val="en-US" w:eastAsia="ja-JP"/>
              </w:rPr>
              <w:t xml:space="preserve"> can provide.</w:t>
            </w:r>
          </w:p>
          <w:p w:rsidR="00CD5779" w:rsidRDefault="00CD5779" w:rsidP="00F43D3C">
            <w:pPr>
              <w:spacing w:line="240" w:lineRule="exact"/>
              <w:ind w:left="34"/>
              <w:rPr>
                <w:color w:val="000000" w:themeColor="text1"/>
                <w:lang w:val="en-US" w:eastAsia="ja-JP"/>
              </w:rPr>
            </w:pPr>
            <w:proofErr w:type="gramStart"/>
            <w:r w:rsidRPr="00CD5779">
              <w:rPr>
                <w:color w:val="000000" w:themeColor="text1"/>
                <w:lang w:val="en-US" w:eastAsia="ja-JP"/>
              </w:rPr>
              <w:t>b)</w:t>
            </w:r>
            <w:proofErr w:type="gramEnd"/>
            <w:r w:rsidRPr="00CD5779">
              <w:rPr>
                <w:i/>
                <w:iCs/>
                <w:color w:val="000000" w:themeColor="text1"/>
                <w:lang w:val="en-US" w:eastAsia="ja-JP"/>
              </w:rPr>
              <w:t>Media Independent Service Authentication phase</w:t>
            </w:r>
            <w:r w:rsidRPr="00CD5779">
              <w:rPr>
                <w:color w:val="000000" w:themeColor="text1"/>
                <w:lang w:val="en-US" w:eastAsia="ja-JP"/>
              </w:rPr>
              <w:t xml:space="preserve">. </w:t>
            </w:r>
            <w:r w:rsidR="003241B3">
              <w:rPr>
                <w:rFonts w:hint="eastAsia"/>
                <w:color w:val="FF0000"/>
                <w:lang w:val="en-US" w:eastAsia="ja-JP"/>
              </w:rPr>
              <w:t xml:space="preserve">This phase is entered after the capability discovery phase and before exchanging any MIH messages other than those used in the capability discovery phase.  </w:t>
            </w:r>
            <w:r w:rsidRPr="00CD5779">
              <w:rPr>
                <w:color w:val="000000" w:themeColor="text1"/>
                <w:lang w:val="en-US" w:eastAsia="ja-JP"/>
              </w:rPr>
              <w:t xml:space="preserve">Before starting the MIH access authentication, the MN and the </w:t>
            </w:r>
            <w:proofErr w:type="spellStart"/>
            <w:r w:rsidRPr="00CD5779">
              <w:rPr>
                <w:color w:val="000000" w:themeColor="text1"/>
                <w:lang w:val="en-US" w:eastAsia="ja-JP"/>
              </w:rPr>
              <w:t>PoS</w:t>
            </w:r>
            <w:proofErr w:type="spellEnd"/>
            <w:r w:rsidRPr="00CD5779">
              <w:rPr>
                <w:color w:val="000000" w:themeColor="text1"/>
                <w:lang w:val="en-US" w:eastAsia="ja-JP"/>
              </w:rPr>
              <w:t xml:space="preserve"> perform a </w:t>
            </w:r>
            <w:r w:rsidRPr="00CD5779">
              <w:rPr>
                <w:color w:val="000000" w:themeColor="text1"/>
                <w:lang w:val="en-US" w:eastAsia="ja-JP"/>
              </w:rPr>
              <w:lastRenderedPageBreak/>
              <w:t xml:space="preserve">negotiation in order to agree on a </w:t>
            </w:r>
            <w:proofErr w:type="spellStart"/>
            <w:r w:rsidRPr="00CD5779">
              <w:rPr>
                <w:color w:val="000000" w:themeColor="text1"/>
                <w:lang w:val="en-US" w:eastAsia="ja-JP"/>
              </w:rPr>
              <w:t>ciphersuite</w:t>
            </w:r>
            <w:proofErr w:type="spellEnd"/>
            <w:r w:rsidRPr="00CD5779">
              <w:rPr>
                <w:color w:val="000000" w:themeColor="text1"/>
                <w:lang w:val="en-US" w:eastAsia="ja-JP"/>
              </w:rPr>
              <w:t xml:space="preserve"> and other useful parameters to be used in the authentication and MIH message protection. The negotiation can be initiated either by the MN or by the </w:t>
            </w:r>
            <w:proofErr w:type="spellStart"/>
            <w:r w:rsidRPr="00CD5779">
              <w:rPr>
                <w:color w:val="000000" w:themeColor="text1"/>
                <w:lang w:val="en-US" w:eastAsia="ja-JP"/>
              </w:rPr>
              <w:t>PoS.</w:t>
            </w:r>
            <w:proofErr w:type="spellEnd"/>
            <w:r w:rsidRPr="00CD5779">
              <w:rPr>
                <w:color w:val="000000" w:themeColor="text1"/>
                <w:lang w:val="en-US" w:eastAsia="ja-JP"/>
              </w:rPr>
              <w:t xml:space="preserve"> Once the negotiation is completed, the MN (acting as the EAP peer) authenticates against the </w:t>
            </w:r>
            <w:proofErr w:type="spellStart"/>
            <w:r w:rsidRPr="00CD5779">
              <w:rPr>
                <w:color w:val="000000" w:themeColor="text1"/>
                <w:lang w:val="en-US" w:eastAsia="ja-JP"/>
              </w:rPr>
              <w:t>PoS</w:t>
            </w:r>
            <w:proofErr w:type="spellEnd"/>
            <w:r w:rsidRPr="00CD5779">
              <w:rPr>
                <w:color w:val="000000" w:themeColor="text1"/>
                <w:lang w:val="en-US" w:eastAsia="ja-JP"/>
              </w:rPr>
              <w:t xml:space="preserve"> (acting as an EAP authenticator). To achieve this, EAP is transported by MIH protocol to the current </w:t>
            </w:r>
            <w:proofErr w:type="spellStart"/>
            <w:r w:rsidRPr="00CD5779">
              <w:rPr>
                <w:color w:val="000000" w:themeColor="text1"/>
                <w:lang w:val="en-US" w:eastAsia="ja-JP"/>
              </w:rPr>
              <w:t>PoS</w:t>
            </w:r>
            <w:proofErr w:type="spellEnd"/>
            <w:r w:rsidRPr="00CD5779">
              <w:rPr>
                <w:color w:val="000000" w:themeColor="text1"/>
                <w:lang w:val="en-US" w:eastAsia="ja-JP"/>
              </w:rPr>
              <w:t xml:space="preserve">, which manages the MN's communications. In order to carry out the authentication the </w:t>
            </w:r>
            <w:proofErr w:type="spellStart"/>
            <w:r w:rsidRPr="00CD5779">
              <w:rPr>
                <w:color w:val="000000" w:themeColor="text1"/>
                <w:lang w:val="en-US" w:eastAsia="ja-JP"/>
              </w:rPr>
              <w:t>PoS</w:t>
            </w:r>
            <w:proofErr w:type="spellEnd"/>
            <w:r w:rsidRPr="00CD5779">
              <w:rPr>
                <w:color w:val="000000" w:themeColor="text1"/>
                <w:lang w:val="en-US" w:eastAsia="ja-JP"/>
              </w:rPr>
              <w:t xml:space="preserve"> may use a backend authentication server (acting as an EAP server) to ver</w:t>
            </w:r>
            <w:r w:rsidRPr="00CD5779">
              <w:rPr>
                <w:color w:val="000000" w:themeColor="text1"/>
                <w:lang w:val="en-US" w:eastAsia="ja-JP"/>
              </w:rPr>
              <w:softHyphen/>
              <w:t xml:space="preserve">ify the MN's credentials. In this document, it is assumed that the EAP methods employed can export keying material (i.e. MSK). Thus, after performing the authentication, keying material (i.e. MSK) will be shared between the MN and the </w:t>
            </w:r>
            <w:proofErr w:type="spellStart"/>
            <w:r w:rsidRPr="00CD5779">
              <w:rPr>
                <w:color w:val="000000" w:themeColor="text1"/>
                <w:lang w:val="en-US" w:eastAsia="ja-JP"/>
              </w:rPr>
              <w:t>PoS.</w:t>
            </w:r>
            <w:proofErr w:type="spellEnd"/>
            <w:r w:rsidRPr="00CD5779">
              <w:rPr>
                <w:color w:val="000000" w:themeColor="text1"/>
                <w:lang w:val="en-US" w:eastAsia="ja-JP"/>
              </w:rPr>
              <w:t xml:space="preserve"> Specifically, the keying material is exported to MN's and </w:t>
            </w:r>
            <w:proofErr w:type="spellStart"/>
            <w:r w:rsidRPr="00CD5779">
              <w:rPr>
                <w:color w:val="000000" w:themeColor="text1"/>
                <w:lang w:val="en-US" w:eastAsia="ja-JP"/>
              </w:rPr>
              <w:t>PoS'</w:t>
            </w:r>
            <w:proofErr w:type="spellEnd"/>
            <w:r w:rsidRPr="00CD5779">
              <w:rPr>
                <w:color w:val="000000" w:themeColor="text1"/>
                <w:lang w:val="en-US" w:eastAsia="ja-JP"/>
              </w:rPr>
              <w:t xml:space="preserve"> lower layer (MIH layer) and used to protect the rest of the communication. The protection mechanisms will be specified in Clause 9.2. The protected message format is specified in 8.4.3. In</w:t>
            </w:r>
          </w:p>
          <w:p w:rsidR="00CD5779" w:rsidRPr="00CD5779" w:rsidRDefault="00CD5779" w:rsidP="00F43D3C">
            <w:pPr>
              <w:spacing w:line="240" w:lineRule="exact"/>
              <w:ind w:left="34"/>
              <w:rPr>
                <w:color w:val="000000" w:themeColor="text1"/>
                <w:lang w:val="en-US" w:eastAsia="ja-JP"/>
              </w:rPr>
            </w:pPr>
            <w:proofErr w:type="gramStart"/>
            <w:r w:rsidRPr="00CD5779">
              <w:rPr>
                <w:color w:val="000000" w:themeColor="text1"/>
                <w:lang w:val="en-US" w:eastAsia="ja-JP"/>
              </w:rPr>
              <w:t>order</w:t>
            </w:r>
            <w:proofErr w:type="gramEnd"/>
            <w:r w:rsidRPr="00CD5779">
              <w:rPr>
                <w:color w:val="000000" w:themeColor="text1"/>
                <w:lang w:val="en-US" w:eastAsia="ja-JP"/>
              </w:rPr>
              <w:t xml:space="preserve"> to preserve the security of the exported keying material, the exported MSK is used as a root key to derive new session keys which are used to protect the MIH PDUs. The key hierarchy is described in 9.1.2.2. Note that the authentication procedure could be based on an EAP re-authentica</w:t>
            </w:r>
            <w:r w:rsidRPr="00CD5779">
              <w:rPr>
                <w:color w:val="000000" w:themeColor="text1"/>
                <w:lang w:val="en-US" w:eastAsia="ja-JP"/>
              </w:rPr>
              <w:softHyphen/>
              <w:t xml:space="preserve">tion (ERP) in order to perform a fast authentication. In this case, </w:t>
            </w:r>
            <w:proofErr w:type="gramStart"/>
            <w:r w:rsidRPr="00CD5779">
              <w:rPr>
                <w:color w:val="000000" w:themeColor="text1"/>
                <w:lang w:val="en-US" w:eastAsia="ja-JP"/>
              </w:rPr>
              <w:t>a</w:t>
            </w:r>
            <w:proofErr w:type="gramEnd"/>
            <w:r w:rsidRPr="00CD5779">
              <w:rPr>
                <w:color w:val="000000" w:themeColor="text1"/>
                <w:lang w:val="en-US" w:eastAsia="ja-JP"/>
              </w:rPr>
              <w:t xml:space="preserve"> </w:t>
            </w:r>
            <w:proofErr w:type="spellStart"/>
            <w:r w:rsidRPr="00CD5779">
              <w:rPr>
                <w:color w:val="000000" w:themeColor="text1"/>
                <w:lang w:val="en-US" w:eastAsia="ja-JP"/>
              </w:rPr>
              <w:t>rMSK</w:t>
            </w:r>
            <w:proofErr w:type="spellEnd"/>
            <w:r w:rsidRPr="00CD5779">
              <w:rPr>
                <w:color w:val="000000" w:themeColor="text1"/>
                <w:lang w:val="en-US" w:eastAsia="ja-JP"/>
              </w:rPr>
              <w:t xml:space="preserve"> is used as the root key to derive the key hierarchy. </w:t>
            </w:r>
          </w:p>
          <w:p w:rsidR="00CD5779" w:rsidRPr="00CD5779" w:rsidRDefault="00CD5779" w:rsidP="00F43D3C">
            <w:pPr>
              <w:spacing w:line="240" w:lineRule="exact"/>
              <w:ind w:left="34"/>
              <w:rPr>
                <w:color w:val="000000" w:themeColor="text1"/>
                <w:lang w:val="en-US" w:eastAsia="ja-JP"/>
              </w:rPr>
            </w:pPr>
            <w:proofErr w:type="gramStart"/>
            <w:r w:rsidRPr="00CD5779">
              <w:rPr>
                <w:color w:val="000000" w:themeColor="text1"/>
                <w:lang w:val="en-US" w:eastAsia="ja-JP"/>
              </w:rPr>
              <w:t>c)</w:t>
            </w:r>
            <w:r w:rsidRPr="00CD5779">
              <w:rPr>
                <w:i/>
                <w:iCs/>
                <w:color w:val="000000" w:themeColor="text1"/>
                <w:lang w:val="en-US" w:eastAsia="ja-JP"/>
              </w:rPr>
              <w:t>Service</w:t>
            </w:r>
            <w:proofErr w:type="gramEnd"/>
            <w:r w:rsidRPr="00CD5779">
              <w:rPr>
                <w:i/>
                <w:iCs/>
                <w:color w:val="000000" w:themeColor="text1"/>
                <w:lang w:val="en-US" w:eastAsia="ja-JP"/>
              </w:rPr>
              <w:t xml:space="preserve"> Access phase</w:t>
            </w:r>
            <w:r w:rsidRPr="00CD5779">
              <w:rPr>
                <w:color w:val="000000" w:themeColor="text1"/>
                <w:lang w:val="en-US" w:eastAsia="ja-JP"/>
              </w:rPr>
              <w:t xml:space="preserve">. At this point, the MN is authenticated and authorized to use the MIH services, agreed and provided by the </w:t>
            </w:r>
            <w:proofErr w:type="spellStart"/>
            <w:r w:rsidRPr="00CD5779">
              <w:rPr>
                <w:color w:val="000000" w:themeColor="text1"/>
                <w:lang w:val="en-US" w:eastAsia="ja-JP"/>
              </w:rPr>
              <w:t>PoS.</w:t>
            </w:r>
            <w:proofErr w:type="spellEnd"/>
            <w:r w:rsidRPr="00CD5779">
              <w:rPr>
                <w:color w:val="000000" w:themeColor="text1"/>
                <w:lang w:val="en-US" w:eastAsia="ja-JP"/>
              </w:rPr>
              <w:t xml:space="preserve"> The MIH protocol is protected by using the keying material obtained in the Media Independent Service Authentication Phase. This phase is related to 9.1.2.2 for key derivation and 9.2 for protecting MIH protocol.</w:t>
            </w:r>
          </w:p>
          <w:p w:rsidR="00CD5779" w:rsidRPr="00CD5779" w:rsidRDefault="00CD5779" w:rsidP="00F43D3C">
            <w:pPr>
              <w:spacing w:line="240" w:lineRule="exact"/>
              <w:ind w:left="34"/>
              <w:rPr>
                <w:color w:val="000000" w:themeColor="text1"/>
                <w:lang w:val="en-US" w:eastAsia="ja-JP"/>
              </w:rPr>
            </w:pPr>
            <w:proofErr w:type="gramStart"/>
            <w:r w:rsidRPr="00CD5779">
              <w:rPr>
                <w:color w:val="000000" w:themeColor="text1"/>
                <w:lang w:val="en-US" w:eastAsia="ja-JP"/>
              </w:rPr>
              <w:t>d)</w:t>
            </w:r>
            <w:r w:rsidRPr="00CD5779">
              <w:rPr>
                <w:i/>
                <w:iCs/>
                <w:color w:val="000000" w:themeColor="text1"/>
                <w:lang w:val="en-US" w:eastAsia="ja-JP"/>
              </w:rPr>
              <w:t>Termination</w:t>
            </w:r>
            <w:proofErr w:type="gramEnd"/>
            <w:r w:rsidRPr="00CD5779">
              <w:rPr>
                <w:i/>
                <w:iCs/>
                <w:color w:val="000000" w:themeColor="text1"/>
                <w:lang w:val="en-US" w:eastAsia="ja-JP"/>
              </w:rPr>
              <w:t xml:space="preserve"> phase</w:t>
            </w:r>
            <w:r w:rsidRPr="00CD5779">
              <w:rPr>
                <w:color w:val="000000" w:themeColor="text1"/>
                <w:lang w:val="en-US" w:eastAsia="ja-JP"/>
              </w:rPr>
              <w:t xml:space="preserve">. When the MN or the </w:t>
            </w:r>
            <w:proofErr w:type="spellStart"/>
            <w:r w:rsidRPr="00CD5779">
              <w:rPr>
                <w:color w:val="000000" w:themeColor="text1"/>
                <w:lang w:val="en-US" w:eastAsia="ja-JP"/>
              </w:rPr>
              <w:t>PoS</w:t>
            </w:r>
            <w:proofErr w:type="spellEnd"/>
            <w:r w:rsidRPr="00CD5779">
              <w:rPr>
                <w:color w:val="000000" w:themeColor="text1"/>
                <w:lang w:val="en-US" w:eastAsia="ja-JP"/>
              </w:rPr>
              <w:t xml:space="preserve"> desires to terminate the security association before the security association lifetime expires, either the MN or the </w:t>
            </w:r>
            <w:proofErr w:type="spellStart"/>
            <w:r w:rsidRPr="00CD5779">
              <w:rPr>
                <w:color w:val="000000" w:themeColor="text1"/>
                <w:lang w:val="en-US" w:eastAsia="ja-JP"/>
              </w:rPr>
              <w:t>PoS</w:t>
            </w:r>
            <w:proofErr w:type="spellEnd"/>
            <w:r w:rsidRPr="00CD5779">
              <w:rPr>
                <w:color w:val="000000" w:themeColor="text1"/>
                <w:lang w:val="en-US" w:eastAsia="ja-JP"/>
              </w:rPr>
              <w:t xml:space="preserve"> can request to terminate.</w:t>
            </w:r>
          </w:p>
          <w:p w:rsidR="00CD5779" w:rsidRDefault="00CD5779" w:rsidP="00F43D3C">
            <w:pPr>
              <w:spacing w:line="240" w:lineRule="exact"/>
              <w:ind w:left="34"/>
              <w:rPr>
                <w:color w:val="000000" w:themeColor="text1"/>
                <w:lang w:val="en-US" w:eastAsia="ja-JP"/>
              </w:rPr>
            </w:pPr>
            <w:r w:rsidRPr="00CD5779">
              <w:rPr>
                <w:color w:val="000000" w:themeColor="text1"/>
                <w:lang w:val="en-US" w:eastAsia="ja-JP"/>
              </w:rPr>
              <w:t>These phases with the MN initiated authentication and with the network initiated authentication are respec</w:t>
            </w:r>
            <w:r w:rsidRPr="00CD5779">
              <w:rPr>
                <w:color w:val="000000" w:themeColor="text1"/>
                <w:lang w:val="en-US" w:eastAsia="ja-JP"/>
              </w:rPr>
              <w:softHyphen/>
              <w:t xml:space="preserve">tively illustrated in Figure 34 and Figure 35. In both figures, only the protocol interface between an EAP peer and an EAP authenticator is described. The interface with an EAP server is not included. </w:t>
            </w:r>
            <w:r w:rsidRPr="00DF7818">
              <w:rPr>
                <w:strike/>
                <w:color w:val="FF0000"/>
                <w:lang w:val="en-US" w:eastAsia="ja-JP"/>
              </w:rPr>
              <w:t>The primitives for MIH access authentication are specified in 7.4.</w:t>
            </w:r>
          </w:p>
          <w:p w:rsidR="00CD5779" w:rsidRDefault="00CD5779" w:rsidP="00F43D3C">
            <w:pPr>
              <w:spacing w:line="240" w:lineRule="exact"/>
              <w:ind w:left="34"/>
              <w:rPr>
                <w:color w:val="000000" w:themeColor="text1"/>
                <w:lang w:val="en-US" w:eastAsia="ja-JP"/>
              </w:rPr>
            </w:pPr>
          </w:p>
          <w:p w:rsidR="00CD5779" w:rsidRPr="00CD5779" w:rsidRDefault="00CD5779" w:rsidP="00F43D3C">
            <w:pPr>
              <w:spacing w:line="240" w:lineRule="exact"/>
              <w:ind w:left="34"/>
              <w:rPr>
                <w:color w:val="365F91" w:themeColor="accent1" w:themeShade="BF"/>
                <w:lang w:eastAsia="ja-JP"/>
              </w:rPr>
            </w:pPr>
            <w:r w:rsidRPr="00CD5779">
              <w:rPr>
                <w:rFonts w:hint="eastAsia"/>
                <w:color w:val="365F91" w:themeColor="accent1" w:themeShade="BF"/>
                <w:lang w:val="en-US" w:eastAsia="ja-JP"/>
              </w:rPr>
              <w:t xml:space="preserve">(Figures 34 and 35 </w:t>
            </w:r>
            <w:r w:rsidR="00C821DA">
              <w:rPr>
                <w:rFonts w:hint="eastAsia"/>
                <w:color w:val="365F91" w:themeColor="accent1" w:themeShade="BF"/>
                <w:lang w:val="en-US" w:eastAsia="ja-JP"/>
              </w:rPr>
              <w:t>remain</w:t>
            </w:r>
            <w:r w:rsidRPr="00CD5779">
              <w:rPr>
                <w:rFonts w:hint="eastAsia"/>
                <w:color w:val="365F91" w:themeColor="accent1" w:themeShade="BF"/>
                <w:lang w:val="en-US" w:eastAsia="ja-JP"/>
              </w:rPr>
              <w:t xml:space="preserve"> the same.)</w:t>
            </w:r>
          </w:p>
        </w:tc>
      </w:tr>
    </w:tbl>
    <w:p w:rsidR="00484ED7" w:rsidRDefault="00484ED7" w:rsidP="00F43D3C">
      <w:pPr>
        <w:rPr>
          <w:lang w:eastAsia="ja-JP"/>
        </w:rPr>
      </w:pPr>
    </w:p>
    <w:tbl>
      <w:tblPr>
        <w:tblStyle w:val="a3"/>
        <w:tblW w:w="0" w:type="auto"/>
        <w:tblLook w:val="04A0"/>
      </w:tblPr>
      <w:tblGrid>
        <w:gridCol w:w="1808"/>
        <w:gridCol w:w="6912"/>
      </w:tblGrid>
      <w:tr w:rsidR="005F1BD8" w:rsidTr="00AF6622">
        <w:tc>
          <w:tcPr>
            <w:tcW w:w="1808" w:type="dxa"/>
          </w:tcPr>
          <w:p w:rsidR="005F1BD8" w:rsidRDefault="005F1BD8" w:rsidP="000A3CB4">
            <w:pPr>
              <w:spacing w:line="240" w:lineRule="exact"/>
            </w:pPr>
            <w:r>
              <w:t>Ref.</w:t>
            </w:r>
          </w:p>
        </w:tc>
        <w:tc>
          <w:tcPr>
            <w:tcW w:w="6912" w:type="dxa"/>
          </w:tcPr>
          <w:p w:rsidR="005F1BD8" w:rsidRDefault="005F1BD8" w:rsidP="000A3CB4">
            <w:pPr>
              <w:spacing w:line="240" w:lineRule="exact"/>
              <w:rPr>
                <w:lang w:eastAsia="ja-JP"/>
              </w:rPr>
            </w:pPr>
            <w:r>
              <w:t>00</w:t>
            </w:r>
            <w:r w:rsidR="003517A0">
              <w:rPr>
                <w:rFonts w:hint="eastAsia"/>
                <w:lang w:eastAsia="ja-JP"/>
              </w:rPr>
              <w:t>3</w:t>
            </w:r>
          </w:p>
        </w:tc>
      </w:tr>
      <w:tr w:rsidR="005F1BD8" w:rsidTr="00AF6622">
        <w:tc>
          <w:tcPr>
            <w:tcW w:w="1808" w:type="dxa"/>
          </w:tcPr>
          <w:p w:rsidR="005F1BD8" w:rsidRDefault="005F1BD8" w:rsidP="000A3CB4">
            <w:pPr>
              <w:spacing w:line="240" w:lineRule="exact"/>
            </w:pPr>
            <w:r>
              <w:t>DRAFT  SECTION</w:t>
            </w:r>
          </w:p>
        </w:tc>
        <w:tc>
          <w:tcPr>
            <w:tcW w:w="6912" w:type="dxa"/>
          </w:tcPr>
          <w:p w:rsidR="005F1BD8" w:rsidRDefault="005F1BD8" w:rsidP="000A3CB4">
            <w:pPr>
              <w:spacing w:line="240" w:lineRule="exact"/>
            </w:pPr>
            <w:r>
              <w:t>8.4.</w:t>
            </w:r>
            <w:r>
              <w:rPr>
                <w:rFonts w:hint="eastAsia"/>
                <w:lang w:eastAsia="ja-JP"/>
              </w:rPr>
              <w:t>3</w:t>
            </w:r>
            <w:r w:rsidRPr="00E11C1F">
              <w:t xml:space="preserve"> </w:t>
            </w:r>
            <w:r w:rsidRPr="005F1BD8">
              <w:t>Protected MIH protocol frame format</w:t>
            </w:r>
          </w:p>
        </w:tc>
      </w:tr>
      <w:tr w:rsidR="005F1BD8" w:rsidTr="00AF6622">
        <w:tc>
          <w:tcPr>
            <w:tcW w:w="1808" w:type="dxa"/>
          </w:tcPr>
          <w:p w:rsidR="005F1BD8" w:rsidRDefault="005F1BD8" w:rsidP="000A3CB4">
            <w:pPr>
              <w:spacing w:line="240" w:lineRule="exact"/>
            </w:pPr>
            <w:r>
              <w:t>Modification type</w:t>
            </w:r>
          </w:p>
        </w:tc>
        <w:tc>
          <w:tcPr>
            <w:tcW w:w="6912" w:type="dxa"/>
          </w:tcPr>
          <w:p w:rsidR="005F1BD8" w:rsidRDefault="005F1BD8" w:rsidP="000A3CB4">
            <w:pPr>
              <w:spacing w:line="240" w:lineRule="exact"/>
              <w:rPr>
                <w:lang w:eastAsia="ja-JP"/>
              </w:rPr>
            </w:pPr>
            <w:r>
              <w:rPr>
                <w:rFonts w:hint="eastAsia"/>
                <w:lang w:eastAsia="ja-JP"/>
              </w:rPr>
              <w:t xml:space="preserve">REPLACE </w:t>
            </w:r>
          </w:p>
        </w:tc>
      </w:tr>
      <w:tr w:rsidR="005F1BD8" w:rsidRPr="00FF4031" w:rsidTr="00AF6622">
        <w:tc>
          <w:tcPr>
            <w:tcW w:w="1808" w:type="dxa"/>
          </w:tcPr>
          <w:p w:rsidR="005F1BD8" w:rsidRPr="00FF4031" w:rsidRDefault="005F1BD8" w:rsidP="000A3CB4">
            <w:pPr>
              <w:spacing w:line="240" w:lineRule="exact"/>
              <w:rPr>
                <w:color w:val="000000" w:themeColor="text1"/>
              </w:rPr>
            </w:pPr>
            <w:r w:rsidRPr="00FF4031">
              <w:rPr>
                <w:color w:val="000000" w:themeColor="text1"/>
              </w:rPr>
              <w:t>Text</w:t>
            </w:r>
          </w:p>
        </w:tc>
        <w:tc>
          <w:tcPr>
            <w:tcW w:w="6912" w:type="dxa"/>
          </w:tcPr>
          <w:p w:rsidR="005F1BD8" w:rsidRPr="006807A2" w:rsidRDefault="005F1BD8" w:rsidP="005F1BD8">
            <w:pPr>
              <w:spacing w:line="240" w:lineRule="exact"/>
              <w:rPr>
                <w:lang w:val="en-US" w:eastAsia="ja-JP"/>
              </w:rPr>
            </w:pPr>
            <w:r w:rsidRPr="005F1BD8">
              <w:rPr>
                <w:lang w:val="en-US" w:eastAsia="ja-JP"/>
              </w:rPr>
              <w:t xml:space="preserve">An MIH Security (MIHS) PDU is an MIH PDU that has an MIHS header, followed by </w:t>
            </w:r>
            <w:r w:rsidRPr="003A5D2A">
              <w:rPr>
                <w:color w:val="000000" w:themeColor="text1"/>
                <w:lang w:val="en-US" w:eastAsia="ja-JP"/>
              </w:rPr>
              <w:t>optional Source and Destination MIHF-ID TLVs</w:t>
            </w:r>
            <w:r w:rsidR="003A5D2A">
              <w:rPr>
                <w:rFonts w:hint="eastAsia"/>
                <w:color w:val="000000" w:themeColor="text1"/>
                <w:lang w:val="en-US" w:eastAsia="ja-JP"/>
              </w:rPr>
              <w:t xml:space="preserve">, </w:t>
            </w:r>
            <w:r w:rsidR="003A5D2A">
              <w:rPr>
                <w:rFonts w:hint="eastAsia"/>
                <w:color w:val="FF0000"/>
                <w:lang w:val="en-US" w:eastAsia="ja-JP"/>
              </w:rPr>
              <w:t>followed by an optional</w:t>
            </w:r>
            <w:r w:rsidR="00D65E34">
              <w:rPr>
                <w:rFonts w:hint="eastAsia"/>
                <w:color w:val="FF0000"/>
                <w:lang w:val="en-US" w:eastAsia="ja-JP"/>
              </w:rPr>
              <w:t xml:space="preserve"> Session ID TLV</w:t>
            </w:r>
            <w:r w:rsidRPr="005F1BD8">
              <w:rPr>
                <w:lang w:val="en-US" w:eastAsia="ja-JP"/>
              </w:rPr>
              <w:t xml:space="preserve">, followed by a security TLV. </w:t>
            </w:r>
            <w:r w:rsidRPr="006807A2">
              <w:rPr>
                <w:lang w:val="en-US" w:eastAsia="ja-JP"/>
              </w:rPr>
              <w:t>Figure 29a shows a protected MIH protocol frame.</w:t>
            </w:r>
            <w:r w:rsidR="00492E20" w:rsidRPr="00492E20">
              <w:rPr>
                <w:noProof/>
                <w:lang w:val="en-US" w:eastAsia="ja-JP"/>
              </w:rPr>
              <w:t xml:space="preserve"> </w:t>
            </w:r>
          </w:p>
          <w:p w:rsidR="00E7105F" w:rsidRPr="006807A2" w:rsidRDefault="00E7105F" w:rsidP="005F1BD8">
            <w:pPr>
              <w:spacing w:line="240" w:lineRule="exact"/>
              <w:rPr>
                <w:lang w:val="en-US" w:eastAsia="ja-JP"/>
              </w:rPr>
            </w:pPr>
          </w:p>
          <w:p w:rsidR="00E7105F" w:rsidRPr="00E7105F" w:rsidRDefault="006807A2" w:rsidP="005F1BD8">
            <w:pPr>
              <w:spacing w:line="240" w:lineRule="exact"/>
              <w:rPr>
                <w:color w:val="17365D" w:themeColor="text2" w:themeShade="BF"/>
                <w:lang w:eastAsia="ja-JP"/>
              </w:rPr>
            </w:pPr>
            <w:r>
              <w:rPr>
                <w:rFonts w:hint="eastAsia"/>
                <w:color w:val="17365D" w:themeColor="text2" w:themeShade="BF"/>
                <w:lang w:val="en-US" w:eastAsia="ja-JP"/>
              </w:rPr>
              <w:t>(Revise Figure 29</w:t>
            </w:r>
            <w:r w:rsidR="00E7105F" w:rsidRPr="00E7105F">
              <w:rPr>
                <w:rFonts w:hint="eastAsia"/>
                <w:color w:val="17365D" w:themeColor="text2" w:themeShade="BF"/>
                <w:lang w:val="en-US" w:eastAsia="ja-JP"/>
              </w:rPr>
              <w:t>a</w:t>
            </w:r>
            <w:r w:rsidR="00E7105F">
              <w:rPr>
                <w:rFonts w:hint="eastAsia"/>
                <w:color w:val="17365D" w:themeColor="text2" w:themeShade="BF"/>
                <w:lang w:val="en-US" w:eastAsia="ja-JP"/>
              </w:rPr>
              <w:t xml:space="preserve"> </w:t>
            </w:r>
            <w:r>
              <w:rPr>
                <w:rFonts w:hint="eastAsia"/>
                <w:color w:val="17365D" w:themeColor="text2" w:themeShade="BF"/>
                <w:lang w:val="en-US" w:eastAsia="ja-JP"/>
              </w:rPr>
              <w:t>as follows.</w:t>
            </w:r>
            <w:r w:rsidR="00E7105F" w:rsidRPr="00E7105F">
              <w:rPr>
                <w:rFonts w:hint="eastAsia"/>
                <w:color w:val="17365D" w:themeColor="text2" w:themeShade="BF"/>
                <w:lang w:val="en-US" w:eastAsia="ja-JP"/>
              </w:rPr>
              <w:t>)</w:t>
            </w:r>
            <w:r w:rsidR="00492E20" w:rsidRPr="00492E20">
              <w:rPr>
                <w:noProof/>
                <w:lang w:val="en-US" w:eastAsia="ja-JP"/>
              </w:rPr>
              <w:t xml:space="preserve"> </w:t>
            </w:r>
          </w:p>
          <w:p w:rsidR="005F1BD8" w:rsidRPr="0012738C" w:rsidRDefault="00EE04F2" w:rsidP="000A3CB4">
            <w:pPr>
              <w:spacing w:line="240" w:lineRule="exact"/>
              <w:rPr>
                <w:color w:val="000000" w:themeColor="text1"/>
                <w:lang w:eastAsia="ja-JP"/>
              </w:rPr>
            </w:pPr>
            <w:r>
              <w:rPr>
                <w:noProof/>
                <w:lang w:val="en-US" w:eastAsia="ja-JP"/>
              </w:rPr>
              <w:drawing>
                <wp:anchor distT="0" distB="0" distL="114300" distR="114300" simplePos="0" relativeHeight="251679744" behindDoc="0" locked="0" layoutInCell="1" allowOverlap="1">
                  <wp:simplePos x="0" y="0"/>
                  <wp:positionH relativeFrom="column">
                    <wp:posOffset>47147</wp:posOffset>
                  </wp:positionH>
                  <wp:positionV relativeFrom="paragraph">
                    <wp:posOffset>363278</wp:posOffset>
                  </wp:positionV>
                  <wp:extent cx="4196690" cy="296883"/>
                  <wp:effectExtent l="1905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srcRect/>
                          <a:stretch>
                            <a:fillRect/>
                          </a:stretch>
                        </pic:blipFill>
                        <pic:spPr bwMode="auto">
                          <a:xfrm>
                            <a:off x="0" y="0"/>
                            <a:ext cx="4196690" cy="296883"/>
                          </a:xfrm>
                          <a:prstGeom prst="rect">
                            <a:avLst/>
                          </a:prstGeom>
                          <a:noFill/>
                          <a:ln w="9525">
                            <a:noFill/>
                            <a:miter lim="800000"/>
                            <a:headEnd/>
                            <a:tailEnd/>
                          </a:ln>
                        </pic:spPr>
                      </pic:pic>
                    </a:graphicData>
                  </a:graphic>
                </wp:anchor>
              </w:drawing>
            </w:r>
            <w:r w:rsidR="003D1237" w:rsidRPr="003D1237">
              <w:rPr>
                <w:noProof/>
                <w:lang w:val="en-US" w:eastAsia="ja-JP"/>
              </w:rPr>
              <w:pict>
                <v:group id="_x0000_s1052" editas="canvas" style="position:absolute;margin-left:5.3pt;margin-top:3.5pt;width:334.75pt;height:70.15pt;z-index:251678720;mso-position-horizontal-relative:text;mso-position-vertical-relative:text" coordorigin="2358,13044" coordsize="7200,1508">
                  <o:lock v:ext="edit" aspectratio="t"/>
                  <v:shape id="_x0000_s1051" type="#_x0000_t75" style="position:absolute;left:2358;top:13044;width:7200;height:1508" o:preferrelative="f">
                    <v:fill o:detectmouseclick="t"/>
                    <v:path o:extrusionok="t" o:connecttype="none"/>
                    <o:lock v:ext="edit" text="t"/>
                  </v:shape>
                  <w10:wrap type="topAndBottom"/>
                </v:group>
              </w:pict>
            </w:r>
          </w:p>
          <w:p w:rsidR="0012738C" w:rsidRDefault="006807A2" w:rsidP="006807A2">
            <w:pPr>
              <w:jc w:val="center"/>
              <w:rPr>
                <w:b/>
                <w:color w:val="000000" w:themeColor="text1"/>
                <w:lang w:eastAsia="ja-JP"/>
              </w:rPr>
            </w:pPr>
            <w:r w:rsidRPr="006807A2">
              <w:rPr>
                <w:b/>
                <w:color w:val="000000" w:themeColor="text1"/>
                <w:lang w:eastAsia="ja-JP"/>
              </w:rPr>
              <w:t>Figure 29a—Protected MIH frame format</w:t>
            </w:r>
          </w:p>
          <w:p w:rsidR="0012738C" w:rsidRDefault="0012738C" w:rsidP="0012738C">
            <w:pPr>
              <w:rPr>
                <w:lang w:eastAsia="ja-JP"/>
              </w:rPr>
            </w:pPr>
          </w:p>
          <w:p w:rsidR="006807A2" w:rsidRPr="0012738C" w:rsidRDefault="006807A2" w:rsidP="0012738C">
            <w:pPr>
              <w:jc w:val="center"/>
              <w:rPr>
                <w:lang w:eastAsia="ja-JP"/>
              </w:rPr>
            </w:pPr>
          </w:p>
        </w:tc>
      </w:tr>
    </w:tbl>
    <w:p w:rsidR="005F1BD8" w:rsidRDefault="005F1BD8" w:rsidP="00F43D3C">
      <w:pPr>
        <w:rPr>
          <w:lang w:eastAsia="ja-JP"/>
        </w:rPr>
      </w:pPr>
    </w:p>
    <w:tbl>
      <w:tblPr>
        <w:tblStyle w:val="a3"/>
        <w:tblW w:w="0" w:type="auto"/>
        <w:tblLook w:val="04A0"/>
      </w:tblPr>
      <w:tblGrid>
        <w:gridCol w:w="1809"/>
        <w:gridCol w:w="6911"/>
      </w:tblGrid>
      <w:tr w:rsidR="00555B33" w:rsidTr="000A3CB4">
        <w:tc>
          <w:tcPr>
            <w:tcW w:w="1809" w:type="dxa"/>
          </w:tcPr>
          <w:p w:rsidR="00555B33" w:rsidRDefault="00555B33" w:rsidP="00F43D3C">
            <w:pPr>
              <w:spacing w:line="240" w:lineRule="exact"/>
            </w:pPr>
            <w:r>
              <w:t>Ref.</w:t>
            </w:r>
          </w:p>
        </w:tc>
        <w:tc>
          <w:tcPr>
            <w:tcW w:w="6911" w:type="dxa"/>
          </w:tcPr>
          <w:p w:rsidR="00555B33" w:rsidRDefault="00555B33" w:rsidP="00F43D3C">
            <w:pPr>
              <w:spacing w:line="240" w:lineRule="exact"/>
              <w:rPr>
                <w:lang w:eastAsia="ja-JP"/>
              </w:rPr>
            </w:pPr>
            <w:r>
              <w:t>00</w:t>
            </w:r>
            <w:r w:rsidR="003517A0">
              <w:rPr>
                <w:rFonts w:hint="eastAsia"/>
                <w:lang w:eastAsia="ja-JP"/>
              </w:rPr>
              <w:t>4</w:t>
            </w:r>
          </w:p>
        </w:tc>
      </w:tr>
      <w:tr w:rsidR="00555B33" w:rsidTr="000A3CB4">
        <w:tc>
          <w:tcPr>
            <w:tcW w:w="1809" w:type="dxa"/>
          </w:tcPr>
          <w:p w:rsidR="00555B33" w:rsidRDefault="00555B33" w:rsidP="00F43D3C">
            <w:pPr>
              <w:spacing w:line="240" w:lineRule="exact"/>
            </w:pPr>
            <w:r>
              <w:t>DRAFT  SECTION</w:t>
            </w:r>
          </w:p>
        </w:tc>
        <w:tc>
          <w:tcPr>
            <w:tcW w:w="6911" w:type="dxa"/>
          </w:tcPr>
          <w:p w:rsidR="00555B33" w:rsidRDefault="00555B33" w:rsidP="00F43D3C">
            <w:pPr>
              <w:spacing w:line="240" w:lineRule="exact"/>
            </w:pPr>
            <w:r>
              <w:rPr>
                <w:rFonts w:hint="eastAsia"/>
                <w:lang w:eastAsia="ja-JP"/>
              </w:rPr>
              <w:t xml:space="preserve">8.4.3.1 </w:t>
            </w:r>
          </w:p>
        </w:tc>
      </w:tr>
      <w:tr w:rsidR="00555B33" w:rsidTr="000A3CB4">
        <w:tc>
          <w:tcPr>
            <w:tcW w:w="1809" w:type="dxa"/>
          </w:tcPr>
          <w:p w:rsidR="00555B33" w:rsidRDefault="00555B33" w:rsidP="00F43D3C">
            <w:pPr>
              <w:spacing w:line="240" w:lineRule="exact"/>
            </w:pPr>
            <w:r>
              <w:t>Modification type</w:t>
            </w:r>
          </w:p>
        </w:tc>
        <w:tc>
          <w:tcPr>
            <w:tcW w:w="6911" w:type="dxa"/>
          </w:tcPr>
          <w:p w:rsidR="00555B33" w:rsidRDefault="00555B33" w:rsidP="00F43D3C">
            <w:pPr>
              <w:spacing w:line="240" w:lineRule="exact"/>
              <w:rPr>
                <w:lang w:eastAsia="ja-JP"/>
              </w:rPr>
            </w:pPr>
            <w:r>
              <w:rPr>
                <w:rFonts w:hint="eastAsia"/>
                <w:lang w:eastAsia="ja-JP"/>
              </w:rPr>
              <w:t>REPLACE</w:t>
            </w:r>
          </w:p>
        </w:tc>
      </w:tr>
      <w:tr w:rsidR="00555B33" w:rsidRPr="00FF4031" w:rsidTr="000A3CB4">
        <w:tc>
          <w:tcPr>
            <w:tcW w:w="1809" w:type="dxa"/>
          </w:tcPr>
          <w:p w:rsidR="00555B33" w:rsidRPr="00FF4031" w:rsidRDefault="00555B33" w:rsidP="00F43D3C">
            <w:pPr>
              <w:spacing w:line="240" w:lineRule="exact"/>
              <w:rPr>
                <w:color w:val="000000" w:themeColor="text1"/>
              </w:rPr>
            </w:pPr>
            <w:r w:rsidRPr="00FF4031">
              <w:rPr>
                <w:color w:val="000000" w:themeColor="text1"/>
              </w:rPr>
              <w:t>Text</w:t>
            </w:r>
          </w:p>
        </w:tc>
        <w:tc>
          <w:tcPr>
            <w:tcW w:w="6911" w:type="dxa"/>
          </w:tcPr>
          <w:p w:rsidR="00BF3028" w:rsidRPr="00BF3028" w:rsidRDefault="00BF3028" w:rsidP="00F43D3C">
            <w:pPr>
              <w:spacing w:line="240" w:lineRule="exact"/>
              <w:rPr>
                <w:color w:val="548DD4" w:themeColor="text2" w:themeTint="99"/>
                <w:lang w:val="en-US" w:eastAsia="ja-JP"/>
              </w:rPr>
            </w:pPr>
            <w:r w:rsidRPr="00BF3028">
              <w:rPr>
                <w:rFonts w:hint="eastAsia"/>
                <w:color w:val="548DD4" w:themeColor="text2" w:themeTint="99"/>
                <w:lang w:val="en-US" w:eastAsia="ja-JP"/>
              </w:rPr>
              <w:t>(Change the 4</w:t>
            </w:r>
            <w:r w:rsidRPr="00BF3028">
              <w:rPr>
                <w:rFonts w:hint="eastAsia"/>
                <w:color w:val="548DD4" w:themeColor="text2" w:themeTint="99"/>
                <w:vertAlign w:val="superscript"/>
                <w:lang w:val="en-US" w:eastAsia="ja-JP"/>
              </w:rPr>
              <w:t>th</w:t>
            </w:r>
            <w:r w:rsidRPr="00BF3028">
              <w:rPr>
                <w:rFonts w:hint="eastAsia"/>
                <w:color w:val="548DD4" w:themeColor="text2" w:themeTint="99"/>
                <w:lang w:val="en-US" w:eastAsia="ja-JP"/>
              </w:rPr>
              <w:t xml:space="preserve"> paragraph as follows.)</w:t>
            </w:r>
          </w:p>
          <w:p w:rsidR="00555B33" w:rsidRDefault="00555B33" w:rsidP="00F43D3C">
            <w:pPr>
              <w:spacing w:line="240" w:lineRule="exact"/>
              <w:rPr>
                <w:color w:val="000000" w:themeColor="text1"/>
                <w:lang w:val="en-US" w:eastAsia="ja-JP"/>
              </w:rPr>
            </w:pPr>
            <w:r w:rsidRPr="00555B33">
              <w:rPr>
                <w:color w:val="000000" w:themeColor="text1"/>
                <w:lang w:val="en-US" w:eastAsia="ja-JP"/>
              </w:rPr>
              <w:t>Once a (D</w:t>
            </w:r>
            <w:proofErr w:type="gramStart"/>
            <w:r w:rsidRPr="00555B33">
              <w:rPr>
                <w:color w:val="000000" w:themeColor="text1"/>
                <w:lang w:val="en-US" w:eastAsia="ja-JP"/>
              </w:rPr>
              <w:t>)TLS</w:t>
            </w:r>
            <w:proofErr w:type="gramEnd"/>
            <w:r w:rsidRPr="00555B33">
              <w:rPr>
                <w:color w:val="000000" w:themeColor="text1"/>
                <w:lang w:val="en-US" w:eastAsia="ja-JP"/>
              </w:rPr>
              <w:t xml:space="preserve"> handshake is completed, an MIH SA is established, which is determined by the </w:t>
            </w:r>
            <w:proofErr w:type="spellStart"/>
            <w:r w:rsidRPr="00555B33">
              <w:rPr>
                <w:color w:val="000000" w:themeColor="text1"/>
                <w:lang w:val="en-US" w:eastAsia="ja-JP"/>
              </w:rPr>
              <w:t>ciphersuite</w:t>
            </w:r>
            <w:proofErr w:type="spellEnd"/>
            <w:r w:rsidRPr="00555B33">
              <w:rPr>
                <w:color w:val="000000" w:themeColor="text1"/>
                <w:lang w:val="en-US" w:eastAsia="ja-JP"/>
              </w:rPr>
              <w:t xml:space="preserve"> negotiated in the (D)TLS handshake. The structure of MIHS PDU in existence of an MIH SA is shown in Figure 29d, where the unprotected MIH </w:t>
            </w:r>
            <w:r w:rsidRPr="00555B33">
              <w:rPr>
                <w:strike/>
                <w:color w:val="FF0000"/>
                <w:lang w:val="en-US" w:eastAsia="ja-JP"/>
              </w:rPr>
              <w:t xml:space="preserve">PDU </w:t>
            </w:r>
            <w:r w:rsidRPr="00555B33">
              <w:rPr>
                <w:color w:val="FF0000"/>
                <w:lang w:val="en-US" w:eastAsia="ja-JP"/>
              </w:rPr>
              <w:t>service</w:t>
            </w:r>
            <w:r w:rsidRPr="00555B33">
              <w:rPr>
                <w:rFonts w:hint="eastAsia"/>
                <w:color w:val="FF0000"/>
                <w:lang w:val="en-US" w:eastAsia="ja-JP"/>
              </w:rPr>
              <w:t xml:space="preserve"> specific TLVs</w:t>
            </w:r>
            <w:r>
              <w:rPr>
                <w:rFonts w:hint="eastAsia"/>
                <w:color w:val="000000" w:themeColor="text1"/>
                <w:lang w:val="en-US" w:eastAsia="ja-JP"/>
              </w:rPr>
              <w:t xml:space="preserve"> </w:t>
            </w:r>
            <w:r w:rsidRPr="00555B33">
              <w:rPr>
                <w:strike/>
                <w:color w:val="FF0000"/>
                <w:lang w:val="en-US" w:eastAsia="ja-JP"/>
              </w:rPr>
              <w:t>is</w:t>
            </w:r>
            <w:r w:rsidRPr="00555B33">
              <w:rPr>
                <w:color w:val="FF0000"/>
                <w:lang w:val="en-US" w:eastAsia="ja-JP"/>
              </w:rPr>
              <w:t xml:space="preserve"> </w:t>
            </w:r>
            <w:r w:rsidRPr="00555B33">
              <w:rPr>
                <w:rFonts w:hint="eastAsia"/>
                <w:color w:val="FF0000"/>
                <w:lang w:val="en-US" w:eastAsia="ja-JP"/>
              </w:rPr>
              <w:t>are</w:t>
            </w:r>
            <w:r>
              <w:rPr>
                <w:rFonts w:hint="eastAsia"/>
                <w:color w:val="000000" w:themeColor="text1"/>
                <w:lang w:val="en-US" w:eastAsia="ja-JP"/>
              </w:rPr>
              <w:t xml:space="preserve"> </w:t>
            </w:r>
            <w:r w:rsidRPr="00555B33">
              <w:rPr>
                <w:color w:val="000000" w:themeColor="text1"/>
                <w:lang w:val="en-US" w:eastAsia="ja-JP"/>
              </w:rPr>
              <w:t>carried and protected as (D)TLS application data.</w:t>
            </w:r>
            <w:r w:rsidRPr="00555B33">
              <w:rPr>
                <w:strike/>
                <w:color w:val="FF0000"/>
                <w:lang w:val="en-US" w:eastAsia="ja-JP"/>
              </w:rPr>
              <w:t xml:space="preserve"> Notice that the original MIH header, called “inner header”, is protected. </w:t>
            </w:r>
            <w:r w:rsidRPr="00555B33">
              <w:rPr>
                <w:color w:val="000000" w:themeColor="text1"/>
                <w:lang w:val="en-US" w:eastAsia="ja-JP"/>
              </w:rPr>
              <w:t>An MIHS header</w:t>
            </w:r>
            <w:r w:rsidRPr="00555B33">
              <w:rPr>
                <w:strike/>
                <w:color w:val="FF0000"/>
                <w:lang w:val="en-US" w:eastAsia="ja-JP"/>
              </w:rPr>
              <w:t xml:space="preserve">, called “outer header”, </w:t>
            </w:r>
            <w:r w:rsidRPr="00555B33">
              <w:rPr>
                <w:color w:val="000000" w:themeColor="text1"/>
                <w:lang w:val="en-US" w:eastAsia="ja-JP"/>
              </w:rPr>
              <w:t xml:space="preserve">is </w:t>
            </w:r>
            <w:r w:rsidRPr="00555B33">
              <w:rPr>
                <w:strike/>
                <w:color w:val="FF0000"/>
                <w:lang w:val="en-US" w:eastAsia="ja-JP"/>
              </w:rPr>
              <w:t>added</w:t>
            </w:r>
            <w:r w:rsidRPr="00555B33">
              <w:rPr>
                <w:color w:val="FF0000"/>
                <w:lang w:val="en-US" w:eastAsia="ja-JP"/>
              </w:rPr>
              <w:t xml:space="preserve"> </w:t>
            </w:r>
            <w:r w:rsidRPr="00555B33">
              <w:rPr>
                <w:rFonts w:hint="eastAsia"/>
                <w:color w:val="FF0000"/>
                <w:lang w:val="en-US" w:eastAsia="ja-JP"/>
              </w:rPr>
              <w:t>used</w:t>
            </w:r>
            <w:r>
              <w:rPr>
                <w:rFonts w:hint="eastAsia"/>
                <w:color w:val="000000" w:themeColor="text1"/>
                <w:lang w:val="en-US" w:eastAsia="ja-JP"/>
              </w:rPr>
              <w:t xml:space="preserve"> </w:t>
            </w:r>
            <w:r w:rsidRPr="00555B33">
              <w:rPr>
                <w:color w:val="000000" w:themeColor="text1"/>
                <w:lang w:val="en-US" w:eastAsia="ja-JP"/>
              </w:rPr>
              <w:t>as MIH security header. The TLS protection can be integrity protected, encrypted, or both. If it is integrity protected, then a message integrity code (MIC) is also included in the security TLV. In this stan</w:t>
            </w:r>
            <w:r w:rsidRPr="00555B33">
              <w:rPr>
                <w:color w:val="000000" w:themeColor="text1"/>
                <w:lang w:val="en-US" w:eastAsia="ja-JP"/>
              </w:rPr>
              <w:softHyphen/>
              <w:t>dard, the message integrity code is the same as the message authentication code, for which the acronym MAC is already used for media access control.</w:t>
            </w:r>
          </w:p>
          <w:p w:rsidR="00F43D3C" w:rsidRPr="00BF3028" w:rsidRDefault="00BF3028" w:rsidP="00F43D3C">
            <w:pPr>
              <w:spacing w:line="240" w:lineRule="exact"/>
              <w:rPr>
                <w:color w:val="548DD4" w:themeColor="text2" w:themeTint="99"/>
                <w:lang w:eastAsia="ja-JP"/>
              </w:rPr>
            </w:pPr>
            <w:r w:rsidRPr="00BF3028">
              <w:rPr>
                <w:rFonts w:hint="eastAsia"/>
                <w:color w:val="548DD4" w:themeColor="text2" w:themeTint="99"/>
                <w:lang w:eastAsia="ja-JP"/>
              </w:rPr>
              <w:t>(Change Figure 29d as follows.)</w:t>
            </w:r>
          </w:p>
          <w:p w:rsidR="00F43D3C" w:rsidRDefault="00F43D3C" w:rsidP="00F43D3C">
            <w:pPr>
              <w:spacing w:line="240" w:lineRule="exact"/>
              <w:rPr>
                <w:color w:val="000000" w:themeColor="text1"/>
                <w:lang w:eastAsia="ja-JP"/>
              </w:rPr>
            </w:pPr>
            <w:r>
              <w:rPr>
                <w:noProof/>
                <w:color w:val="000000" w:themeColor="text1"/>
                <w:lang w:val="en-US" w:eastAsia="ja-JP"/>
              </w:rPr>
              <w:drawing>
                <wp:anchor distT="0" distB="0" distL="114300" distR="114300" simplePos="0" relativeHeight="251660288" behindDoc="0" locked="0" layoutInCell="1" allowOverlap="1">
                  <wp:simplePos x="0" y="0"/>
                  <wp:positionH relativeFrom="column">
                    <wp:posOffset>152432</wp:posOffset>
                  </wp:positionH>
                  <wp:positionV relativeFrom="paragraph">
                    <wp:posOffset>247565</wp:posOffset>
                  </wp:positionV>
                  <wp:extent cx="3485249" cy="955343"/>
                  <wp:effectExtent l="19050" t="0" r="901"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3485249" cy="955343"/>
                          </a:xfrm>
                          <a:prstGeom prst="rect">
                            <a:avLst/>
                          </a:prstGeom>
                          <a:noFill/>
                          <a:ln w="9525">
                            <a:noFill/>
                            <a:miter lim="800000"/>
                            <a:headEnd/>
                            <a:tailEnd/>
                          </a:ln>
                        </pic:spPr>
                      </pic:pic>
                    </a:graphicData>
                  </a:graphic>
                </wp:anchor>
              </w:drawing>
            </w:r>
            <w:r w:rsidR="003D1237">
              <w:rPr>
                <w:noProof/>
                <w:color w:val="000000" w:themeColor="text1"/>
                <w:lang w:val="en-US" w:eastAsia="ja-JP"/>
              </w:rPr>
              <w:pict>
                <v:group id="_x0000_s1033" editas="canvas" style="position:absolute;margin-left:-.15pt;margin-top:.15pt;width:334.75pt;height:96pt;z-index:251659264;mso-position-horizontal-relative:text;mso-position-vertical-relative:text" coordorigin="2362,14161" coordsize="7200,2065" o:allowoverlap="f">
                  <o:lock v:ext="edit" aspectratio="t"/>
                  <v:shape id="_x0000_s1032" type="#_x0000_t75" style="position:absolute;left:2362;top:14161;width:7200;height:2065" o:preferrelative="f">
                    <v:fill o:detectmouseclick="t"/>
                    <v:path o:extrusionok="t" o:connecttype="none"/>
                    <o:lock v:ext="edit" text="t"/>
                  </v:shape>
                  <w10:wrap type="topAndBottom"/>
                </v:group>
              </w:pict>
            </w:r>
          </w:p>
          <w:p w:rsidR="00555B33" w:rsidRPr="00BF3028" w:rsidRDefault="00F43D3C" w:rsidP="00BF3028">
            <w:pPr>
              <w:spacing w:line="240" w:lineRule="exact"/>
              <w:jc w:val="center"/>
              <w:rPr>
                <w:color w:val="000000" w:themeColor="text1"/>
                <w:lang w:val="en-US" w:eastAsia="ja-JP"/>
              </w:rPr>
            </w:pPr>
            <w:r w:rsidRPr="00F43D3C">
              <w:rPr>
                <w:b/>
                <w:bCs/>
                <w:color w:val="000000" w:themeColor="text1"/>
                <w:lang w:val="en-US" w:eastAsia="ja-JP"/>
              </w:rPr>
              <w:t>Figure 29d—MIHS PDU in Existence of MIH SA by TLS</w:t>
            </w:r>
          </w:p>
        </w:tc>
      </w:tr>
    </w:tbl>
    <w:p w:rsidR="009F4E85" w:rsidRPr="00F43D3C" w:rsidRDefault="009F4E85" w:rsidP="00F43D3C"/>
    <w:tbl>
      <w:tblPr>
        <w:tblStyle w:val="a3"/>
        <w:tblW w:w="0" w:type="auto"/>
        <w:tblLook w:val="04A0"/>
      </w:tblPr>
      <w:tblGrid>
        <w:gridCol w:w="1809"/>
        <w:gridCol w:w="6911"/>
      </w:tblGrid>
      <w:tr w:rsidR="001E44D6" w:rsidTr="000A3CB4">
        <w:tc>
          <w:tcPr>
            <w:tcW w:w="1809" w:type="dxa"/>
          </w:tcPr>
          <w:p w:rsidR="001E44D6" w:rsidRDefault="001E44D6" w:rsidP="000A3CB4">
            <w:pPr>
              <w:spacing w:line="240" w:lineRule="exact"/>
            </w:pPr>
            <w:r>
              <w:t>Ref.</w:t>
            </w:r>
          </w:p>
        </w:tc>
        <w:tc>
          <w:tcPr>
            <w:tcW w:w="6911" w:type="dxa"/>
          </w:tcPr>
          <w:p w:rsidR="001E44D6" w:rsidRDefault="001E44D6" w:rsidP="000A3CB4">
            <w:pPr>
              <w:spacing w:line="240" w:lineRule="exact"/>
              <w:rPr>
                <w:lang w:eastAsia="ja-JP"/>
              </w:rPr>
            </w:pPr>
            <w:r>
              <w:t>00</w:t>
            </w:r>
            <w:r w:rsidR="003517A0">
              <w:rPr>
                <w:rFonts w:hint="eastAsia"/>
                <w:lang w:eastAsia="ja-JP"/>
              </w:rPr>
              <w:t>5</w:t>
            </w:r>
          </w:p>
        </w:tc>
      </w:tr>
      <w:tr w:rsidR="001E44D6" w:rsidTr="000A3CB4">
        <w:tc>
          <w:tcPr>
            <w:tcW w:w="1809" w:type="dxa"/>
          </w:tcPr>
          <w:p w:rsidR="001E44D6" w:rsidRDefault="001E44D6" w:rsidP="000A3CB4">
            <w:pPr>
              <w:spacing w:line="240" w:lineRule="exact"/>
            </w:pPr>
            <w:r>
              <w:t>DRAFT  SECTION</w:t>
            </w:r>
          </w:p>
        </w:tc>
        <w:tc>
          <w:tcPr>
            <w:tcW w:w="6911" w:type="dxa"/>
          </w:tcPr>
          <w:p w:rsidR="001E44D6" w:rsidRDefault="001E44D6" w:rsidP="000A3CB4">
            <w:pPr>
              <w:spacing w:line="240" w:lineRule="exact"/>
            </w:pPr>
            <w:r>
              <w:rPr>
                <w:rFonts w:hint="eastAsia"/>
                <w:lang w:eastAsia="ja-JP"/>
              </w:rPr>
              <w:t>8.4.3.2</w:t>
            </w:r>
          </w:p>
        </w:tc>
      </w:tr>
      <w:tr w:rsidR="001E44D6" w:rsidTr="000A3CB4">
        <w:tc>
          <w:tcPr>
            <w:tcW w:w="1809" w:type="dxa"/>
          </w:tcPr>
          <w:p w:rsidR="001E44D6" w:rsidRDefault="001E44D6" w:rsidP="000A3CB4">
            <w:pPr>
              <w:spacing w:line="240" w:lineRule="exact"/>
            </w:pPr>
            <w:r>
              <w:t>Modification type</w:t>
            </w:r>
          </w:p>
        </w:tc>
        <w:tc>
          <w:tcPr>
            <w:tcW w:w="6911" w:type="dxa"/>
          </w:tcPr>
          <w:p w:rsidR="001E44D6" w:rsidRDefault="001E44D6" w:rsidP="000A3CB4">
            <w:pPr>
              <w:spacing w:line="240" w:lineRule="exact"/>
              <w:rPr>
                <w:lang w:eastAsia="ja-JP"/>
              </w:rPr>
            </w:pPr>
            <w:r>
              <w:rPr>
                <w:rFonts w:hint="eastAsia"/>
                <w:lang w:eastAsia="ja-JP"/>
              </w:rPr>
              <w:t>REPLACE</w:t>
            </w:r>
          </w:p>
        </w:tc>
      </w:tr>
      <w:tr w:rsidR="001E44D6" w:rsidRPr="00FF4031" w:rsidTr="000A3CB4">
        <w:tc>
          <w:tcPr>
            <w:tcW w:w="1809" w:type="dxa"/>
          </w:tcPr>
          <w:p w:rsidR="001E44D6" w:rsidRPr="00FF4031" w:rsidRDefault="001E44D6" w:rsidP="000A3CB4">
            <w:pPr>
              <w:spacing w:line="240" w:lineRule="exact"/>
              <w:rPr>
                <w:color w:val="000000" w:themeColor="text1"/>
              </w:rPr>
            </w:pPr>
            <w:r w:rsidRPr="00FF4031">
              <w:rPr>
                <w:color w:val="000000" w:themeColor="text1"/>
              </w:rPr>
              <w:t>Text</w:t>
            </w:r>
          </w:p>
        </w:tc>
        <w:tc>
          <w:tcPr>
            <w:tcW w:w="6911" w:type="dxa"/>
          </w:tcPr>
          <w:p w:rsidR="001E44D6" w:rsidRPr="001E44D6" w:rsidRDefault="001E44D6" w:rsidP="000A3CB4">
            <w:pPr>
              <w:spacing w:line="240" w:lineRule="exact"/>
              <w:rPr>
                <w:color w:val="365F91" w:themeColor="accent1" w:themeShade="BF"/>
                <w:lang w:eastAsia="ja-JP"/>
              </w:rPr>
            </w:pPr>
            <w:r w:rsidRPr="001E44D6">
              <w:rPr>
                <w:rFonts w:hint="eastAsia"/>
                <w:color w:val="365F91" w:themeColor="accent1" w:themeShade="BF"/>
                <w:lang w:val="en-US" w:eastAsia="ja-JP"/>
              </w:rPr>
              <w:t xml:space="preserve">(Replace </w:t>
            </w:r>
            <w:r w:rsidRPr="001E44D6">
              <w:rPr>
                <w:bCs/>
                <w:color w:val="365F91" w:themeColor="accent1" w:themeShade="BF"/>
                <w:lang w:val="en-US" w:eastAsia="ja-JP"/>
              </w:rPr>
              <w:t>Figure 29e</w:t>
            </w:r>
            <w:r w:rsidRPr="001E44D6">
              <w:rPr>
                <w:rFonts w:hint="eastAsia"/>
                <w:bCs/>
                <w:color w:val="365F91" w:themeColor="accent1" w:themeShade="BF"/>
                <w:lang w:val="en-US" w:eastAsia="ja-JP"/>
              </w:rPr>
              <w:t xml:space="preserve"> as follows)</w:t>
            </w:r>
          </w:p>
          <w:p w:rsidR="001E44D6" w:rsidRPr="00FF4031" w:rsidRDefault="001E44D6" w:rsidP="005C0ED4">
            <w:pPr>
              <w:spacing w:line="240" w:lineRule="exact"/>
              <w:rPr>
                <w:color w:val="000000" w:themeColor="text1"/>
                <w:lang w:eastAsia="ja-JP"/>
              </w:rPr>
            </w:pPr>
            <w:r>
              <w:rPr>
                <w:noProof/>
                <w:color w:val="000000" w:themeColor="text1"/>
                <w:lang w:val="en-US" w:eastAsia="ja-JP"/>
              </w:rPr>
              <w:drawing>
                <wp:anchor distT="0" distB="0" distL="114300" distR="114300" simplePos="0" relativeHeight="251665408" behindDoc="0" locked="0" layoutInCell="1" allowOverlap="1">
                  <wp:simplePos x="0" y="0"/>
                  <wp:positionH relativeFrom="column">
                    <wp:posOffset>386751</wp:posOffset>
                  </wp:positionH>
                  <wp:positionV relativeFrom="paragraph">
                    <wp:posOffset>77267</wp:posOffset>
                  </wp:positionV>
                  <wp:extent cx="3693855" cy="1009290"/>
                  <wp:effectExtent l="19050" t="0" r="184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3693855" cy="1009290"/>
                          </a:xfrm>
                          <a:prstGeom prst="rect">
                            <a:avLst/>
                          </a:prstGeom>
                          <a:noFill/>
                          <a:ln w="9525">
                            <a:noFill/>
                            <a:miter lim="800000"/>
                            <a:headEnd/>
                            <a:tailEnd/>
                          </a:ln>
                        </pic:spPr>
                      </pic:pic>
                    </a:graphicData>
                  </a:graphic>
                </wp:anchor>
              </w:drawing>
            </w:r>
            <w:r w:rsidR="003D1237">
              <w:rPr>
                <w:noProof/>
                <w:color w:val="000000" w:themeColor="text1"/>
                <w:lang w:val="en-US" w:eastAsia="ja-JP"/>
              </w:rPr>
              <w:pict>
                <v:group id="_x0000_s1038" editas="canvas" style="position:absolute;margin-left:-.15pt;margin-top:.15pt;width:334.75pt;height:96pt;z-index:251664384;mso-position-horizontal-relative:text;mso-position-vertical-relative:text" coordorigin="2362,14161" coordsize="7200,2065" o:allowoverlap="f">
                  <o:lock v:ext="edit" aspectratio="t"/>
                  <v:shape id="_x0000_s1039" type="#_x0000_t75" style="position:absolute;left:2362;top:14161;width:7200;height:2065" o:preferrelative="f">
                    <v:fill o:detectmouseclick="t"/>
                    <v:path o:extrusionok="t" o:connecttype="none"/>
                    <o:lock v:ext="edit" text="t"/>
                  </v:shape>
                  <w10:wrap type="topAndBottom"/>
                </v:group>
              </w:pict>
            </w:r>
          </w:p>
        </w:tc>
      </w:tr>
    </w:tbl>
    <w:p w:rsidR="00682B39" w:rsidRDefault="00682B39" w:rsidP="00F43D3C">
      <w:pPr>
        <w:rPr>
          <w:lang w:eastAsia="ja-JP"/>
        </w:rPr>
      </w:pPr>
    </w:p>
    <w:tbl>
      <w:tblPr>
        <w:tblStyle w:val="a3"/>
        <w:tblW w:w="0" w:type="auto"/>
        <w:tblLook w:val="04A0"/>
      </w:tblPr>
      <w:tblGrid>
        <w:gridCol w:w="1809"/>
        <w:gridCol w:w="6911"/>
      </w:tblGrid>
      <w:tr w:rsidR="000D5881" w:rsidTr="000A3CB4">
        <w:tc>
          <w:tcPr>
            <w:tcW w:w="1809" w:type="dxa"/>
          </w:tcPr>
          <w:p w:rsidR="000D5881" w:rsidRDefault="000D5881" w:rsidP="000A3CB4">
            <w:pPr>
              <w:spacing w:line="240" w:lineRule="exact"/>
            </w:pPr>
            <w:r>
              <w:t>Ref.</w:t>
            </w:r>
          </w:p>
        </w:tc>
        <w:tc>
          <w:tcPr>
            <w:tcW w:w="6911" w:type="dxa"/>
          </w:tcPr>
          <w:p w:rsidR="000D5881" w:rsidRDefault="000D5881" w:rsidP="000A3CB4">
            <w:pPr>
              <w:spacing w:line="240" w:lineRule="exact"/>
              <w:rPr>
                <w:lang w:eastAsia="ja-JP"/>
              </w:rPr>
            </w:pPr>
            <w:r>
              <w:t>00</w:t>
            </w:r>
            <w:r w:rsidR="003517A0">
              <w:rPr>
                <w:rFonts w:hint="eastAsia"/>
                <w:lang w:eastAsia="ja-JP"/>
              </w:rPr>
              <w:t>6</w:t>
            </w:r>
          </w:p>
        </w:tc>
      </w:tr>
      <w:tr w:rsidR="000D5881" w:rsidTr="000A3CB4">
        <w:tc>
          <w:tcPr>
            <w:tcW w:w="1809" w:type="dxa"/>
          </w:tcPr>
          <w:p w:rsidR="000D5881" w:rsidRDefault="000D5881" w:rsidP="000A3CB4">
            <w:pPr>
              <w:spacing w:line="240" w:lineRule="exact"/>
            </w:pPr>
            <w:r>
              <w:t>DRAFT  SECTION</w:t>
            </w:r>
          </w:p>
        </w:tc>
        <w:tc>
          <w:tcPr>
            <w:tcW w:w="6911" w:type="dxa"/>
          </w:tcPr>
          <w:p w:rsidR="000D5881" w:rsidRDefault="00E11C1F" w:rsidP="000A3CB4">
            <w:pPr>
              <w:spacing w:line="240" w:lineRule="exact"/>
            </w:pPr>
            <w:r w:rsidRPr="00E11C1F">
              <w:t>8.4.2 Fragmentation and reassembly</w:t>
            </w:r>
          </w:p>
        </w:tc>
      </w:tr>
      <w:tr w:rsidR="000D5881" w:rsidTr="000A3CB4">
        <w:tc>
          <w:tcPr>
            <w:tcW w:w="1809" w:type="dxa"/>
          </w:tcPr>
          <w:p w:rsidR="000D5881" w:rsidRDefault="000D5881" w:rsidP="000A3CB4">
            <w:pPr>
              <w:spacing w:line="240" w:lineRule="exact"/>
            </w:pPr>
            <w:r>
              <w:t>Modification type</w:t>
            </w:r>
          </w:p>
        </w:tc>
        <w:tc>
          <w:tcPr>
            <w:tcW w:w="6911" w:type="dxa"/>
          </w:tcPr>
          <w:p w:rsidR="000D5881" w:rsidRDefault="000D5881" w:rsidP="00E11C1F">
            <w:pPr>
              <w:spacing w:line="240" w:lineRule="exact"/>
              <w:rPr>
                <w:lang w:eastAsia="ja-JP"/>
              </w:rPr>
            </w:pPr>
            <w:r>
              <w:rPr>
                <w:rFonts w:hint="eastAsia"/>
                <w:lang w:eastAsia="ja-JP"/>
              </w:rPr>
              <w:t>REPLACE</w:t>
            </w:r>
            <w:r w:rsidR="00E11C1F">
              <w:rPr>
                <w:rFonts w:hint="eastAsia"/>
                <w:lang w:eastAsia="ja-JP"/>
              </w:rPr>
              <w:t xml:space="preserve"> </w:t>
            </w:r>
          </w:p>
        </w:tc>
      </w:tr>
      <w:tr w:rsidR="000D5881" w:rsidRPr="00FF4031" w:rsidTr="000A3CB4">
        <w:tc>
          <w:tcPr>
            <w:tcW w:w="1809" w:type="dxa"/>
          </w:tcPr>
          <w:p w:rsidR="000D5881" w:rsidRPr="00FF4031" w:rsidRDefault="000D5881" w:rsidP="000A3CB4">
            <w:pPr>
              <w:spacing w:line="240" w:lineRule="exact"/>
              <w:rPr>
                <w:color w:val="000000" w:themeColor="text1"/>
              </w:rPr>
            </w:pPr>
            <w:r w:rsidRPr="00FF4031">
              <w:rPr>
                <w:color w:val="000000" w:themeColor="text1"/>
              </w:rPr>
              <w:t>Text</w:t>
            </w:r>
          </w:p>
        </w:tc>
        <w:tc>
          <w:tcPr>
            <w:tcW w:w="6911" w:type="dxa"/>
          </w:tcPr>
          <w:p w:rsidR="000D5881" w:rsidRDefault="00E11C1F" w:rsidP="000A3CB4">
            <w:pPr>
              <w:spacing w:line="240" w:lineRule="exact"/>
              <w:rPr>
                <w:color w:val="365F91" w:themeColor="accent1" w:themeShade="BF"/>
                <w:lang w:eastAsia="ja-JP"/>
              </w:rPr>
            </w:pPr>
            <w:r>
              <w:rPr>
                <w:rFonts w:hint="eastAsia"/>
                <w:color w:val="365F91" w:themeColor="accent1" w:themeShade="BF"/>
                <w:lang w:eastAsia="ja-JP"/>
              </w:rPr>
              <w:t>(</w:t>
            </w:r>
            <w:r w:rsidR="00160655">
              <w:rPr>
                <w:rFonts w:hint="eastAsia"/>
                <w:color w:val="365F91" w:themeColor="accent1" w:themeShade="BF"/>
                <w:lang w:eastAsia="ja-JP"/>
              </w:rPr>
              <w:t>Also m</w:t>
            </w:r>
            <w:r>
              <w:rPr>
                <w:rFonts w:hint="eastAsia"/>
                <w:color w:val="365F91" w:themeColor="accent1" w:themeShade="BF"/>
                <w:lang w:eastAsia="ja-JP"/>
              </w:rPr>
              <w:t xml:space="preserve">ove this clause after Clause </w:t>
            </w:r>
            <w:r w:rsidRPr="00E11C1F">
              <w:rPr>
                <w:color w:val="365F91" w:themeColor="accent1" w:themeShade="BF"/>
                <w:lang w:eastAsia="ja-JP"/>
              </w:rPr>
              <w:t xml:space="preserve">8.4.3 </w:t>
            </w:r>
            <w:r w:rsidR="00160655">
              <w:rPr>
                <w:color w:val="365F91" w:themeColor="accent1" w:themeShade="BF"/>
                <w:lang w:eastAsia="ja-JP"/>
              </w:rPr>
              <w:t>“</w:t>
            </w:r>
            <w:r w:rsidRPr="00E11C1F">
              <w:rPr>
                <w:color w:val="365F91" w:themeColor="accent1" w:themeShade="BF"/>
                <w:lang w:eastAsia="ja-JP"/>
              </w:rPr>
              <w:t>Protected MIH protocol frame format</w:t>
            </w:r>
            <w:r w:rsidR="00160655">
              <w:rPr>
                <w:color w:val="365F91" w:themeColor="accent1" w:themeShade="BF"/>
                <w:lang w:eastAsia="ja-JP"/>
              </w:rPr>
              <w:t>”</w:t>
            </w:r>
            <w:r>
              <w:rPr>
                <w:rFonts w:hint="eastAsia"/>
                <w:color w:val="365F91" w:themeColor="accent1" w:themeShade="BF"/>
                <w:lang w:eastAsia="ja-JP"/>
              </w:rPr>
              <w:t>.)</w:t>
            </w:r>
          </w:p>
          <w:p w:rsidR="00E11C1F" w:rsidRPr="00160655" w:rsidRDefault="005F1BD8" w:rsidP="000A3CB4">
            <w:pPr>
              <w:spacing w:line="240" w:lineRule="exact"/>
              <w:rPr>
                <w:b/>
                <w:lang w:eastAsia="ja-JP"/>
              </w:rPr>
            </w:pPr>
            <w:r w:rsidRPr="00160655">
              <w:rPr>
                <w:b/>
              </w:rPr>
              <w:t>8.4.</w:t>
            </w:r>
            <w:r w:rsidR="00160655" w:rsidRPr="00160655">
              <w:rPr>
                <w:rFonts w:hint="eastAsia"/>
                <w:b/>
                <w:lang w:eastAsia="ja-JP"/>
              </w:rPr>
              <w:t>2</w:t>
            </w:r>
            <w:r w:rsidR="00E11C1F" w:rsidRPr="00160655">
              <w:rPr>
                <w:b/>
              </w:rPr>
              <w:t xml:space="preserve"> Fragmentation and reassembly</w:t>
            </w:r>
          </w:p>
          <w:p w:rsidR="005F1BD8" w:rsidRDefault="005F1BD8" w:rsidP="000A3CB4">
            <w:pPr>
              <w:spacing w:line="240" w:lineRule="exact"/>
              <w:rPr>
                <w:lang w:eastAsia="ja-JP"/>
              </w:rPr>
            </w:pPr>
          </w:p>
          <w:p w:rsidR="00160655" w:rsidRPr="00160655" w:rsidRDefault="00160655" w:rsidP="00160655">
            <w:pPr>
              <w:spacing w:line="240" w:lineRule="exact"/>
              <w:rPr>
                <w:b/>
                <w:bCs/>
                <w:lang w:val="en-US" w:eastAsia="ja-JP"/>
              </w:rPr>
            </w:pPr>
            <w:r>
              <w:rPr>
                <w:b/>
                <w:bCs/>
                <w:lang w:val="en-US" w:eastAsia="ja-JP"/>
              </w:rPr>
              <w:t>8.4.</w:t>
            </w:r>
            <w:r>
              <w:rPr>
                <w:rFonts w:hint="eastAsia"/>
                <w:b/>
                <w:bCs/>
                <w:lang w:val="en-US" w:eastAsia="ja-JP"/>
              </w:rPr>
              <w:t>2</w:t>
            </w:r>
            <w:r w:rsidRPr="00160655">
              <w:rPr>
                <w:b/>
                <w:bCs/>
                <w:lang w:val="en-US" w:eastAsia="ja-JP"/>
              </w:rPr>
              <w:t>.1 General</w:t>
            </w:r>
          </w:p>
          <w:p w:rsidR="00160655" w:rsidRDefault="00160655" w:rsidP="00160655">
            <w:pPr>
              <w:spacing w:line="240" w:lineRule="exact"/>
              <w:rPr>
                <w:lang w:val="en-US" w:eastAsia="ja-JP"/>
              </w:rPr>
            </w:pPr>
            <w:r w:rsidRPr="00160655">
              <w:rPr>
                <w:lang w:val="en-US" w:eastAsia="ja-JP"/>
              </w:rPr>
              <w:t>The MIH fragmentation mechanism is defined using 'M' (More Fragment) and 'FN' (Fragment Number)</w:t>
            </w:r>
            <w:r>
              <w:rPr>
                <w:rFonts w:hint="eastAsia"/>
                <w:lang w:val="en-US" w:eastAsia="ja-JP"/>
              </w:rPr>
              <w:t xml:space="preserve"> </w:t>
            </w:r>
            <w:r w:rsidRPr="00160655">
              <w:rPr>
                <w:lang w:val="en-US" w:eastAsia="ja-JP"/>
              </w:rPr>
              <w:t>fields of the MIH protocol header.</w:t>
            </w:r>
          </w:p>
          <w:p w:rsidR="00160655" w:rsidRPr="00160655" w:rsidRDefault="00160655" w:rsidP="00160655">
            <w:pPr>
              <w:spacing w:line="240" w:lineRule="exact"/>
              <w:rPr>
                <w:lang w:val="en-US" w:eastAsia="ja-JP"/>
              </w:rPr>
            </w:pPr>
          </w:p>
          <w:p w:rsidR="00160655" w:rsidRPr="00160655" w:rsidRDefault="00160655" w:rsidP="00160655">
            <w:pPr>
              <w:spacing w:line="240" w:lineRule="exact"/>
              <w:rPr>
                <w:lang w:val="en-US" w:eastAsia="ja-JP"/>
              </w:rPr>
            </w:pPr>
            <w:r w:rsidRPr="00160655">
              <w:rPr>
                <w:lang w:val="en-US" w:eastAsia="ja-JP"/>
              </w:rPr>
              <w:t xml:space="preserve">An MIH message is fragmented only when MIH message is sent natively </w:t>
            </w:r>
            <w:r w:rsidRPr="00160655">
              <w:rPr>
                <w:lang w:val="en-US" w:eastAsia="ja-JP"/>
              </w:rPr>
              <w:lastRenderedPageBreak/>
              <w:t xml:space="preserve">over an L2 medium such as Ethernet. The message is fragmented when the message size exceeds </w:t>
            </w:r>
            <w:proofErr w:type="spellStart"/>
            <w:r w:rsidRPr="00160655">
              <w:rPr>
                <w:lang w:val="en-US" w:eastAsia="ja-JP"/>
              </w:rPr>
              <w:t>aFragmentationThreshold</w:t>
            </w:r>
            <w:proofErr w:type="spellEnd"/>
            <w:r w:rsidRPr="00160655">
              <w:rPr>
                <w:lang w:val="en-US" w:eastAsia="ja-JP"/>
              </w:rPr>
              <w:t>. The size of</w:t>
            </w:r>
            <w:r>
              <w:rPr>
                <w:rFonts w:hint="eastAsia"/>
                <w:lang w:val="en-US" w:eastAsia="ja-JP"/>
              </w:rPr>
              <w:t xml:space="preserve"> </w:t>
            </w:r>
            <w:r w:rsidRPr="00160655">
              <w:rPr>
                <w:lang w:val="en-US" w:eastAsia="ja-JP"/>
              </w:rPr>
              <w:t>each of the fragments is the same except the last one, which may be smaller. The maximum fragment size is</w:t>
            </w:r>
            <w:r>
              <w:rPr>
                <w:rFonts w:hint="eastAsia"/>
                <w:lang w:val="en-US" w:eastAsia="ja-JP"/>
              </w:rPr>
              <w:t xml:space="preserve"> </w:t>
            </w:r>
            <w:r w:rsidRPr="00160655">
              <w:rPr>
                <w:lang w:val="en-US" w:eastAsia="ja-JP"/>
              </w:rPr>
              <w:t xml:space="preserve">defined as the maximum value of </w:t>
            </w:r>
            <w:proofErr w:type="spellStart"/>
            <w:r w:rsidRPr="00160655">
              <w:rPr>
                <w:lang w:val="en-US" w:eastAsia="ja-JP"/>
              </w:rPr>
              <w:t>aFragmentationThreshold</w:t>
            </w:r>
            <w:proofErr w:type="spellEnd"/>
            <w:r w:rsidRPr="00160655">
              <w:rPr>
                <w:lang w:val="en-US" w:eastAsia="ja-JP"/>
              </w:rPr>
              <w:t>, which shall be equal to the Maximum</w:t>
            </w:r>
            <w:r>
              <w:rPr>
                <w:rFonts w:hint="eastAsia"/>
                <w:lang w:val="en-US" w:eastAsia="ja-JP"/>
              </w:rPr>
              <w:t xml:space="preserve"> </w:t>
            </w:r>
            <w:r w:rsidRPr="00160655">
              <w:rPr>
                <w:lang w:val="en-US" w:eastAsia="ja-JP"/>
              </w:rPr>
              <w:t>Transmission Unit (MTU) of the link layer that is on the path between two MIHF nodes. When the MTU of</w:t>
            </w:r>
            <w:r>
              <w:rPr>
                <w:rFonts w:hint="eastAsia"/>
                <w:lang w:val="en-US" w:eastAsia="ja-JP"/>
              </w:rPr>
              <w:t xml:space="preserve"> </w:t>
            </w:r>
            <w:r w:rsidRPr="00160655">
              <w:rPr>
                <w:lang w:val="en-US" w:eastAsia="ja-JP"/>
              </w:rPr>
              <w:t>the link layer between two MIHF nodes is known, the maximum fragment size is set to the MTU. The</w:t>
            </w:r>
            <w:r>
              <w:rPr>
                <w:rFonts w:hint="eastAsia"/>
                <w:lang w:val="en-US" w:eastAsia="ja-JP"/>
              </w:rPr>
              <w:t xml:space="preserve"> </w:t>
            </w:r>
            <w:r w:rsidRPr="00160655">
              <w:rPr>
                <w:lang w:val="en-US" w:eastAsia="ja-JP"/>
              </w:rPr>
              <w:t>method of determining such an MTU is outside the scope of this standard. When the MTU of the link layer</w:t>
            </w:r>
            <w:r>
              <w:rPr>
                <w:rFonts w:hint="eastAsia"/>
                <w:lang w:val="en-US" w:eastAsia="ja-JP"/>
              </w:rPr>
              <w:t xml:space="preserve"> </w:t>
            </w:r>
            <w:r w:rsidRPr="00160655">
              <w:rPr>
                <w:lang w:val="en-US" w:eastAsia="ja-JP"/>
              </w:rPr>
              <w:t>between two MIHF nodes is unknown, the maximum fragment size is set to the minimum MTU of 1500</w:t>
            </w:r>
            <w:r>
              <w:rPr>
                <w:rFonts w:hint="eastAsia"/>
                <w:lang w:val="en-US" w:eastAsia="ja-JP"/>
              </w:rPr>
              <w:t xml:space="preserve"> </w:t>
            </w:r>
            <w:r w:rsidRPr="00160655">
              <w:rPr>
                <w:lang w:val="en-US" w:eastAsia="ja-JP"/>
              </w:rPr>
              <w:t>octets. When MIH message is sent using an L3 or higher layer transport, L3 takes care of any fragmentation</w:t>
            </w:r>
            <w:r>
              <w:rPr>
                <w:rFonts w:hint="eastAsia"/>
                <w:lang w:val="en-US" w:eastAsia="ja-JP"/>
              </w:rPr>
              <w:t xml:space="preserve"> </w:t>
            </w:r>
            <w:r w:rsidRPr="00160655">
              <w:rPr>
                <w:lang w:val="en-US" w:eastAsia="ja-JP"/>
              </w:rPr>
              <w:t>issue, and the MIH protocol does not handle fragmentation in such cases.</w:t>
            </w:r>
          </w:p>
          <w:p w:rsidR="00160655" w:rsidRPr="00160655" w:rsidRDefault="00160655" w:rsidP="00160655">
            <w:pPr>
              <w:spacing w:line="240" w:lineRule="exact"/>
              <w:rPr>
                <w:lang w:val="en-US" w:eastAsia="ja-JP"/>
              </w:rPr>
            </w:pPr>
            <w:r w:rsidRPr="00160655">
              <w:rPr>
                <w:lang w:val="en-US" w:eastAsia="ja-JP"/>
              </w:rPr>
              <w:t>Figure 29</w:t>
            </w:r>
            <w:r w:rsidR="000856F0">
              <w:rPr>
                <w:rFonts w:hint="eastAsia"/>
                <w:color w:val="FF0000"/>
                <w:lang w:val="en-US" w:eastAsia="ja-JP"/>
              </w:rPr>
              <w:t xml:space="preserve"> </w:t>
            </w:r>
            <w:r w:rsidRPr="00160655">
              <w:rPr>
                <w:lang w:val="en-US" w:eastAsia="ja-JP"/>
              </w:rPr>
              <w:t xml:space="preserve">shows the components of the fragmented </w:t>
            </w:r>
            <w:r w:rsidRPr="003A7673">
              <w:rPr>
                <w:lang w:val="en-US" w:eastAsia="ja-JP"/>
              </w:rPr>
              <w:t>MIH protocol frame</w:t>
            </w:r>
            <w:r w:rsidRPr="00160655">
              <w:rPr>
                <w:lang w:val="en-US" w:eastAsia="ja-JP"/>
              </w:rPr>
              <w:t xml:space="preserve">. The </w:t>
            </w:r>
            <w:r w:rsidRPr="003A7673">
              <w:rPr>
                <w:lang w:val="en-US" w:eastAsia="ja-JP"/>
              </w:rPr>
              <w:t>MIH protoc</w:t>
            </w:r>
            <w:r w:rsidR="000856F0" w:rsidRPr="003A7673">
              <w:rPr>
                <w:lang w:val="en-US" w:eastAsia="ja-JP"/>
              </w:rPr>
              <w:t xml:space="preserve">ol </w:t>
            </w:r>
            <w:r w:rsidR="000856F0">
              <w:rPr>
                <w:lang w:val="en-US" w:eastAsia="ja-JP"/>
              </w:rPr>
              <w:t>payload</w:t>
            </w:r>
            <w:r w:rsidR="000856F0">
              <w:rPr>
                <w:rFonts w:hint="eastAsia"/>
                <w:color w:val="FF0000"/>
                <w:lang w:val="en-US" w:eastAsia="ja-JP"/>
              </w:rPr>
              <w:t xml:space="preserve"> </w:t>
            </w:r>
            <w:r w:rsidRPr="00160655">
              <w:rPr>
                <w:lang w:val="en-US" w:eastAsia="ja-JP"/>
              </w:rPr>
              <w:t>carries</w:t>
            </w:r>
            <w:r>
              <w:rPr>
                <w:rFonts w:hint="eastAsia"/>
                <w:lang w:val="en-US" w:eastAsia="ja-JP"/>
              </w:rPr>
              <w:t xml:space="preserve"> </w:t>
            </w:r>
            <w:r w:rsidRPr="00160655">
              <w:rPr>
                <w:lang w:val="en-US" w:eastAsia="ja-JP"/>
              </w:rPr>
              <w:t xml:space="preserve">a Source MIHF Identifier TLV and a Destination MIHF Identifier TLV </w:t>
            </w:r>
            <w:r w:rsidR="003A7673">
              <w:rPr>
                <w:rFonts w:hint="eastAsia"/>
                <w:color w:val="FF0000"/>
                <w:lang w:val="en-US" w:eastAsia="ja-JP"/>
              </w:rPr>
              <w:t xml:space="preserve">or a Session ID TLV </w:t>
            </w:r>
            <w:r w:rsidRPr="00160655">
              <w:rPr>
                <w:lang w:val="en-US" w:eastAsia="ja-JP"/>
              </w:rPr>
              <w:t>followed by a fragment payload.</w:t>
            </w:r>
            <w:r w:rsidR="000856F0">
              <w:rPr>
                <w:rFonts w:hint="eastAsia"/>
                <w:lang w:val="en-US" w:eastAsia="ja-JP"/>
              </w:rPr>
              <w:t xml:space="preserve"> </w:t>
            </w:r>
          </w:p>
          <w:p w:rsidR="00160655" w:rsidRDefault="00160655" w:rsidP="00160655">
            <w:pPr>
              <w:spacing w:line="240" w:lineRule="exact"/>
              <w:rPr>
                <w:lang w:val="en-US" w:eastAsia="ja-JP"/>
              </w:rPr>
            </w:pPr>
            <w:r w:rsidRPr="00160655">
              <w:rPr>
                <w:lang w:val="en-US" w:eastAsia="ja-JP"/>
              </w:rPr>
              <w:t>Based on the fragment size, the fragment payload may not be aligned on a TLV boundary, i.e., TLVs other</w:t>
            </w:r>
            <w:r>
              <w:rPr>
                <w:rFonts w:hint="eastAsia"/>
                <w:lang w:val="en-US" w:eastAsia="ja-JP"/>
              </w:rPr>
              <w:t xml:space="preserve"> </w:t>
            </w:r>
            <w:r w:rsidRPr="00160655">
              <w:rPr>
                <w:lang w:val="en-US" w:eastAsia="ja-JP"/>
              </w:rPr>
              <w:t xml:space="preserve">than the source MIHF identifier and destination MIHF identifier TLVs </w:t>
            </w:r>
            <w:r w:rsidR="00D453F9">
              <w:rPr>
                <w:rFonts w:hint="eastAsia"/>
                <w:color w:val="FF0000"/>
                <w:lang w:val="en-US" w:eastAsia="ja-JP"/>
              </w:rPr>
              <w:t xml:space="preserve">and the Session ID TLV </w:t>
            </w:r>
            <w:r w:rsidRPr="00160655">
              <w:rPr>
                <w:lang w:val="en-US" w:eastAsia="ja-JP"/>
              </w:rPr>
              <w:t>may not be complete within the</w:t>
            </w:r>
            <w:r w:rsidR="000856F0">
              <w:rPr>
                <w:rFonts w:hint="eastAsia"/>
                <w:lang w:val="en-US" w:eastAsia="ja-JP"/>
              </w:rPr>
              <w:t xml:space="preserve"> </w:t>
            </w:r>
            <w:r w:rsidRPr="00160655">
              <w:rPr>
                <w:lang w:val="en-US" w:eastAsia="ja-JP"/>
              </w:rPr>
              <w:t>fragment payload. The fragment size may be smaller than the maximum fragment size and shall be larger</w:t>
            </w:r>
            <w:r>
              <w:rPr>
                <w:rFonts w:hint="eastAsia"/>
                <w:lang w:val="en-US" w:eastAsia="ja-JP"/>
              </w:rPr>
              <w:t xml:space="preserve"> </w:t>
            </w:r>
            <w:r w:rsidRPr="00160655">
              <w:rPr>
                <w:lang w:val="en-US" w:eastAsia="ja-JP"/>
              </w:rPr>
              <w:t>than the value that can generate more than 128 fragments.</w:t>
            </w:r>
          </w:p>
          <w:p w:rsidR="00160655" w:rsidRPr="00160655" w:rsidRDefault="00160655" w:rsidP="00160655">
            <w:pPr>
              <w:spacing w:line="240" w:lineRule="exact"/>
              <w:rPr>
                <w:color w:val="0070C0"/>
                <w:lang w:val="en-US" w:eastAsia="ja-JP"/>
              </w:rPr>
            </w:pPr>
            <w:r w:rsidRPr="00160655">
              <w:rPr>
                <w:rFonts w:hint="eastAsia"/>
                <w:color w:val="0070C0"/>
                <w:lang w:val="en-US" w:eastAsia="ja-JP"/>
              </w:rPr>
              <w:t>(Revise F</w:t>
            </w:r>
            <w:r w:rsidRPr="00160655">
              <w:rPr>
                <w:color w:val="0070C0"/>
                <w:lang w:val="en-US" w:eastAsia="ja-JP"/>
              </w:rPr>
              <w:t>i</w:t>
            </w:r>
            <w:r w:rsidRPr="00160655">
              <w:rPr>
                <w:rFonts w:hint="eastAsia"/>
                <w:color w:val="0070C0"/>
                <w:lang w:val="en-US" w:eastAsia="ja-JP"/>
              </w:rPr>
              <w:t>gure 29 as follows)</w:t>
            </w:r>
          </w:p>
          <w:p w:rsidR="00C6305C" w:rsidRDefault="00C6305C" w:rsidP="00160655">
            <w:pPr>
              <w:spacing w:line="240" w:lineRule="exact"/>
              <w:rPr>
                <w:lang w:eastAsia="ja-JP"/>
              </w:rPr>
            </w:pPr>
          </w:p>
          <w:p w:rsidR="00160655" w:rsidRDefault="00E02E17" w:rsidP="00C6305C">
            <w:pPr>
              <w:spacing w:line="240" w:lineRule="exact"/>
              <w:jc w:val="center"/>
              <w:rPr>
                <w:lang w:eastAsia="ja-JP"/>
              </w:rPr>
            </w:pPr>
            <w:r>
              <w:rPr>
                <w:noProof/>
                <w:lang w:val="en-US" w:eastAsia="ja-JP"/>
              </w:rPr>
              <w:drawing>
                <wp:anchor distT="0" distB="0" distL="114300" distR="114300" simplePos="0" relativeHeight="251680768" behindDoc="0" locked="0" layoutInCell="1" allowOverlap="1">
                  <wp:simplePos x="0" y="0"/>
                  <wp:positionH relativeFrom="column">
                    <wp:posOffset>46512</wp:posOffset>
                  </wp:positionH>
                  <wp:positionV relativeFrom="paragraph">
                    <wp:posOffset>432551</wp:posOffset>
                  </wp:positionV>
                  <wp:extent cx="3947308" cy="558140"/>
                  <wp:effectExtent l="1905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cstate="print"/>
                          <a:srcRect/>
                          <a:stretch>
                            <a:fillRect/>
                          </a:stretch>
                        </pic:blipFill>
                        <pic:spPr bwMode="auto">
                          <a:xfrm>
                            <a:off x="0" y="0"/>
                            <a:ext cx="3947308" cy="558140"/>
                          </a:xfrm>
                          <a:prstGeom prst="rect">
                            <a:avLst/>
                          </a:prstGeom>
                          <a:noFill/>
                          <a:ln w="9525">
                            <a:noFill/>
                            <a:miter lim="800000"/>
                            <a:headEnd/>
                            <a:tailEnd/>
                          </a:ln>
                        </pic:spPr>
                      </pic:pic>
                    </a:graphicData>
                  </a:graphic>
                </wp:anchor>
              </w:drawing>
            </w:r>
            <w:r w:rsidR="003D1237">
              <w:rPr>
                <w:noProof/>
                <w:lang w:val="en-US" w:eastAsia="ja-JP"/>
              </w:rPr>
              <w:pict>
                <v:group id="_x0000_s1048" editas="canvas" style="position:absolute;left:0;text-align:left;margin-left:-3.75pt;margin-top:3.15pt;width:334.75pt;height:109.5pt;z-index:251668480;mso-position-horizontal-relative:text;mso-position-vertical-relative:text" coordorigin="2357,4375" coordsize="7200,2355" o:allowoverlap="f">
                  <o:lock v:ext="edit" aspectratio="t"/>
                  <v:shape id="_x0000_s1047" type="#_x0000_t75" style="position:absolute;left:2357;top:4375;width:7200;height:2355" o:preferrelative="f">
                    <v:fill o:detectmouseclick="t"/>
                    <v:path o:extrusionok="t" o:connecttype="none"/>
                    <o:lock v:ext="edit" text="t"/>
                  </v:shape>
                  <w10:wrap type="topAndBottom"/>
                </v:group>
              </w:pict>
            </w:r>
            <w:r w:rsidR="00C6305C" w:rsidRPr="00C6305C">
              <w:rPr>
                <w:b/>
                <w:bCs/>
                <w:lang w:val="en-US" w:eastAsia="ja-JP"/>
              </w:rPr>
              <w:t>Figure 29—Fragmented MIH</w:t>
            </w:r>
            <w:r w:rsidR="00C6305C">
              <w:rPr>
                <w:b/>
                <w:bCs/>
                <w:lang w:val="en-US" w:eastAsia="ja-JP"/>
              </w:rPr>
              <w:t>/</w:t>
            </w:r>
            <w:r w:rsidR="00C6305C">
              <w:rPr>
                <w:rFonts w:hint="eastAsia"/>
                <w:b/>
                <w:bCs/>
                <w:lang w:val="en-US" w:eastAsia="ja-JP"/>
              </w:rPr>
              <w:t>MIHS</w:t>
            </w:r>
            <w:r w:rsidR="00C6305C" w:rsidRPr="00C6305C">
              <w:rPr>
                <w:b/>
                <w:bCs/>
                <w:lang w:val="en-US" w:eastAsia="ja-JP"/>
              </w:rPr>
              <w:t xml:space="preserve"> </w:t>
            </w:r>
            <w:r w:rsidR="00C6305C">
              <w:rPr>
                <w:rFonts w:hint="eastAsia"/>
                <w:b/>
                <w:bCs/>
                <w:lang w:val="en-US" w:eastAsia="ja-JP"/>
              </w:rPr>
              <w:t xml:space="preserve">PDU </w:t>
            </w:r>
            <w:r w:rsidR="00C6305C" w:rsidRPr="00C6305C">
              <w:rPr>
                <w:b/>
                <w:bCs/>
                <w:lang w:val="en-US" w:eastAsia="ja-JP"/>
              </w:rPr>
              <w:t>format</w:t>
            </w:r>
          </w:p>
          <w:p w:rsidR="00C6305C" w:rsidRDefault="00C6305C" w:rsidP="00160655">
            <w:pPr>
              <w:spacing w:line="240" w:lineRule="exact"/>
              <w:rPr>
                <w:lang w:eastAsia="ja-JP"/>
              </w:rPr>
            </w:pPr>
          </w:p>
          <w:p w:rsidR="00160655" w:rsidRDefault="00160655" w:rsidP="002A524B">
            <w:pPr>
              <w:spacing w:line="240" w:lineRule="exact"/>
              <w:rPr>
                <w:lang w:val="en-US" w:eastAsia="ja-JP"/>
              </w:rPr>
            </w:pPr>
            <w:r>
              <w:rPr>
                <w:b/>
                <w:bCs/>
                <w:lang w:val="en-US" w:eastAsia="ja-JP"/>
              </w:rPr>
              <w:t>8.4.</w:t>
            </w:r>
            <w:r>
              <w:rPr>
                <w:rFonts w:hint="eastAsia"/>
                <w:b/>
                <w:bCs/>
                <w:lang w:val="en-US" w:eastAsia="ja-JP"/>
              </w:rPr>
              <w:t>2</w:t>
            </w:r>
            <w:r w:rsidRPr="00160655">
              <w:rPr>
                <w:b/>
                <w:bCs/>
                <w:lang w:val="en-US" w:eastAsia="ja-JP"/>
              </w:rPr>
              <w:t>.2 Fragmentation</w:t>
            </w:r>
          </w:p>
          <w:p w:rsidR="002A524B" w:rsidRPr="002A524B" w:rsidRDefault="002A524B" w:rsidP="002A524B">
            <w:pPr>
              <w:spacing w:line="240" w:lineRule="exact"/>
              <w:rPr>
                <w:lang w:val="en-US" w:eastAsia="ja-JP"/>
              </w:rPr>
            </w:pPr>
            <w:r w:rsidRPr="002A524B">
              <w:rPr>
                <w:lang w:val="en-US" w:eastAsia="ja-JP"/>
              </w:rPr>
              <w:t xml:space="preserve">When an MIH message is fragmented, the fragmentation is performed within </w:t>
            </w:r>
            <w:proofErr w:type="gramStart"/>
            <w:r w:rsidRPr="002A524B">
              <w:rPr>
                <w:lang w:val="en-US" w:eastAsia="ja-JP"/>
              </w:rPr>
              <w:t>'Transmit(</w:t>
            </w:r>
            <w:proofErr w:type="gramEnd"/>
            <w:r w:rsidRPr="002A524B">
              <w:rPr>
                <w:lang w:val="en-US" w:eastAsia="ja-JP"/>
              </w:rPr>
              <w:t>)' procedure in the</w:t>
            </w:r>
            <w:r>
              <w:rPr>
                <w:rFonts w:hint="eastAsia"/>
                <w:lang w:val="en-US" w:eastAsia="ja-JP"/>
              </w:rPr>
              <w:t xml:space="preserve"> </w:t>
            </w:r>
            <w:r w:rsidRPr="002A524B">
              <w:rPr>
                <w:lang w:val="en-US" w:eastAsia="ja-JP"/>
              </w:rPr>
              <w:t xml:space="preserve">MIH transaction protocol state machines. The MIH </w:t>
            </w:r>
            <w:r w:rsidR="00D453F9">
              <w:rPr>
                <w:rFonts w:hint="eastAsia"/>
                <w:color w:val="FF0000"/>
                <w:lang w:val="en-US" w:eastAsia="ja-JP"/>
              </w:rPr>
              <w:t xml:space="preserve">or MIHS </w:t>
            </w:r>
            <w:r w:rsidRPr="000414AE">
              <w:rPr>
                <w:lang w:val="en-US" w:eastAsia="ja-JP"/>
              </w:rPr>
              <w:t>header</w:t>
            </w:r>
            <w:r w:rsidR="00D453F9" w:rsidRPr="000414AE">
              <w:rPr>
                <w:rFonts w:hint="eastAsia"/>
                <w:lang w:val="en-US" w:eastAsia="ja-JP"/>
              </w:rPr>
              <w:t xml:space="preserve"> </w:t>
            </w:r>
            <w:r w:rsidRPr="002A524B">
              <w:rPr>
                <w:lang w:val="en-US" w:eastAsia="ja-JP"/>
              </w:rPr>
              <w:t>, the source MIHF identifier TLV and</w:t>
            </w:r>
          </w:p>
          <w:p w:rsidR="002A524B" w:rsidRPr="002A524B" w:rsidRDefault="002A524B" w:rsidP="002A524B">
            <w:pPr>
              <w:spacing w:line="240" w:lineRule="exact"/>
              <w:rPr>
                <w:lang w:val="en-US" w:eastAsia="ja-JP"/>
              </w:rPr>
            </w:pPr>
            <w:proofErr w:type="gramStart"/>
            <w:r w:rsidRPr="002A524B">
              <w:rPr>
                <w:lang w:val="en-US" w:eastAsia="ja-JP"/>
              </w:rPr>
              <w:t>destination</w:t>
            </w:r>
            <w:proofErr w:type="gramEnd"/>
            <w:r w:rsidRPr="002A524B">
              <w:rPr>
                <w:lang w:val="en-US" w:eastAsia="ja-JP"/>
              </w:rPr>
              <w:t xml:space="preserve"> MIHF identifier TLV </w:t>
            </w:r>
            <w:r w:rsidR="000414AE">
              <w:rPr>
                <w:rFonts w:hint="eastAsia"/>
                <w:color w:val="FF0000"/>
                <w:lang w:val="en-US" w:eastAsia="ja-JP"/>
              </w:rPr>
              <w:t>or</w:t>
            </w:r>
            <w:r w:rsidR="00D453F9">
              <w:rPr>
                <w:rFonts w:hint="eastAsia"/>
                <w:color w:val="FF0000"/>
                <w:lang w:val="en-US" w:eastAsia="ja-JP"/>
              </w:rPr>
              <w:t xml:space="preserve"> the Session ID TLV </w:t>
            </w:r>
            <w:r w:rsidRPr="002A524B">
              <w:rPr>
                <w:lang w:val="en-US" w:eastAsia="ja-JP"/>
              </w:rPr>
              <w:t>of the original message are copied to each fragment. However the 'variable</w:t>
            </w:r>
            <w:r>
              <w:rPr>
                <w:rFonts w:hint="eastAsia"/>
                <w:lang w:val="en-US" w:eastAsia="ja-JP"/>
              </w:rPr>
              <w:t xml:space="preserve"> </w:t>
            </w:r>
            <w:r w:rsidRPr="002A524B">
              <w:rPr>
                <w:lang w:val="en-US" w:eastAsia="ja-JP"/>
              </w:rPr>
              <w:t>payload length', 'more fragment', and 'fragment number' fields are updated accordingly for each fragment.</w:t>
            </w:r>
          </w:p>
          <w:p w:rsidR="002A524B" w:rsidRPr="002A524B" w:rsidRDefault="002A524B" w:rsidP="002A524B">
            <w:pPr>
              <w:spacing w:line="240" w:lineRule="exact"/>
              <w:rPr>
                <w:lang w:val="en-US" w:eastAsia="ja-JP"/>
              </w:rPr>
            </w:pPr>
            <w:r w:rsidRPr="002A524B">
              <w:rPr>
                <w:lang w:val="en-US" w:eastAsia="ja-JP"/>
              </w:rPr>
              <w:t xml:space="preserve">Variable payload length of each fragment indicates the number of octets in the </w:t>
            </w:r>
            <w:r w:rsidRPr="000414AE">
              <w:rPr>
                <w:lang w:val="en-US" w:eastAsia="ja-JP"/>
              </w:rPr>
              <w:t xml:space="preserve">MIH protocol </w:t>
            </w:r>
            <w:r w:rsidRPr="002A524B">
              <w:rPr>
                <w:lang w:val="en-US" w:eastAsia="ja-JP"/>
              </w:rPr>
              <w:t>payload of that</w:t>
            </w:r>
            <w:r>
              <w:rPr>
                <w:rFonts w:hint="eastAsia"/>
                <w:lang w:val="en-US" w:eastAsia="ja-JP"/>
              </w:rPr>
              <w:t xml:space="preserve"> </w:t>
            </w:r>
            <w:r w:rsidRPr="002A524B">
              <w:rPr>
                <w:lang w:val="en-US" w:eastAsia="ja-JP"/>
              </w:rPr>
              <w:t>fragment.</w:t>
            </w:r>
          </w:p>
          <w:p w:rsidR="002A524B" w:rsidRPr="002A524B" w:rsidRDefault="002A524B" w:rsidP="002A524B">
            <w:pPr>
              <w:spacing w:line="240" w:lineRule="exact"/>
              <w:rPr>
                <w:lang w:val="en-US" w:eastAsia="ja-JP"/>
              </w:rPr>
            </w:pPr>
            <w:r w:rsidRPr="002A524B">
              <w:rPr>
                <w:lang w:val="en-US" w:eastAsia="ja-JP"/>
              </w:rPr>
              <w:t>'More fragment' and 'fragment number' fields of each fragment are set according to the description in</w:t>
            </w:r>
            <w:r>
              <w:rPr>
                <w:rFonts w:hint="eastAsia"/>
                <w:lang w:val="en-US" w:eastAsia="ja-JP"/>
              </w:rPr>
              <w:t xml:space="preserve"> </w:t>
            </w:r>
            <w:r w:rsidRPr="002A524B">
              <w:rPr>
                <w:lang w:val="en-US" w:eastAsia="ja-JP"/>
              </w:rPr>
              <w:t>Table 23.</w:t>
            </w:r>
          </w:p>
          <w:p w:rsidR="002A524B" w:rsidRPr="002A524B" w:rsidRDefault="002A524B" w:rsidP="002A524B">
            <w:pPr>
              <w:spacing w:line="240" w:lineRule="exact"/>
              <w:rPr>
                <w:lang w:val="en-US" w:eastAsia="ja-JP"/>
              </w:rPr>
            </w:pPr>
            <w:r w:rsidRPr="002A524B">
              <w:rPr>
                <w:lang w:val="en-US" w:eastAsia="ja-JP"/>
              </w:rPr>
              <w:t>When data are to be transmitted, the number of octets in the fragment shall be determined by the fragment</w:t>
            </w:r>
            <w:r>
              <w:rPr>
                <w:rFonts w:hint="eastAsia"/>
                <w:lang w:val="en-US" w:eastAsia="ja-JP"/>
              </w:rPr>
              <w:t xml:space="preserve"> </w:t>
            </w:r>
            <w:r w:rsidRPr="002A524B">
              <w:rPr>
                <w:lang w:val="en-US" w:eastAsia="ja-JP"/>
              </w:rPr>
              <w:t>size and the number of octets in the multi-fragment message that have yet to be assigned to a fragment at the</w:t>
            </w:r>
          </w:p>
          <w:p w:rsidR="002A524B" w:rsidRPr="002A524B" w:rsidRDefault="002A524B" w:rsidP="002A524B">
            <w:pPr>
              <w:spacing w:line="240" w:lineRule="exact"/>
              <w:rPr>
                <w:lang w:val="en-US" w:eastAsia="ja-JP"/>
              </w:rPr>
            </w:pPr>
            <w:proofErr w:type="gramStart"/>
            <w:r w:rsidRPr="002A524B">
              <w:rPr>
                <w:lang w:val="en-US" w:eastAsia="ja-JP"/>
              </w:rPr>
              <w:t>instant</w:t>
            </w:r>
            <w:proofErr w:type="gramEnd"/>
            <w:r w:rsidRPr="002A524B">
              <w:rPr>
                <w:lang w:val="en-US" w:eastAsia="ja-JP"/>
              </w:rPr>
              <w:t xml:space="preserve"> the fragment is constructed for the first time. Once a fragment is transmitted for the first time, its</w:t>
            </w:r>
            <w:r>
              <w:rPr>
                <w:rFonts w:hint="eastAsia"/>
                <w:lang w:val="en-US" w:eastAsia="ja-JP"/>
              </w:rPr>
              <w:t xml:space="preserve"> </w:t>
            </w:r>
            <w:r w:rsidRPr="002A524B">
              <w:rPr>
                <w:lang w:val="en-US" w:eastAsia="ja-JP"/>
              </w:rPr>
              <w:t>frame body content and length shall be fixed until it is successfully delivered to the destination MIHF.</w:t>
            </w:r>
          </w:p>
          <w:p w:rsidR="002A524B" w:rsidRDefault="002A524B" w:rsidP="002A524B">
            <w:pPr>
              <w:spacing w:line="240" w:lineRule="exact"/>
              <w:rPr>
                <w:lang w:eastAsia="ja-JP"/>
              </w:rPr>
            </w:pPr>
            <w:r w:rsidRPr="002A524B">
              <w:rPr>
                <w:lang w:val="en-US" w:eastAsia="ja-JP"/>
              </w:rPr>
              <w:t xml:space="preserve">No retransmission by the MIH protocol (defined in 8.2) is performed for any single fragment of a </w:t>
            </w:r>
            <w:proofErr w:type="spellStart"/>
            <w:r w:rsidRPr="002A524B">
              <w:rPr>
                <w:lang w:val="en-US" w:eastAsia="ja-JP"/>
              </w:rPr>
              <w:t>multifragment</w:t>
            </w:r>
            <w:proofErr w:type="spellEnd"/>
            <w:r>
              <w:rPr>
                <w:rFonts w:hint="eastAsia"/>
                <w:lang w:val="en-US" w:eastAsia="ja-JP"/>
              </w:rPr>
              <w:t xml:space="preserve"> </w:t>
            </w:r>
            <w:r w:rsidRPr="002A524B">
              <w:rPr>
                <w:lang w:val="en-US" w:eastAsia="ja-JP"/>
              </w:rPr>
              <w:t>message.</w:t>
            </w:r>
          </w:p>
          <w:p w:rsidR="005F1BD8" w:rsidRDefault="005F1BD8" w:rsidP="000A3CB4">
            <w:pPr>
              <w:spacing w:line="240" w:lineRule="exact"/>
              <w:rPr>
                <w:color w:val="365F91" w:themeColor="accent1" w:themeShade="BF"/>
                <w:lang w:eastAsia="ja-JP"/>
              </w:rPr>
            </w:pPr>
          </w:p>
          <w:p w:rsidR="00160655" w:rsidRPr="00160655" w:rsidRDefault="00160655" w:rsidP="00160655">
            <w:pPr>
              <w:rPr>
                <w:b/>
                <w:lang w:eastAsia="ja-JP"/>
              </w:rPr>
            </w:pPr>
            <w:r w:rsidRPr="00160655">
              <w:rPr>
                <w:b/>
                <w:lang w:eastAsia="ja-JP"/>
              </w:rPr>
              <w:t>8.4.2.3 Reassembly</w:t>
            </w:r>
          </w:p>
          <w:p w:rsidR="00160655" w:rsidRPr="00160655" w:rsidRDefault="00160655" w:rsidP="00160655">
            <w:pPr>
              <w:rPr>
                <w:lang w:eastAsia="ja-JP"/>
              </w:rPr>
            </w:pPr>
            <w:r w:rsidRPr="00160655">
              <w:rPr>
                <w:lang w:eastAsia="ja-JP"/>
              </w:rPr>
              <w:t>The destination MIHF reassembles the received fragments into an original message. Reassembly is</w:t>
            </w:r>
            <w:r>
              <w:rPr>
                <w:rFonts w:hint="eastAsia"/>
                <w:lang w:eastAsia="ja-JP"/>
              </w:rPr>
              <w:t xml:space="preserve"> </w:t>
            </w:r>
            <w:r w:rsidRPr="00160655">
              <w:rPr>
                <w:lang w:eastAsia="ja-JP"/>
              </w:rPr>
              <w:t>performed outside the MIH transaction state machines. 'MsgIn' and 'MsgInAvail' variables are set only after</w:t>
            </w:r>
          </w:p>
          <w:p w:rsidR="00160655" w:rsidRPr="00160655" w:rsidRDefault="00160655" w:rsidP="00160655">
            <w:pPr>
              <w:rPr>
                <w:lang w:eastAsia="ja-JP"/>
              </w:rPr>
            </w:pPr>
            <w:r w:rsidRPr="00160655">
              <w:rPr>
                <w:lang w:eastAsia="ja-JP"/>
              </w:rPr>
              <w:t>successful reassembly. An MIHF shall be capable of receiving fragments of arbitrary length.</w:t>
            </w:r>
          </w:p>
          <w:p w:rsidR="00160655" w:rsidRDefault="00160655" w:rsidP="00160655">
            <w:pPr>
              <w:rPr>
                <w:lang w:eastAsia="ja-JP"/>
              </w:rPr>
            </w:pPr>
            <w:r w:rsidRPr="00160655">
              <w:rPr>
                <w:lang w:eastAsia="ja-JP"/>
              </w:rPr>
              <w:t>The following fields are used for reassembling fragments:</w:t>
            </w:r>
          </w:p>
          <w:p w:rsidR="000414AE" w:rsidRPr="000414AE" w:rsidRDefault="000414AE" w:rsidP="000414AE">
            <w:pPr>
              <w:rPr>
                <w:color w:val="FF0000"/>
                <w:lang w:eastAsia="ja-JP"/>
              </w:rPr>
            </w:pPr>
            <w:r w:rsidRPr="000414AE">
              <w:rPr>
                <w:rFonts w:hint="eastAsia"/>
                <w:color w:val="FF0000"/>
                <w:lang w:eastAsia="ja-JP"/>
              </w:rPr>
              <w:t>—</w:t>
            </w:r>
            <w:r w:rsidRPr="000414AE">
              <w:rPr>
                <w:color w:val="FF0000"/>
                <w:lang w:eastAsia="ja-JP"/>
              </w:rPr>
              <w:t xml:space="preserve"> </w:t>
            </w:r>
            <w:r w:rsidRPr="000414AE">
              <w:rPr>
                <w:rFonts w:hint="eastAsia"/>
                <w:color w:val="FF0000"/>
                <w:lang w:eastAsia="ja-JP"/>
              </w:rPr>
              <w:t>S bit</w:t>
            </w:r>
          </w:p>
          <w:p w:rsidR="00160655" w:rsidRPr="00160655" w:rsidRDefault="00160655" w:rsidP="00160655">
            <w:pPr>
              <w:rPr>
                <w:lang w:eastAsia="ja-JP"/>
              </w:rPr>
            </w:pPr>
            <w:r w:rsidRPr="00160655">
              <w:rPr>
                <w:rFonts w:hint="eastAsia"/>
                <w:lang w:eastAsia="ja-JP"/>
              </w:rPr>
              <w:t>—</w:t>
            </w:r>
            <w:r w:rsidRPr="00160655">
              <w:rPr>
                <w:lang w:eastAsia="ja-JP"/>
              </w:rPr>
              <w:t xml:space="preserve"> MIH message ID</w:t>
            </w:r>
          </w:p>
          <w:p w:rsidR="00160655" w:rsidRPr="00160655" w:rsidRDefault="00160655" w:rsidP="00160655">
            <w:pPr>
              <w:rPr>
                <w:lang w:eastAsia="ja-JP"/>
              </w:rPr>
            </w:pPr>
            <w:r w:rsidRPr="00160655">
              <w:rPr>
                <w:rFonts w:hint="eastAsia"/>
                <w:lang w:eastAsia="ja-JP"/>
              </w:rPr>
              <w:t>—</w:t>
            </w:r>
            <w:r w:rsidRPr="00160655">
              <w:rPr>
                <w:lang w:eastAsia="ja-JP"/>
              </w:rPr>
              <w:t xml:space="preserve"> Transaction ID</w:t>
            </w:r>
          </w:p>
          <w:p w:rsidR="00160655" w:rsidRPr="000414AE" w:rsidRDefault="00160655" w:rsidP="00160655">
            <w:pPr>
              <w:rPr>
                <w:color w:val="FF0000"/>
                <w:lang w:eastAsia="ja-JP"/>
              </w:rPr>
            </w:pPr>
            <w:r w:rsidRPr="00160655">
              <w:rPr>
                <w:rFonts w:hint="eastAsia"/>
                <w:lang w:eastAsia="ja-JP"/>
              </w:rPr>
              <w:t>—</w:t>
            </w:r>
            <w:r w:rsidRPr="00160655">
              <w:rPr>
                <w:lang w:eastAsia="ja-JP"/>
              </w:rPr>
              <w:t xml:space="preserve"> Source MIHF identifier TLV</w:t>
            </w:r>
          </w:p>
          <w:p w:rsidR="00160655" w:rsidRPr="000414AE" w:rsidRDefault="00160655" w:rsidP="00160655">
            <w:pPr>
              <w:rPr>
                <w:color w:val="FF0000"/>
                <w:lang w:eastAsia="ja-JP"/>
              </w:rPr>
            </w:pPr>
            <w:r w:rsidRPr="00160655">
              <w:rPr>
                <w:rFonts w:hint="eastAsia"/>
                <w:lang w:eastAsia="ja-JP"/>
              </w:rPr>
              <w:t>—</w:t>
            </w:r>
            <w:r w:rsidRPr="00160655">
              <w:rPr>
                <w:lang w:eastAsia="ja-JP"/>
              </w:rPr>
              <w:t xml:space="preserve"> Destination MIHF identifier TLV</w:t>
            </w:r>
          </w:p>
          <w:p w:rsidR="000414AE" w:rsidRPr="00160655" w:rsidRDefault="000414AE" w:rsidP="00160655">
            <w:pPr>
              <w:rPr>
                <w:lang w:eastAsia="ja-JP"/>
              </w:rPr>
            </w:pPr>
            <w:r w:rsidRPr="000414AE">
              <w:rPr>
                <w:rFonts w:hint="eastAsia"/>
                <w:color w:val="FF0000"/>
                <w:lang w:eastAsia="ja-JP"/>
              </w:rPr>
              <w:t>—</w:t>
            </w:r>
            <w:r w:rsidRPr="000414AE">
              <w:rPr>
                <w:color w:val="FF0000"/>
                <w:lang w:eastAsia="ja-JP"/>
              </w:rPr>
              <w:t xml:space="preserve"> </w:t>
            </w:r>
            <w:r w:rsidRPr="000414AE">
              <w:rPr>
                <w:rFonts w:hint="eastAsia"/>
                <w:color w:val="FF0000"/>
                <w:lang w:eastAsia="ja-JP"/>
              </w:rPr>
              <w:t>S</w:t>
            </w:r>
            <w:r>
              <w:rPr>
                <w:rFonts w:hint="eastAsia"/>
                <w:color w:val="FF0000"/>
                <w:lang w:eastAsia="ja-JP"/>
              </w:rPr>
              <w:t xml:space="preserve">ession ID TLV (when </w:t>
            </w:r>
            <w:r w:rsidR="00262F79">
              <w:rPr>
                <w:rFonts w:hint="eastAsia"/>
                <w:color w:val="FF0000"/>
                <w:lang w:eastAsia="ja-JP"/>
              </w:rPr>
              <w:t>Source and Destination MIHF identifiers are not present</w:t>
            </w:r>
            <w:r>
              <w:rPr>
                <w:rFonts w:hint="eastAsia"/>
                <w:color w:val="FF0000"/>
                <w:lang w:eastAsia="ja-JP"/>
              </w:rPr>
              <w:t>)</w:t>
            </w:r>
          </w:p>
          <w:p w:rsidR="00160655" w:rsidRPr="00160655" w:rsidRDefault="00160655" w:rsidP="00160655">
            <w:pPr>
              <w:rPr>
                <w:lang w:eastAsia="ja-JP"/>
              </w:rPr>
            </w:pPr>
            <w:r w:rsidRPr="00160655">
              <w:rPr>
                <w:rFonts w:hint="eastAsia"/>
                <w:lang w:eastAsia="ja-JP"/>
              </w:rPr>
              <w:t>—</w:t>
            </w:r>
            <w:r w:rsidRPr="00160655">
              <w:rPr>
                <w:lang w:eastAsia="ja-JP"/>
              </w:rPr>
              <w:t xml:space="preserve"> More fragment</w:t>
            </w:r>
          </w:p>
          <w:p w:rsidR="00160655" w:rsidRPr="00160655" w:rsidRDefault="00160655" w:rsidP="00160655">
            <w:pPr>
              <w:rPr>
                <w:lang w:eastAsia="ja-JP"/>
              </w:rPr>
            </w:pPr>
            <w:r w:rsidRPr="00160655">
              <w:rPr>
                <w:rFonts w:hint="eastAsia"/>
                <w:lang w:eastAsia="ja-JP"/>
              </w:rPr>
              <w:t>—</w:t>
            </w:r>
            <w:r w:rsidRPr="00160655">
              <w:rPr>
                <w:lang w:eastAsia="ja-JP"/>
              </w:rPr>
              <w:t xml:space="preserve"> Fragment number</w:t>
            </w:r>
          </w:p>
          <w:p w:rsidR="00160655" w:rsidRPr="00160655" w:rsidRDefault="00160655" w:rsidP="00160655">
            <w:pPr>
              <w:rPr>
                <w:lang w:eastAsia="ja-JP"/>
              </w:rPr>
            </w:pPr>
            <w:r w:rsidRPr="00160655">
              <w:rPr>
                <w:lang w:eastAsia="ja-JP"/>
              </w:rPr>
              <w:t>When any fragment of a multi-fragment message has arrived first, the destination MIHF starts a timer</w:t>
            </w:r>
            <w:r>
              <w:rPr>
                <w:rFonts w:hint="eastAsia"/>
                <w:lang w:eastAsia="ja-JP"/>
              </w:rPr>
              <w:t xml:space="preserve"> </w:t>
            </w:r>
            <w:r w:rsidRPr="00160655">
              <w:rPr>
                <w:lang w:eastAsia="ja-JP"/>
              </w:rPr>
              <w:t>referred to as ReassemblyTimer. If this ReassemblyTimer expires before all fragments have been received,</w:t>
            </w:r>
          </w:p>
          <w:p w:rsidR="00160655" w:rsidRPr="00160655" w:rsidRDefault="00160655" w:rsidP="00160655">
            <w:pPr>
              <w:rPr>
                <w:lang w:eastAsia="ja-JP"/>
              </w:rPr>
            </w:pPr>
            <w:r w:rsidRPr="00160655">
              <w:rPr>
                <w:lang w:eastAsia="ja-JP"/>
              </w:rPr>
              <w:t>the destination MIHF discards those fragments that it has received. A duplicate fragment is discarded.</w:t>
            </w:r>
          </w:p>
          <w:p w:rsidR="000D5881" w:rsidRPr="00160655" w:rsidRDefault="00160655" w:rsidP="000A3CB4">
            <w:pPr>
              <w:spacing w:line="240" w:lineRule="exact"/>
              <w:rPr>
                <w:lang w:eastAsia="ja-JP"/>
              </w:rPr>
            </w:pPr>
            <w:r w:rsidRPr="00160655">
              <w:rPr>
                <w:lang w:eastAsia="ja-JP"/>
              </w:rPr>
              <w:t>An example of an original MIH message and fragmented MIH messages is shown in Annex K.</w:t>
            </w:r>
          </w:p>
        </w:tc>
      </w:tr>
    </w:tbl>
    <w:p w:rsidR="000D5881" w:rsidRPr="000D5881" w:rsidRDefault="000D5881" w:rsidP="00F43D3C">
      <w:pPr>
        <w:rPr>
          <w:lang w:eastAsia="ja-JP"/>
        </w:rPr>
      </w:pPr>
    </w:p>
    <w:p w:rsidR="00AF6622" w:rsidRDefault="00AF6622">
      <w:pPr>
        <w:rPr>
          <w:lang w:eastAsia="ja-JP"/>
        </w:rPr>
      </w:pPr>
      <w:r>
        <w:rPr>
          <w:lang w:eastAsia="ja-JP"/>
        </w:rPr>
        <w:br w:type="page"/>
      </w:r>
    </w:p>
    <w:tbl>
      <w:tblPr>
        <w:tblStyle w:val="a3"/>
        <w:tblW w:w="0" w:type="auto"/>
        <w:tblLook w:val="04A0"/>
      </w:tblPr>
      <w:tblGrid>
        <w:gridCol w:w="1809"/>
        <w:gridCol w:w="6911"/>
      </w:tblGrid>
      <w:tr w:rsidR="00AF6622" w:rsidTr="003D21F0">
        <w:tc>
          <w:tcPr>
            <w:tcW w:w="1809" w:type="dxa"/>
          </w:tcPr>
          <w:p w:rsidR="00AF6622" w:rsidRDefault="00AF6622" w:rsidP="003D21F0">
            <w:pPr>
              <w:spacing w:line="240" w:lineRule="exact"/>
            </w:pPr>
            <w:r>
              <w:lastRenderedPageBreak/>
              <w:t>Ref.</w:t>
            </w:r>
          </w:p>
        </w:tc>
        <w:tc>
          <w:tcPr>
            <w:tcW w:w="6911" w:type="dxa"/>
          </w:tcPr>
          <w:p w:rsidR="00AF6622" w:rsidRDefault="00AF6622" w:rsidP="003D21F0">
            <w:pPr>
              <w:spacing w:line="240" w:lineRule="exact"/>
              <w:rPr>
                <w:lang w:eastAsia="ja-JP"/>
              </w:rPr>
            </w:pPr>
            <w:r>
              <w:t>00</w:t>
            </w:r>
            <w:r>
              <w:rPr>
                <w:rFonts w:hint="eastAsia"/>
                <w:lang w:eastAsia="ja-JP"/>
              </w:rPr>
              <w:t>7</w:t>
            </w:r>
          </w:p>
        </w:tc>
      </w:tr>
      <w:tr w:rsidR="00AF6622" w:rsidTr="003D21F0">
        <w:tc>
          <w:tcPr>
            <w:tcW w:w="1809" w:type="dxa"/>
          </w:tcPr>
          <w:p w:rsidR="00AF6622" w:rsidRDefault="00AF6622" w:rsidP="003D21F0">
            <w:pPr>
              <w:spacing w:line="240" w:lineRule="exact"/>
            </w:pPr>
            <w:r>
              <w:t>DRAFT  SECTION</w:t>
            </w:r>
          </w:p>
        </w:tc>
        <w:tc>
          <w:tcPr>
            <w:tcW w:w="6911" w:type="dxa"/>
          </w:tcPr>
          <w:p w:rsidR="00AF6622" w:rsidRDefault="004A18C9" w:rsidP="003D21F0">
            <w:pPr>
              <w:spacing w:line="240" w:lineRule="exact"/>
            </w:pPr>
            <w:r>
              <w:rPr>
                <w:rFonts w:hint="eastAsia"/>
                <w:lang w:eastAsia="ja-JP"/>
              </w:rPr>
              <w:t>8.4.3.1</w:t>
            </w:r>
          </w:p>
        </w:tc>
      </w:tr>
      <w:tr w:rsidR="00AF6622" w:rsidTr="003D21F0">
        <w:tc>
          <w:tcPr>
            <w:tcW w:w="1809" w:type="dxa"/>
          </w:tcPr>
          <w:p w:rsidR="00AF6622" w:rsidRDefault="00AF6622" w:rsidP="003D21F0">
            <w:pPr>
              <w:spacing w:line="240" w:lineRule="exact"/>
            </w:pPr>
            <w:r>
              <w:t>Modification type</w:t>
            </w:r>
          </w:p>
        </w:tc>
        <w:tc>
          <w:tcPr>
            <w:tcW w:w="6911" w:type="dxa"/>
          </w:tcPr>
          <w:p w:rsidR="00AF6622" w:rsidRDefault="00AF6622" w:rsidP="003D21F0">
            <w:pPr>
              <w:spacing w:line="240" w:lineRule="exact"/>
              <w:rPr>
                <w:lang w:eastAsia="ja-JP"/>
              </w:rPr>
            </w:pPr>
            <w:r>
              <w:rPr>
                <w:rFonts w:hint="eastAsia"/>
                <w:lang w:eastAsia="ja-JP"/>
              </w:rPr>
              <w:t>REPLACE</w:t>
            </w:r>
          </w:p>
        </w:tc>
      </w:tr>
      <w:tr w:rsidR="00AF6622" w:rsidRPr="00FF4031" w:rsidTr="003D21F0">
        <w:tc>
          <w:tcPr>
            <w:tcW w:w="1809" w:type="dxa"/>
          </w:tcPr>
          <w:p w:rsidR="00AF6622" w:rsidRPr="00FF4031" w:rsidRDefault="00AF6622" w:rsidP="003D21F0">
            <w:pPr>
              <w:spacing w:line="240" w:lineRule="exact"/>
              <w:rPr>
                <w:color w:val="000000" w:themeColor="text1"/>
              </w:rPr>
            </w:pPr>
            <w:r w:rsidRPr="00FF4031">
              <w:rPr>
                <w:color w:val="000000" w:themeColor="text1"/>
              </w:rPr>
              <w:t>Text</w:t>
            </w:r>
          </w:p>
        </w:tc>
        <w:tc>
          <w:tcPr>
            <w:tcW w:w="6911" w:type="dxa"/>
          </w:tcPr>
          <w:p w:rsidR="00AF6622" w:rsidRPr="004A18C9" w:rsidRDefault="004A18C9" w:rsidP="004A18C9">
            <w:pPr>
              <w:spacing w:line="240" w:lineRule="exact"/>
              <w:rPr>
                <w:noProof/>
                <w:color w:val="244061" w:themeColor="accent1" w:themeShade="80"/>
                <w:lang w:val="en-US" w:eastAsia="ja-JP"/>
              </w:rPr>
            </w:pPr>
            <w:r>
              <w:rPr>
                <w:noProof/>
                <w:color w:val="000000" w:themeColor="text1"/>
                <w:lang w:val="en-US" w:eastAsia="ja-JP"/>
              </w:rPr>
              <w:t xml:space="preserve"> </w:t>
            </w:r>
            <w:r w:rsidRPr="004A18C9">
              <w:rPr>
                <w:rFonts w:hint="eastAsia"/>
                <w:noProof/>
                <w:color w:val="244061" w:themeColor="accent1" w:themeShade="80"/>
                <w:lang w:val="en-US" w:eastAsia="ja-JP"/>
              </w:rPr>
              <w:t xml:space="preserve">(Change </w:t>
            </w:r>
            <w:r w:rsidRPr="004A18C9">
              <w:rPr>
                <w:noProof/>
                <w:color w:val="244061" w:themeColor="accent1" w:themeShade="80"/>
                <w:lang w:val="en-US" w:eastAsia="ja-JP"/>
              </w:rPr>
              <w:t>the</w:t>
            </w:r>
            <w:r w:rsidRPr="004A18C9">
              <w:rPr>
                <w:rFonts w:hint="eastAsia"/>
                <w:noProof/>
                <w:color w:val="244061" w:themeColor="accent1" w:themeShade="80"/>
                <w:lang w:val="en-US" w:eastAsia="ja-JP"/>
              </w:rPr>
              <w:t xml:space="preserve"> first three paragraphs as follows.)</w:t>
            </w:r>
          </w:p>
          <w:p w:rsidR="004A18C9" w:rsidRDefault="004A18C9" w:rsidP="004A18C9">
            <w:pPr>
              <w:spacing w:line="240" w:lineRule="exact"/>
              <w:rPr>
                <w:color w:val="000000" w:themeColor="text1"/>
                <w:lang w:eastAsia="ja-JP"/>
              </w:rPr>
            </w:pPr>
          </w:p>
          <w:p w:rsidR="004A18C9" w:rsidRPr="004A18C9" w:rsidRDefault="004A18C9" w:rsidP="004A18C9">
            <w:pPr>
              <w:spacing w:line="240" w:lineRule="exact"/>
              <w:rPr>
                <w:color w:val="000000" w:themeColor="text1"/>
                <w:lang w:val="en-US" w:eastAsia="ja-JP"/>
              </w:rPr>
            </w:pPr>
            <w:r w:rsidRPr="004A18C9">
              <w:rPr>
                <w:color w:val="000000" w:themeColor="text1"/>
                <w:lang w:val="en-US" w:eastAsia="ja-JP"/>
              </w:rPr>
              <w:t>This sub-clause describes securing the MIH message using TLS [RFC5246] or DTLS [RFC4347].</w:t>
            </w:r>
          </w:p>
          <w:p w:rsidR="004A18C9" w:rsidRPr="004A18C9" w:rsidRDefault="004A18C9" w:rsidP="004A18C9">
            <w:pPr>
              <w:spacing w:line="240" w:lineRule="exact"/>
              <w:rPr>
                <w:color w:val="000000" w:themeColor="text1"/>
                <w:lang w:val="en-US" w:eastAsia="ja-JP"/>
              </w:rPr>
            </w:pPr>
            <w:r w:rsidRPr="004A18C9">
              <w:rPr>
                <w:color w:val="000000" w:themeColor="text1"/>
                <w:lang w:val="en-US" w:eastAsia="ja-JP"/>
              </w:rPr>
              <w:t>The transport protocol for (D</w:t>
            </w:r>
            <w:proofErr w:type="gramStart"/>
            <w:r w:rsidRPr="004A18C9">
              <w:rPr>
                <w:color w:val="000000" w:themeColor="text1"/>
                <w:lang w:val="en-US" w:eastAsia="ja-JP"/>
              </w:rPr>
              <w:t>)TLS</w:t>
            </w:r>
            <w:proofErr w:type="gramEnd"/>
            <w:r w:rsidRPr="004A18C9">
              <w:rPr>
                <w:color w:val="000000" w:themeColor="text1"/>
                <w:lang w:val="en-US" w:eastAsia="ja-JP"/>
              </w:rPr>
              <w:t xml:space="preserve"> is the MIH protocol. When the MIH protocol transport is reliable, TLS is used. Otherwise, DTLS is used. The transport protocol entities to be associated with a TLS session are MIHF peers and identified by MIHF identifiers. The TLS handshake takes place over the MIH protocol and as a result, an MIH SA that contains TLS master key and its child keys, TLS random values and the TLS cipher suite negotiated in the TLS handshake is established between the peers. </w:t>
            </w:r>
            <w:proofErr w:type="spellStart"/>
            <w:r w:rsidR="006563F8">
              <w:rPr>
                <w:rFonts w:hint="eastAsia"/>
                <w:color w:val="FF0000"/>
                <w:lang w:val="en-US" w:eastAsia="ja-JP"/>
              </w:rPr>
              <w:t>MIH_</w:t>
            </w:r>
            <w:r w:rsidR="006376D4">
              <w:rPr>
                <w:rFonts w:hint="eastAsia"/>
                <w:color w:val="FF0000"/>
                <w:lang w:val="en-US" w:eastAsia="ja-JP"/>
              </w:rPr>
              <w:t>Auth</w:t>
            </w:r>
            <w:proofErr w:type="spellEnd"/>
            <w:r w:rsidR="006563F8">
              <w:rPr>
                <w:rFonts w:hint="eastAsia"/>
                <w:color w:val="FF0000"/>
                <w:lang w:val="en-US" w:eastAsia="ja-JP"/>
              </w:rPr>
              <w:t xml:space="preserve"> indication message </w:t>
            </w:r>
            <w:r w:rsidR="006376D4">
              <w:rPr>
                <w:rFonts w:hint="eastAsia"/>
                <w:color w:val="FF0000"/>
                <w:lang w:val="en-US" w:eastAsia="ja-JP"/>
              </w:rPr>
              <w:t xml:space="preserve">is </w:t>
            </w:r>
            <w:r w:rsidR="006563F8">
              <w:rPr>
                <w:rFonts w:hint="eastAsia"/>
                <w:color w:val="FF0000"/>
                <w:lang w:val="en-US" w:eastAsia="ja-JP"/>
              </w:rPr>
              <w:t xml:space="preserve">used for TLS handshake. </w:t>
            </w:r>
            <w:r w:rsidRPr="004A18C9">
              <w:rPr>
                <w:color w:val="000000" w:themeColor="text1"/>
                <w:lang w:val="en-US" w:eastAsia="ja-JP"/>
              </w:rPr>
              <w:t>The detailed description about the protocol interface of using (D</w:t>
            </w:r>
            <w:proofErr w:type="gramStart"/>
            <w:r w:rsidRPr="004A18C9">
              <w:rPr>
                <w:color w:val="000000" w:themeColor="text1"/>
                <w:lang w:val="en-US" w:eastAsia="ja-JP"/>
              </w:rPr>
              <w:t>)TLS</w:t>
            </w:r>
            <w:proofErr w:type="gramEnd"/>
            <w:r w:rsidRPr="004A18C9">
              <w:rPr>
                <w:color w:val="000000" w:themeColor="text1"/>
                <w:lang w:val="en-US" w:eastAsia="ja-JP"/>
              </w:rPr>
              <w:t xml:space="preserve"> is provided in Clause 9.1.1.</w:t>
            </w:r>
            <w:r w:rsidR="00B3507E">
              <w:rPr>
                <w:rFonts w:hint="eastAsia"/>
                <w:color w:val="000000" w:themeColor="text1"/>
                <w:lang w:val="en-US" w:eastAsia="ja-JP"/>
              </w:rPr>
              <w:t xml:space="preserve"> </w:t>
            </w:r>
            <w:r w:rsidR="00B3507E" w:rsidRPr="00B3507E">
              <w:rPr>
                <w:rFonts w:hint="eastAsia"/>
                <w:color w:val="FF0000"/>
                <w:lang w:val="en-US" w:eastAsia="ja-JP"/>
              </w:rPr>
              <w:t xml:space="preserve">The </w:t>
            </w:r>
            <w:proofErr w:type="spellStart"/>
            <w:r w:rsidR="00B3507E" w:rsidRPr="00B3507E">
              <w:rPr>
                <w:rFonts w:hint="eastAsia"/>
                <w:color w:val="FF0000"/>
                <w:lang w:val="en-US" w:eastAsia="ja-JP"/>
              </w:rPr>
              <w:t>MIH_Auth</w:t>
            </w:r>
            <w:proofErr w:type="spellEnd"/>
            <w:r w:rsidR="00B3507E" w:rsidRPr="00B3507E">
              <w:rPr>
                <w:rFonts w:hint="eastAsia"/>
                <w:color w:val="FF0000"/>
                <w:lang w:val="en-US" w:eastAsia="ja-JP"/>
              </w:rPr>
              <w:t xml:space="preserve"> indication message format is defined in Clause 8.6.1.11.</w:t>
            </w:r>
          </w:p>
          <w:p w:rsidR="004A18C9" w:rsidRDefault="004A18C9" w:rsidP="004A18C9">
            <w:pPr>
              <w:spacing w:line="240" w:lineRule="exact"/>
              <w:rPr>
                <w:strike/>
                <w:color w:val="FF0000"/>
                <w:lang w:val="en-US" w:eastAsia="ja-JP"/>
              </w:rPr>
            </w:pPr>
            <w:r w:rsidRPr="006376D4">
              <w:rPr>
                <w:strike/>
                <w:color w:val="FF0000"/>
                <w:lang w:val="en-US" w:eastAsia="ja-JP"/>
              </w:rPr>
              <w:t>The structure of MIHS PDU during TLS handshake is shown in Figure 29c.</w:t>
            </w:r>
          </w:p>
          <w:p w:rsidR="006376D4" w:rsidRPr="006376D4" w:rsidRDefault="006376D4" w:rsidP="004A18C9">
            <w:pPr>
              <w:spacing w:line="240" w:lineRule="exact"/>
              <w:rPr>
                <w:color w:val="1F497D" w:themeColor="text2"/>
                <w:lang w:eastAsia="ja-JP"/>
              </w:rPr>
            </w:pPr>
            <w:r>
              <w:rPr>
                <w:rFonts w:hint="eastAsia"/>
                <w:color w:val="1F497D" w:themeColor="text2"/>
                <w:lang w:eastAsia="ja-JP"/>
              </w:rPr>
              <w:t>(Remove Figure 29c.)</w:t>
            </w:r>
          </w:p>
        </w:tc>
      </w:tr>
    </w:tbl>
    <w:p w:rsidR="00682B39" w:rsidRDefault="00682B39" w:rsidP="00F43D3C">
      <w:pPr>
        <w:rPr>
          <w:lang w:eastAsia="ja-JP"/>
        </w:rPr>
      </w:pPr>
    </w:p>
    <w:tbl>
      <w:tblPr>
        <w:tblStyle w:val="a3"/>
        <w:tblW w:w="0" w:type="auto"/>
        <w:tblLook w:val="04A0"/>
      </w:tblPr>
      <w:tblGrid>
        <w:gridCol w:w="1809"/>
        <w:gridCol w:w="6911"/>
      </w:tblGrid>
      <w:tr w:rsidR="00242DBE" w:rsidTr="003D21F0">
        <w:tc>
          <w:tcPr>
            <w:tcW w:w="1809" w:type="dxa"/>
          </w:tcPr>
          <w:p w:rsidR="00242DBE" w:rsidRDefault="00242DBE" w:rsidP="003D21F0">
            <w:pPr>
              <w:spacing w:line="240" w:lineRule="exact"/>
            </w:pPr>
            <w:r>
              <w:t>Ref.</w:t>
            </w:r>
          </w:p>
        </w:tc>
        <w:tc>
          <w:tcPr>
            <w:tcW w:w="6911" w:type="dxa"/>
          </w:tcPr>
          <w:p w:rsidR="00242DBE" w:rsidRDefault="00242DBE" w:rsidP="003D21F0">
            <w:pPr>
              <w:spacing w:line="240" w:lineRule="exact"/>
              <w:rPr>
                <w:lang w:eastAsia="ja-JP"/>
              </w:rPr>
            </w:pPr>
            <w:r>
              <w:t>00</w:t>
            </w:r>
            <w:r>
              <w:rPr>
                <w:rFonts w:hint="eastAsia"/>
                <w:lang w:eastAsia="ja-JP"/>
              </w:rPr>
              <w:t>8</w:t>
            </w:r>
          </w:p>
        </w:tc>
      </w:tr>
      <w:tr w:rsidR="00242DBE" w:rsidTr="003D21F0">
        <w:tc>
          <w:tcPr>
            <w:tcW w:w="1809" w:type="dxa"/>
          </w:tcPr>
          <w:p w:rsidR="00242DBE" w:rsidRDefault="00242DBE" w:rsidP="003D21F0">
            <w:pPr>
              <w:spacing w:line="240" w:lineRule="exact"/>
            </w:pPr>
            <w:r>
              <w:t>DRAFT  SECTION</w:t>
            </w:r>
          </w:p>
        </w:tc>
        <w:tc>
          <w:tcPr>
            <w:tcW w:w="6911" w:type="dxa"/>
          </w:tcPr>
          <w:p w:rsidR="00242DBE" w:rsidRDefault="00242DBE" w:rsidP="006376D4">
            <w:pPr>
              <w:spacing w:line="240" w:lineRule="exact"/>
            </w:pPr>
            <w:r>
              <w:rPr>
                <w:rFonts w:hint="eastAsia"/>
                <w:lang w:eastAsia="ja-JP"/>
              </w:rPr>
              <w:t>8.</w:t>
            </w:r>
            <w:r w:rsidR="006376D4">
              <w:rPr>
                <w:rFonts w:hint="eastAsia"/>
                <w:lang w:eastAsia="ja-JP"/>
              </w:rPr>
              <w:t>6.1.11 MIH_Start_Auth request</w:t>
            </w:r>
          </w:p>
        </w:tc>
      </w:tr>
      <w:tr w:rsidR="00242DBE" w:rsidTr="003D21F0">
        <w:tc>
          <w:tcPr>
            <w:tcW w:w="1809" w:type="dxa"/>
          </w:tcPr>
          <w:p w:rsidR="00242DBE" w:rsidRDefault="00242DBE" w:rsidP="003D21F0">
            <w:pPr>
              <w:spacing w:line="240" w:lineRule="exact"/>
            </w:pPr>
            <w:r>
              <w:t>Modification type</w:t>
            </w:r>
          </w:p>
        </w:tc>
        <w:tc>
          <w:tcPr>
            <w:tcW w:w="6911" w:type="dxa"/>
          </w:tcPr>
          <w:p w:rsidR="00242DBE" w:rsidRDefault="006376D4" w:rsidP="003D21F0">
            <w:pPr>
              <w:spacing w:line="240" w:lineRule="exact"/>
              <w:rPr>
                <w:lang w:eastAsia="ja-JP"/>
              </w:rPr>
            </w:pPr>
            <w:r>
              <w:rPr>
                <w:rFonts w:hint="eastAsia"/>
                <w:lang w:eastAsia="ja-JP"/>
              </w:rPr>
              <w:t>REPLACE</w:t>
            </w:r>
          </w:p>
        </w:tc>
      </w:tr>
      <w:tr w:rsidR="00242DBE" w:rsidRPr="00FF4031" w:rsidTr="003D21F0">
        <w:tc>
          <w:tcPr>
            <w:tcW w:w="1809" w:type="dxa"/>
          </w:tcPr>
          <w:p w:rsidR="00242DBE" w:rsidRPr="00FF4031" w:rsidRDefault="00242DBE" w:rsidP="003D21F0">
            <w:pPr>
              <w:spacing w:line="240" w:lineRule="exact"/>
              <w:rPr>
                <w:color w:val="000000" w:themeColor="text1"/>
              </w:rPr>
            </w:pPr>
            <w:r w:rsidRPr="00FF4031">
              <w:rPr>
                <w:color w:val="000000" w:themeColor="text1"/>
              </w:rPr>
              <w:t>Text</w:t>
            </w:r>
          </w:p>
        </w:tc>
        <w:tc>
          <w:tcPr>
            <w:tcW w:w="6911" w:type="dxa"/>
          </w:tcPr>
          <w:p w:rsidR="006376D4" w:rsidRPr="00B3507E" w:rsidRDefault="00242DBE" w:rsidP="00443F02">
            <w:pPr>
              <w:rPr>
                <w:noProof/>
                <w:color w:val="FF0000"/>
                <w:lang w:val="en-US" w:eastAsia="ja-JP"/>
              </w:rPr>
            </w:pPr>
            <w:r>
              <w:rPr>
                <w:noProof/>
                <w:color w:val="000000" w:themeColor="text1"/>
                <w:lang w:val="en-US" w:eastAsia="ja-JP"/>
              </w:rPr>
              <w:t xml:space="preserve"> </w:t>
            </w:r>
            <w:r w:rsidR="006376D4" w:rsidRPr="00B3507E">
              <w:rPr>
                <w:rFonts w:hint="eastAsia"/>
                <w:color w:val="FF0000"/>
                <w:lang w:eastAsia="ja-JP"/>
              </w:rPr>
              <w:t>8.6.1.11 MIH_Auth indication</w:t>
            </w:r>
          </w:p>
          <w:p w:rsidR="00443F02" w:rsidRPr="00B3507E" w:rsidRDefault="00DF49A7" w:rsidP="00443F02">
            <w:pPr>
              <w:rPr>
                <w:noProof/>
                <w:color w:val="FF0000"/>
                <w:lang w:val="en-US" w:eastAsia="ja-JP"/>
              </w:rPr>
            </w:pPr>
            <w:r w:rsidRPr="00B3507E">
              <w:rPr>
                <w:rFonts w:hint="eastAsia"/>
                <w:noProof/>
                <w:color w:val="FF0000"/>
                <w:lang w:val="en-US" w:eastAsia="ja-JP"/>
              </w:rPr>
              <w:t>This message is used for an MIHF to perfom TLS handshake with another MIHF to establish a TLS-generated MIH SA</w:t>
            </w:r>
            <w:r w:rsidR="006376D4" w:rsidRPr="00B3507E">
              <w:rPr>
                <w:rFonts w:hint="eastAsia"/>
                <w:noProof/>
                <w:color w:val="FF0000"/>
                <w:lang w:val="en-US" w:eastAsia="ja-JP"/>
              </w:rPr>
              <w:t xml:space="preserve"> or to </w:t>
            </w:r>
            <w:r w:rsidR="006376D4" w:rsidRPr="00B3507E">
              <w:rPr>
                <w:noProof/>
                <w:color w:val="FF0000"/>
                <w:lang w:val="en-US" w:eastAsia="ja-JP"/>
              </w:rPr>
              <w:t xml:space="preserve">communicate </w:t>
            </w:r>
            <w:r w:rsidR="006376D4" w:rsidRPr="00B3507E">
              <w:rPr>
                <w:rFonts w:hint="eastAsia"/>
                <w:noProof/>
                <w:color w:val="FF0000"/>
                <w:lang w:val="en-US" w:eastAsia="ja-JP"/>
              </w:rPr>
              <w:t>with</w:t>
            </w:r>
            <w:r w:rsidR="006376D4" w:rsidRPr="00B3507E">
              <w:rPr>
                <w:noProof/>
                <w:color w:val="FF0000"/>
                <w:lang w:val="en-US" w:eastAsia="ja-JP"/>
              </w:rPr>
              <w:t xml:space="preserve"> another MIHF to </w:t>
            </w:r>
            <w:r w:rsidR="006376D4" w:rsidRPr="00B3507E">
              <w:rPr>
                <w:rFonts w:hint="eastAsia"/>
                <w:noProof/>
                <w:color w:val="FF0000"/>
                <w:lang w:val="en-US" w:eastAsia="ja-JP"/>
              </w:rPr>
              <w:t xml:space="preserve">initiate </w:t>
            </w:r>
            <w:r w:rsidR="006376D4" w:rsidRPr="00B3507E">
              <w:rPr>
                <w:noProof/>
                <w:color w:val="FF0000"/>
                <w:lang w:val="en-US" w:eastAsia="ja-JP"/>
              </w:rPr>
              <w:t>an MIH service authentication</w:t>
            </w:r>
            <w:r w:rsidR="006376D4" w:rsidRPr="00B3507E">
              <w:rPr>
                <w:rFonts w:hint="eastAsia"/>
                <w:noProof/>
                <w:color w:val="FF0000"/>
                <w:lang w:val="en-US" w:eastAsia="ja-JP"/>
              </w:rPr>
              <w:t xml:space="preserve"> through EAP</w:t>
            </w:r>
            <w:r w:rsidRPr="00B3507E">
              <w:rPr>
                <w:rFonts w:hint="eastAsia"/>
                <w:noProof/>
                <w:color w:val="FF0000"/>
                <w:lang w:val="en-US" w:eastAsia="ja-JP"/>
              </w:rPr>
              <w:t>.</w:t>
            </w:r>
            <w:r w:rsidR="00CA4698" w:rsidRPr="00B3507E">
              <w:rPr>
                <w:rFonts w:hint="eastAsia"/>
                <w:noProof/>
                <w:color w:val="FF0000"/>
                <w:lang w:val="en-US" w:eastAsia="ja-JP"/>
              </w:rPr>
              <w:t xml:space="preserve"> </w:t>
            </w:r>
            <w:r w:rsidR="00B3507E" w:rsidRPr="00B3507E">
              <w:rPr>
                <w:rFonts w:hint="eastAsia"/>
                <w:noProof/>
                <w:color w:val="FF0000"/>
                <w:lang w:val="en-US" w:eastAsia="ja-JP"/>
              </w:rPr>
              <w:t>In the former case, a</w:t>
            </w:r>
            <w:r w:rsidR="00B3507E">
              <w:rPr>
                <w:rFonts w:hint="eastAsia"/>
                <w:noProof/>
                <w:color w:val="FF0000"/>
                <w:lang w:val="en-US" w:eastAsia="ja-JP"/>
              </w:rPr>
              <w:t xml:space="preserve">n AuthenticationContent </w:t>
            </w:r>
            <w:r w:rsidR="00B3507E" w:rsidRPr="00B3507E">
              <w:rPr>
                <w:rFonts w:hint="eastAsia"/>
                <w:noProof/>
                <w:color w:val="FF0000"/>
                <w:lang w:val="en-US" w:eastAsia="ja-JP"/>
              </w:rPr>
              <w:t xml:space="preserve">shall be contained to </w:t>
            </w:r>
            <w:r w:rsidR="00415E94" w:rsidRPr="00B3507E">
              <w:rPr>
                <w:rFonts w:hint="eastAsia"/>
                <w:noProof/>
                <w:color w:val="FF0000"/>
                <w:lang w:val="en-US" w:eastAsia="ja-JP"/>
              </w:rPr>
              <w:t xml:space="preserve">carry a TLS record of type </w:t>
            </w:r>
            <w:r w:rsidR="00443F02" w:rsidRPr="00B3507E">
              <w:rPr>
                <w:rFonts w:hint="eastAsia"/>
                <w:noProof/>
                <w:color w:val="FF0000"/>
                <w:lang w:val="en-US" w:eastAsia="ja-JP"/>
              </w:rPr>
              <w:t>handshake or change cipher spec</w:t>
            </w:r>
            <w:r w:rsidR="00B3507E" w:rsidRPr="00B3507E">
              <w:rPr>
                <w:rFonts w:hint="eastAsia"/>
                <w:noProof/>
                <w:color w:val="FF0000"/>
                <w:lang w:val="en-US" w:eastAsia="ja-JP"/>
              </w:rPr>
              <w:t>.</w:t>
            </w:r>
          </w:p>
          <w:p w:rsidR="00B3507E" w:rsidRPr="00B3507E" w:rsidRDefault="00B3507E" w:rsidP="00443F02">
            <w:pPr>
              <w:rPr>
                <w:color w:val="000000" w:themeColor="text1"/>
                <w:lang w:val="en-US" w:eastAsia="ja-JP"/>
              </w:rPr>
            </w:pPr>
          </w:p>
          <w:tbl>
            <w:tblPr>
              <w:tblStyle w:val="a3"/>
              <w:tblW w:w="0" w:type="auto"/>
              <w:tblLook w:val="04A0"/>
            </w:tblPr>
            <w:tblGrid>
              <w:gridCol w:w="6680"/>
            </w:tblGrid>
            <w:tr w:rsidR="00DF49A7" w:rsidTr="00415E94">
              <w:tc>
                <w:tcPr>
                  <w:tcW w:w="6680" w:type="dxa"/>
                  <w:shd w:val="clear" w:color="auto" w:fill="C4BC96" w:themeFill="background2" w:themeFillShade="BF"/>
                </w:tcPr>
                <w:p w:rsidR="00DF49A7" w:rsidRDefault="00B3507E" w:rsidP="00B3507E">
                  <w:pPr>
                    <w:jc w:val="center"/>
                    <w:rPr>
                      <w:color w:val="000000" w:themeColor="text1"/>
                      <w:lang w:eastAsia="ja-JP"/>
                    </w:rPr>
                  </w:pPr>
                  <w:r>
                    <w:rPr>
                      <w:rFonts w:hint="eastAsia"/>
                      <w:color w:val="000000" w:themeColor="text1"/>
                      <w:lang w:eastAsia="ja-JP"/>
                    </w:rPr>
                    <w:t>MIH</w:t>
                  </w:r>
                  <w:r w:rsidR="00DF49A7">
                    <w:rPr>
                      <w:rFonts w:hint="eastAsia"/>
                      <w:color w:val="000000" w:themeColor="text1"/>
                      <w:lang w:eastAsia="ja-JP"/>
                    </w:rPr>
                    <w:t xml:space="preserve"> Header field (SID=1, Opcode=3, AID=</w:t>
                  </w:r>
                  <w:r>
                    <w:rPr>
                      <w:rFonts w:hint="eastAsia"/>
                      <w:color w:val="000000" w:themeColor="text1"/>
                      <w:lang w:eastAsia="ja-JP"/>
                    </w:rPr>
                    <w:t>6</w:t>
                  </w:r>
                  <w:r w:rsidR="00CA4698">
                    <w:rPr>
                      <w:rFonts w:hint="eastAsia"/>
                      <w:color w:val="000000" w:themeColor="text1"/>
                      <w:lang w:eastAsia="ja-JP"/>
                    </w:rPr>
                    <w:t>)</w:t>
                  </w:r>
                </w:p>
              </w:tc>
            </w:tr>
            <w:tr w:rsidR="00DF49A7" w:rsidTr="00DF49A7">
              <w:tc>
                <w:tcPr>
                  <w:tcW w:w="6680" w:type="dxa"/>
                </w:tcPr>
                <w:p w:rsidR="00CA4698" w:rsidRPr="00CA4698" w:rsidRDefault="00CA4698" w:rsidP="00CA4698">
                  <w:pPr>
                    <w:jc w:val="center"/>
                    <w:rPr>
                      <w:color w:val="000000" w:themeColor="text1"/>
                      <w:lang w:eastAsia="ja-JP"/>
                    </w:rPr>
                  </w:pPr>
                  <w:r w:rsidRPr="00CA4698">
                    <w:rPr>
                      <w:color w:val="000000" w:themeColor="text1"/>
                      <w:lang w:eastAsia="ja-JP"/>
                    </w:rPr>
                    <w:t>Source Identifier = sending MIHF ID</w:t>
                  </w:r>
                </w:p>
                <w:p w:rsidR="00DF49A7" w:rsidRPr="00CA4698" w:rsidRDefault="00CA4698" w:rsidP="00CA4698">
                  <w:pPr>
                    <w:jc w:val="center"/>
                    <w:rPr>
                      <w:color w:val="000000" w:themeColor="text1"/>
                      <w:lang w:eastAsia="ja-JP"/>
                    </w:rPr>
                  </w:pPr>
                  <w:r w:rsidRPr="00CA4698">
                    <w:rPr>
                      <w:color w:val="000000" w:themeColor="text1"/>
                      <w:lang w:eastAsia="ja-JP"/>
                    </w:rPr>
                    <w:t>(Source MIHF ID TLV)</w:t>
                  </w:r>
                </w:p>
              </w:tc>
            </w:tr>
            <w:tr w:rsidR="00DF49A7" w:rsidTr="00DF49A7">
              <w:tc>
                <w:tcPr>
                  <w:tcW w:w="6680" w:type="dxa"/>
                </w:tcPr>
                <w:p w:rsidR="00CA4698" w:rsidRPr="00CA4698" w:rsidRDefault="00CA4698" w:rsidP="00CA4698">
                  <w:pPr>
                    <w:jc w:val="center"/>
                    <w:rPr>
                      <w:color w:val="000000" w:themeColor="text1"/>
                      <w:lang w:eastAsia="ja-JP"/>
                    </w:rPr>
                  </w:pPr>
                  <w:r w:rsidRPr="00CA4698">
                    <w:rPr>
                      <w:color w:val="000000" w:themeColor="text1"/>
                      <w:lang w:eastAsia="ja-JP"/>
                    </w:rPr>
                    <w:t>Destination Identifier = receiving MIHF ID</w:t>
                  </w:r>
                </w:p>
                <w:p w:rsidR="00DF49A7" w:rsidRDefault="00CA4698" w:rsidP="00CA4698">
                  <w:pPr>
                    <w:jc w:val="center"/>
                    <w:rPr>
                      <w:color w:val="000000" w:themeColor="text1"/>
                      <w:lang w:eastAsia="ja-JP"/>
                    </w:rPr>
                  </w:pPr>
                  <w:r w:rsidRPr="00CA4698">
                    <w:rPr>
                      <w:color w:val="000000" w:themeColor="text1"/>
                      <w:lang w:eastAsia="ja-JP"/>
                    </w:rPr>
                    <w:t>(Destination MIHF ID TLV)</w:t>
                  </w:r>
                </w:p>
              </w:tc>
            </w:tr>
            <w:tr w:rsidR="00DF49A7" w:rsidTr="00DF49A7">
              <w:tc>
                <w:tcPr>
                  <w:tcW w:w="6680" w:type="dxa"/>
                </w:tcPr>
                <w:p w:rsidR="00B3507E" w:rsidRPr="00B3507E" w:rsidRDefault="00B3507E" w:rsidP="00B3507E">
                  <w:pPr>
                    <w:jc w:val="center"/>
                    <w:rPr>
                      <w:color w:val="FF0000"/>
                      <w:lang w:eastAsia="ja-JP"/>
                    </w:rPr>
                  </w:pPr>
                  <w:r w:rsidRPr="00B3507E">
                    <w:rPr>
                      <w:color w:val="FF0000"/>
                      <w:lang w:eastAsia="ja-JP"/>
                    </w:rPr>
                    <w:t>AuthenticationContent (optional)</w:t>
                  </w:r>
                </w:p>
                <w:p w:rsidR="00CA4698" w:rsidRDefault="00B3507E" w:rsidP="00B3507E">
                  <w:pPr>
                    <w:jc w:val="center"/>
                    <w:rPr>
                      <w:color w:val="000000" w:themeColor="text1"/>
                      <w:lang w:eastAsia="ja-JP"/>
                    </w:rPr>
                  </w:pPr>
                  <w:r w:rsidRPr="00B3507E">
                    <w:rPr>
                      <w:color w:val="FF0000"/>
                      <w:lang w:eastAsia="ja-JP"/>
                    </w:rPr>
                    <w:t>(Authentication TLV)</w:t>
                  </w:r>
                </w:p>
              </w:tc>
            </w:tr>
          </w:tbl>
          <w:p w:rsidR="00DF49A7" w:rsidRPr="00DF49A7" w:rsidRDefault="00DF49A7" w:rsidP="003D21F0">
            <w:pPr>
              <w:spacing w:line="240" w:lineRule="exact"/>
              <w:rPr>
                <w:color w:val="000000" w:themeColor="text1"/>
                <w:lang w:eastAsia="ja-JP"/>
              </w:rPr>
            </w:pPr>
          </w:p>
        </w:tc>
      </w:tr>
    </w:tbl>
    <w:p w:rsidR="002D5EE8" w:rsidRDefault="002D5EE8" w:rsidP="00F43D3C">
      <w:pPr>
        <w:rPr>
          <w:lang w:eastAsia="ja-JP"/>
        </w:rPr>
      </w:pPr>
    </w:p>
    <w:p w:rsidR="002D5EE8" w:rsidRDefault="002D5EE8">
      <w:pPr>
        <w:rPr>
          <w:lang w:eastAsia="ja-JP"/>
        </w:rPr>
      </w:pPr>
      <w:r>
        <w:rPr>
          <w:lang w:eastAsia="ja-JP"/>
        </w:rPr>
        <w:br w:type="page"/>
      </w:r>
    </w:p>
    <w:tbl>
      <w:tblPr>
        <w:tblStyle w:val="a3"/>
        <w:tblW w:w="0" w:type="auto"/>
        <w:tblLook w:val="04A0"/>
      </w:tblPr>
      <w:tblGrid>
        <w:gridCol w:w="1809"/>
        <w:gridCol w:w="6911"/>
      </w:tblGrid>
      <w:tr w:rsidR="002D5EE8" w:rsidTr="003D21F0">
        <w:tc>
          <w:tcPr>
            <w:tcW w:w="1809" w:type="dxa"/>
          </w:tcPr>
          <w:p w:rsidR="002D5EE8" w:rsidRDefault="002D5EE8" w:rsidP="003D21F0">
            <w:pPr>
              <w:spacing w:line="240" w:lineRule="exact"/>
            </w:pPr>
            <w:r>
              <w:lastRenderedPageBreak/>
              <w:t>Ref.</w:t>
            </w:r>
          </w:p>
        </w:tc>
        <w:tc>
          <w:tcPr>
            <w:tcW w:w="6911" w:type="dxa"/>
          </w:tcPr>
          <w:p w:rsidR="002D5EE8" w:rsidRDefault="002D5EE8" w:rsidP="003D21F0">
            <w:pPr>
              <w:spacing w:line="240" w:lineRule="exact"/>
              <w:rPr>
                <w:lang w:eastAsia="ja-JP"/>
              </w:rPr>
            </w:pPr>
            <w:r>
              <w:t>00</w:t>
            </w:r>
            <w:r>
              <w:rPr>
                <w:rFonts w:hint="eastAsia"/>
                <w:lang w:eastAsia="ja-JP"/>
              </w:rPr>
              <w:t>9</w:t>
            </w:r>
          </w:p>
        </w:tc>
      </w:tr>
      <w:tr w:rsidR="002D5EE8" w:rsidTr="003D21F0">
        <w:tc>
          <w:tcPr>
            <w:tcW w:w="1809" w:type="dxa"/>
          </w:tcPr>
          <w:p w:rsidR="002D5EE8" w:rsidRDefault="002D5EE8" w:rsidP="003D21F0">
            <w:pPr>
              <w:spacing w:line="240" w:lineRule="exact"/>
            </w:pPr>
            <w:r>
              <w:t>DRAFT  SECTION</w:t>
            </w:r>
          </w:p>
        </w:tc>
        <w:tc>
          <w:tcPr>
            <w:tcW w:w="6911" w:type="dxa"/>
          </w:tcPr>
          <w:p w:rsidR="002D5EE8" w:rsidRDefault="002D5EE8" w:rsidP="003D21F0">
            <w:pPr>
              <w:spacing w:line="240" w:lineRule="exact"/>
            </w:pPr>
            <w:r>
              <w:rPr>
                <w:rFonts w:hint="eastAsia"/>
                <w:lang w:eastAsia="ja-JP"/>
              </w:rPr>
              <w:t xml:space="preserve">3.17, </w:t>
            </w:r>
            <w:r w:rsidR="00BD08F3">
              <w:rPr>
                <w:rFonts w:hint="eastAsia"/>
                <w:lang w:eastAsia="ja-JP"/>
              </w:rPr>
              <w:t>8.4.3.2, 9, 9.1.2, 9.1.2.1</w:t>
            </w:r>
            <w:r w:rsidR="00294E60">
              <w:rPr>
                <w:rFonts w:hint="eastAsia"/>
                <w:lang w:eastAsia="ja-JP"/>
              </w:rPr>
              <w:t>, 9.1.2.2, 9.1.3, 10, 10.2</w:t>
            </w:r>
          </w:p>
        </w:tc>
      </w:tr>
      <w:tr w:rsidR="002D5EE8" w:rsidTr="003D21F0">
        <w:tc>
          <w:tcPr>
            <w:tcW w:w="1809" w:type="dxa"/>
          </w:tcPr>
          <w:p w:rsidR="002D5EE8" w:rsidRDefault="002D5EE8" w:rsidP="003D21F0">
            <w:pPr>
              <w:spacing w:line="240" w:lineRule="exact"/>
            </w:pPr>
            <w:r>
              <w:t>Modification type</w:t>
            </w:r>
          </w:p>
        </w:tc>
        <w:tc>
          <w:tcPr>
            <w:tcW w:w="6911" w:type="dxa"/>
          </w:tcPr>
          <w:p w:rsidR="002D5EE8" w:rsidRDefault="002D5EE8" w:rsidP="003D21F0">
            <w:pPr>
              <w:spacing w:line="240" w:lineRule="exact"/>
              <w:rPr>
                <w:lang w:eastAsia="ja-JP"/>
              </w:rPr>
            </w:pPr>
            <w:r>
              <w:rPr>
                <w:rFonts w:hint="eastAsia"/>
                <w:lang w:eastAsia="ja-JP"/>
              </w:rPr>
              <w:t>REPLACE</w:t>
            </w:r>
          </w:p>
        </w:tc>
      </w:tr>
      <w:tr w:rsidR="002D5EE8" w:rsidRPr="00FF4031" w:rsidTr="003D21F0">
        <w:tc>
          <w:tcPr>
            <w:tcW w:w="1809" w:type="dxa"/>
          </w:tcPr>
          <w:p w:rsidR="002D5EE8" w:rsidRPr="00FF4031" w:rsidRDefault="002D5EE8" w:rsidP="003D21F0">
            <w:pPr>
              <w:spacing w:line="240" w:lineRule="exact"/>
              <w:rPr>
                <w:color w:val="000000" w:themeColor="text1"/>
              </w:rPr>
            </w:pPr>
            <w:r w:rsidRPr="00FF4031">
              <w:rPr>
                <w:color w:val="000000" w:themeColor="text1"/>
              </w:rPr>
              <w:t>Text</w:t>
            </w:r>
          </w:p>
        </w:tc>
        <w:tc>
          <w:tcPr>
            <w:tcW w:w="6911" w:type="dxa"/>
          </w:tcPr>
          <w:p w:rsidR="002D5EE8" w:rsidRPr="002D5EE8" w:rsidRDefault="00BD08F3" w:rsidP="002D5EE8">
            <w:pPr>
              <w:rPr>
                <w:noProof/>
                <w:lang w:val="en-US" w:eastAsia="ja-JP"/>
              </w:rPr>
            </w:pPr>
            <w:r>
              <w:rPr>
                <w:rFonts w:hint="eastAsia"/>
                <w:noProof/>
                <w:color w:val="000000" w:themeColor="text1"/>
                <w:lang w:val="en-US" w:eastAsia="ja-JP"/>
              </w:rPr>
              <w:t xml:space="preserve">[1] </w:t>
            </w:r>
            <w:r w:rsidR="002D5EE8">
              <w:rPr>
                <w:noProof/>
                <w:color w:val="000000" w:themeColor="text1"/>
                <w:lang w:val="en-US" w:eastAsia="ja-JP"/>
              </w:rPr>
              <w:t xml:space="preserve"> </w:t>
            </w:r>
            <w:r w:rsidR="002D5EE8" w:rsidRPr="002D5EE8">
              <w:rPr>
                <w:rFonts w:hint="eastAsia"/>
                <w:noProof/>
                <w:lang w:val="en-US" w:eastAsia="ja-JP"/>
              </w:rPr>
              <w:t>In Clause 3.17:</w:t>
            </w:r>
          </w:p>
          <w:p w:rsidR="002D5EE8" w:rsidRPr="002D5EE8" w:rsidRDefault="002D5EE8" w:rsidP="002D5EE8">
            <w:pPr>
              <w:rPr>
                <w:lang w:eastAsia="ja-JP"/>
              </w:rPr>
            </w:pPr>
            <w:r w:rsidRPr="002D5EE8">
              <w:rPr>
                <w:noProof/>
                <w:lang w:val="en-US" w:eastAsia="ja-JP"/>
              </w:rPr>
              <w:t xml:space="preserve">“For </w:t>
            </w:r>
            <w:r w:rsidRPr="002D5EE8">
              <w:rPr>
                <w:strike/>
                <w:noProof/>
                <w:color w:val="FF0000"/>
                <w:lang w:val="en-US" w:eastAsia="ja-JP"/>
              </w:rPr>
              <w:t>MIH service access authentication</w:t>
            </w:r>
            <w:r w:rsidRPr="002D5EE8">
              <w:rPr>
                <w:rFonts w:hint="eastAsia"/>
                <w:strike/>
                <w:noProof/>
                <w:color w:val="FF0000"/>
                <w:lang w:val="en-US" w:eastAsia="ja-JP"/>
              </w:rPr>
              <w:t xml:space="preserve"> </w:t>
            </w:r>
            <w:r>
              <w:rPr>
                <w:rFonts w:hint="eastAsia"/>
                <w:noProof/>
                <w:color w:val="FF0000"/>
                <w:lang w:val="en-US" w:eastAsia="ja-JP"/>
              </w:rPr>
              <w:t>an EAP-generated MIH SA</w:t>
            </w:r>
            <w:r w:rsidRPr="002D5EE8">
              <w:rPr>
                <w:noProof/>
                <w:lang w:val="en-US" w:eastAsia="ja-JP"/>
              </w:rPr>
              <w:t xml:space="preserve">, a PoS serves as an authenticator. Moreover, when </w:t>
            </w:r>
            <w:r w:rsidRPr="002D5EE8">
              <w:rPr>
                <w:strike/>
                <w:noProof/>
                <w:color w:val="FF0000"/>
                <w:lang w:val="en-US" w:eastAsia="ja-JP"/>
              </w:rPr>
              <w:t>a service access authentication establishes</w:t>
            </w:r>
            <w:r w:rsidRPr="002D5EE8">
              <w:rPr>
                <w:noProof/>
                <w:lang w:val="en-US" w:eastAsia="ja-JP"/>
              </w:rPr>
              <w:t xml:space="preserve"> keys for media specific proactive authentications</w:t>
            </w:r>
            <w:r>
              <w:rPr>
                <w:rFonts w:hint="eastAsia"/>
                <w:noProof/>
                <w:color w:val="FF0000"/>
                <w:lang w:val="en-US" w:eastAsia="ja-JP"/>
              </w:rPr>
              <w:t xml:space="preserve"> are generated from an EAP-generated MIH SA</w:t>
            </w:r>
            <w:r w:rsidRPr="002D5EE8">
              <w:rPr>
                <w:noProof/>
                <w:lang w:val="en-US" w:eastAsia="ja-JP"/>
              </w:rPr>
              <w:t>, a PoS provides key distribution service for media specific authenticators.</w:t>
            </w:r>
            <w:r>
              <w:rPr>
                <w:noProof/>
                <w:lang w:val="en-US" w:eastAsia="ja-JP"/>
              </w:rPr>
              <w:t>”</w:t>
            </w:r>
          </w:p>
          <w:p w:rsidR="002D5EE8" w:rsidRDefault="002D5EE8" w:rsidP="003D21F0">
            <w:pPr>
              <w:spacing w:line="240" w:lineRule="exact"/>
              <w:rPr>
                <w:color w:val="000000" w:themeColor="text1"/>
                <w:lang w:eastAsia="ja-JP"/>
              </w:rPr>
            </w:pPr>
          </w:p>
          <w:p w:rsidR="00BD08F3" w:rsidRDefault="00BD08F3" w:rsidP="003D21F0">
            <w:pPr>
              <w:spacing w:line="240" w:lineRule="exact"/>
              <w:rPr>
                <w:color w:val="000000" w:themeColor="text1"/>
                <w:lang w:eastAsia="ja-JP"/>
              </w:rPr>
            </w:pPr>
            <w:r>
              <w:rPr>
                <w:rFonts w:hint="eastAsia"/>
                <w:color w:val="000000" w:themeColor="text1"/>
                <w:lang w:eastAsia="ja-JP"/>
              </w:rPr>
              <w:t>[2] In Clause 8.4.3.2:</w:t>
            </w:r>
          </w:p>
          <w:p w:rsidR="00BD08F3" w:rsidRDefault="00BD08F3" w:rsidP="003D21F0">
            <w:pPr>
              <w:spacing w:line="240" w:lineRule="exact"/>
              <w:rPr>
                <w:color w:val="000000" w:themeColor="text1"/>
                <w:lang w:eastAsia="ja-JP"/>
              </w:rPr>
            </w:pPr>
            <w:r>
              <w:rPr>
                <w:color w:val="000000" w:themeColor="text1"/>
                <w:lang w:eastAsia="ja-JP"/>
              </w:rPr>
              <w:t>“</w:t>
            </w:r>
            <w:r w:rsidRPr="00BD08F3">
              <w:rPr>
                <w:color w:val="000000" w:themeColor="text1"/>
                <w:lang w:eastAsia="ja-JP"/>
              </w:rPr>
              <w:t xml:space="preserve">An MIH security association (SA) can be established through </w:t>
            </w:r>
            <w:r w:rsidRPr="00BD08F3">
              <w:rPr>
                <w:strike/>
                <w:color w:val="FF0000"/>
                <w:lang w:eastAsia="ja-JP"/>
              </w:rPr>
              <w:t>an MIH service access authentication</w:t>
            </w:r>
            <w:r w:rsidRPr="00BD08F3">
              <w:rPr>
                <w:rFonts w:hint="eastAsia"/>
                <w:strike/>
                <w:color w:val="FF0000"/>
                <w:lang w:eastAsia="ja-JP"/>
              </w:rPr>
              <w:t xml:space="preserve"> </w:t>
            </w:r>
            <w:r>
              <w:rPr>
                <w:rFonts w:hint="eastAsia"/>
                <w:color w:val="FF0000"/>
                <w:lang w:eastAsia="ja-JP"/>
              </w:rPr>
              <w:t>EAP</w:t>
            </w:r>
            <w:r w:rsidRPr="00BD08F3">
              <w:rPr>
                <w:color w:val="000000" w:themeColor="text1"/>
                <w:lang w:eastAsia="ja-JP"/>
              </w:rPr>
              <w:t>. An MIH SA is specified for a pair of MIHFs. It incudes a ciphersuite used for the protections. Figure 29e shows a protected MIH PDU</w:t>
            </w:r>
            <w:r>
              <w:rPr>
                <w:rFonts w:hint="eastAsia"/>
                <w:color w:val="000000" w:themeColor="text1"/>
                <w:lang w:eastAsia="ja-JP"/>
              </w:rPr>
              <w:t xml:space="preserve"> </w:t>
            </w:r>
            <w:r>
              <w:rPr>
                <w:rFonts w:hint="eastAsia"/>
                <w:color w:val="FF0000"/>
                <w:lang w:eastAsia="ja-JP"/>
              </w:rPr>
              <w:t>for an EAP-generated SA</w:t>
            </w:r>
            <w:r w:rsidRPr="00BD08F3">
              <w:rPr>
                <w:color w:val="000000" w:themeColor="text1"/>
                <w:lang w:eastAsia="ja-JP"/>
              </w:rPr>
              <w:t>. The protection procedure is specified in 9.2.2.</w:t>
            </w:r>
            <w:r>
              <w:rPr>
                <w:color w:val="000000" w:themeColor="text1"/>
                <w:lang w:eastAsia="ja-JP"/>
              </w:rPr>
              <w:t>”</w:t>
            </w:r>
          </w:p>
          <w:p w:rsidR="00BD08F3" w:rsidRDefault="00BD08F3" w:rsidP="003D21F0">
            <w:pPr>
              <w:spacing w:line="240" w:lineRule="exact"/>
              <w:rPr>
                <w:color w:val="000000" w:themeColor="text1"/>
                <w:lang w:eastAsia="ja-JP"/>
              </w:rPr>
            </w:pPr>
          </w:p>
          <w:p w:rsidR="00BD08F3" w:rsidRDefault="00BD08F3" w:rsidP="003D21F0">
            <w:pPr>
              <w:spacing w:line="240" w:lineRule="exact"/>
              <w:rPr>
                <w:color w:val="000000" w:themeColor="text1"/>
                <w:lang w:eastAsia="ja-JP"/>
              </w:rPr>
            </w:pPr>
            <w:r>
              <w:rPr>
                <w:rFonts w:hint="eastAsia"/>
                <w:color w:val="000000" w:themeColor="text1"/>
                <w:lang w:eastAsia="ja-JP"/>
              </w:rPr>
              <w:t>[3] In Clause 9:</w:t>
            </w:r>
          </w:p>
          <w:p w:rsidR="00BD08F3" w:rsidRDefault="00BD08F3" w:rsidP="003D21F0">
            <w:pPr>
              <w:spacing w:line="240" w:lineRule="exact"/>
              <w:rPr>
                <w:color w:val="000000" w:themeColor="text1"/>
                <w:lang w:eastAsia="ja-JP"/>
              </w:rPr>
            </w:pPr>
            <w:r>
              <w:rPr>
                <w:color w:val="000000" w:themeColor="text1"/>
                <w:lang w:eastAsia="ja-JP"/>
              </w:rPr>
              <w:t>“</w:t>
            </w:r>
            <w:r w:rsidRPr="00BD08F3">
              <w:rPr>
                <w:color w:val="000000" w:themeColor="text1"/>
                <w:lang w:eastAsia="ja-JP"/>
              </w:rPr>
              <w:t xml:space="preserve">Two methods are specified for establishing protections for MIH messages. One of them is to use TLS or DTLS to establish the protections and another is to use EAP </w:t>
            </w:r>
            <w:r w:rsidRPr="00BD08F3">
              <w:rPr>
                <w:strike/>
                <w:color w:val="FF0000"/>
                <w:lang w:eastAsia="ja-JP"/>
              </w:rPr>
              <w:t xml:space="preserve">as an MIH service access authentication </w:t>
            </w:r>
            <w:r w:rsidRPr="00BD08F3">
              <w:rPr>
                <w:color w:val="000000" w:themeColor="text1"/>
                <w:lang w:eastAsia="ja-JP"/>
              </w:rPr>
              <w:t>to establish MIH security associations (SAs).</w:t>
            </w:r>
            <w:r>
              <w:rPr>
                <w:color w:val="000000" w:themeColor="text1"/>
                <w:lang w:eastAsia="ja-JP"/>
              </w:rPr>
              <w:t>”</w:t>
            </w:r>
          </w:p>
          <w:p w:rsidR="00BD08F3" w:rsidRDefault="00BD08F3" w:rsidP="003D21F0">
            <w:pPr>
              <w:spacing w:line="240" w:lineRule="exact"/>
              <w:rPr>
                <w:color w:val="000000" w:themeColor="text1"/>
                <w:lang w:eastAsia="ja-JP"/>
              </w:rPr>
            </w:pPr>
          </w:p>
          <w:p w:rsidR="00BD08F3" w:rsidRDefault="00BD08F3" w:rsidP="003D21F0">
            <w:pPr>
              <w:spacing w:line="240" w:lineRule="exact"/>
              <w:rPr>
                <w:color w:val="000000" w:themeColor="text1"/>
                <w:lang w:eastAsia="ja-JP"/>
              </w:rPr>
            </w:pPr>
            <w:r>
              <w:rPr>
                <w:rFonts w:hint="eastAsia"/>
                <w:color w:val="000000" w:themeColor="text1"/>
                <w:lang w:eastAsia="ja-JP"/>
              </w:rPr>
              <w:t>[4]</w:t>
            </w:r>
            <w:r w:rsidR="007D35A1">
              <w:rPr>
                <w:rFonts w:hint="eastAsia"/>
                <w:color w:val="000000" w:themeColor="text1"/>
                <w:lang w:eastAsia="ja-JP"/>
              </w:rPr>
              <w:t>In Clause 9.1.2:</w:t>
            </w:r>
          </w:p>
          <w:p w:rsidR="007D35A1" w:rsidRPr="009C0A4B" w:rsidRDefault="007D35A1" w:rsidP="007D35A1">
            <w:pPr>
              <w:spacing w:line="240" w:lineRule="exact"/>
              <w:rPr>
                <w:color w:val="FF0000"/>
                <w:lang w:val="en-US" w:eastAsia="ja-JP"/>
              </w:rPr>
            </w:pPr>
            <w:r>
              <w:rPr>
                <w:b/>
                <w:bCs/>
                <w:color w:val="000000" w:themeColor="text1"/>
                <w:lang w:val="en-US" w:eastAsia="ja-JP"/>
              </w:rPr>
              <w:t>“</w:t>
            </w:r>
            <w:r w:rsidRPr="007D35A1">
              <w:rPr>
                <w:b/>
                <w:bCs/>
                <w:color w:val="000000" w:themeColor="text1"/>
                <w:lang w:val="en-US" w:eastAsia="ja-JP"/>
              </w:rPr>
              <w:t xml:space="preserve">9.1.2 </w:t>
            </w:r>
            <w:r w:rsidRPr="009C0A4B">
              <w:rPr>
                <w:b/>
                <w:bCs/>
                <w:strike/>
                <w:color w:val="FF0000"/>
                <w:lang w:val="en-US" w:eastAsia="ja-JP"/>
              </w:rPr>
              <w:t>Key establishment through an MIH access authentication</w:t>
            </w:r>
            <w:r w:rsidR="009C0A4B">
              <w:rPr>
                <w:rFonts w:hint="eastAsia"/>
                <w:b/>
                <w:bCs/>
                <w:color w:val="FF0000"/>
                <w:lang w:val="en-US" w:eastAsia="ja-JP"/>
              </w:rPr>
              <w:t xml:space="preserve"> Protections established through EAP</w:t>
            </w:r>
          </w:p>
          <w:p w:rsidR="007D35A1" w:rsidRPr="00274D20" w:rsidRDefault="007D35A1" w:rsidP="007D35A1">
            <w:pPr>
              <w:spacing w:line="240" w:lineRule="exact"/>
              <w:rPr>
                <w:color w:val="FF0000"/>
                <w:lang w:eastAsia="ja-JP"/>
              </w:rPr>
            </w:pPr>
            <w:r w:rsidRPr="007D35A1">
              <w:rPr>
                <w:color w:val="000000" w:themeColor="text1"/>
                <w:lang w:val="en-US" w:eastAsia="ja-JP"/>
              </w:rPr>
              <w:t>If MIH service is subscription based and provided by a service provider, then a MIH service access authenti</w:t>
            </w:r>
            <w:r w:rsidRPr="007D35A1">
              <w:rPr>
                <w:color w:val="000000" w:themeColor="text1"/>
                <w:lang w:val="en-US" w:eastAsia="ja-JP"/>
              </w:rPr>
              <w:softHyphen/>
              <w:t xml:space="preserve">cation may be needed to authorize the service to a mobile node. In this case, an access authentication may include a key establishment subroutine to allow </w:t>
            </w:r>
            <w:proofErr w:type="gramStart"/>
            <w:r w:rsidRPr="007D35A1">
              <w:rPr>
                <w:color w:val="000000" w:themeColor="text1"/>
                <w:lang w:val="en-US" w:eastAsia="ja-JP"/>
              </w:rPr>
              <w:t xml:space="preserve">a </w:t>
            </w:r>
            <w:proofErr w:type="spellStart"/>
            <w:r w:rsidRPr="007D35A1">
              <w:rPr>
                <w:color w:val="000000" w:themeColor="text1"/>
                <w:lang w:val="en-US" w:eastAsia="ja-JP"/>
              </w:rPr>
              <w:t>PoS</w:t>
            </w:r>
            <w:proofErr w:type="spellEnd"/>
            <w:proofErr w:type="gramEnd"/>
            <w:r w:rsidRPr="007D35A1">
              <w:rPr>
                <w:color w:val="000000" w:themeColor="text1"/>
                <w:lang w:val="en-US" w:eastAsia="ja-JP"/>
              </w:rPr>
              <w:t xml:space="preserve"> to obtain a master session key so that MIH security associations can be established through the master session key between the MN and the </w:t>
            </w:r>
            <w:proofErr w:type="spellStart"/>
            <w:r w:rsidRPr="007D35A1">
              <w:rPr>
                <w:color w:val="000000" w:themeColor="text1"/>
                <w:lang w:val="en-US" w:eastAsia="ja-JP"/>
              </w:rPr>
              <w:t>PoS.</w:t>
            </w:r>
            <w:proofErr w:type="spellEnd"/>
            <w:r w:rsidR="00274D20">
              <w:rPr>
                <w:rFonts w:hint="eastAsia"/>
                <w:color w:val="000000" w:themeColor="text1"/>
                <w:lang w:val="en-US" w:eastAsia="ja-JP"/>
              </w:rPr>
              <w:t xml:space="preserve"> </w:t>
            </w:r>
            <w:r w:rsidR="00274D20">
              <w:rPr>
                <w:rFonts w:hint="eastAsia"/>
                <w:color w:val="FF0000"/>
                <w:lang w:val="en-US" w:eastAsia="ja-JP"/>
              </w:rPr>
              <w:t xml:space="preserve">The following sub-clauses </w:t>
            </w:r>
            <w:r w:rsidR="00274D20">
              <w:rPr>
                <w:color w:val="FF0000"/>
                <w:lang w:val="en-US" w:eastAsia="ja-JP"/>
              </w:rPr>
              <w:t>describe</w:t>
            </w:r>
            <w:r w:rsidR="00274D20">
              <w:rPr>
                <w:rFonts w:hint="eastAsia"/>
                <w:color w:val="FF0000"/>
                <w:lang w:val="en-US" w:eastAsia="ja-JP"/>
              </w:rPr>
              <w:t xml:space="preserve"> authentication and key establishment procedure for an EAP-generated MIH SA.</w:t>
            </w:r>
          </w:p>
          <w:p w:rsidR="00BD08F3" w:rsidRPr="00274D20" w:rsidRDefault="00BD08F3" w:rsidP="00BD08F3">
            <w:pPr>
              <w:spacing w:line="240" w:lineRule="exact"/>
              <w:rPr>
                <w:color w:val="000000" w:themeColor="text1"/>
                <w:lang w:eastAsia="ja-JP"/>
              </w:rPr>
            </w:pPr>
          </w:p>
          <w:p w:rsidR="00BD08F3" w:rsidRDefault="00BD08F3" w:rsidP="00BD08F3">
            <w:pPr>
              <w:spacing w:line="240" w:lineRule="exact"/>
              <w:rPr>
                <w:color w:val="000000" w:themeColor="text1"/>
                <w:lang w:eastAsia="ja-JP"/>
              </w:rPr>
            </w:pPr>
            <w:r>
              <w:rPr>
                <w:rFonts w:hint="eastAsia"/>
                <w:color w:val="000000" w:themeColor="text1"/>
                <w:lang w:eastAsia="ja-JP"/>
              </w:rPr>
              <w:t>[5] In Clause 9.1.2.1:</w:t>
            </w:r>
          </w:p>
          <w:p w:rsidR="00BD08F3" w:rsidRPr="00165CD0" w:rsidRDefault="00BD08F3" w:rsidP="00BD08F3">
            <w:pPr>
              <w:spacing w:line="240" w:lineRule="exact"/>
              <w:rPr>
                <w:color w:val="FF0000"/>
                <w:lang w:val="en-US" w:eastAsia="ja-JP"/>
              </w:rPr>
            </w:pPr>
            <w:r>
              <w:rPr>
                <w:b/>
                <w:bCs/>
                <w:color w:val="000000" w:themeColor="text1"/>
                <w:lang w:val="en-US" w:eastAsia="ja-JP"/>
              </w:rPr>
              <w:t>“</w:t>
            </w:r>
            <w:r w:rsidRPr="00BD08F3">
              <w:rPr>
                <w:b/>
                <w:bCs/>
                <w:color w:val="000000" w:themeColor="text1"/>
                <w:lang w:val="en-US" w:eastAsia="ja-JP"/>
              </w:rPr>
              <w:t>9.1.2.1 MIH service access authentication</w:t>
            </w:r>
          </w:p>
          <w:p w:rsidR="00BD08F3" w:rsidRDefault="00BD08F3" w:rsidP="00BD08F3">
            <w:pPr>
              <w:spacing w:line="240" w:lineRule="exact"/>
              <w:rPr>
                <w:color w:val="000000" w:themeColor="text1"/>
                <w:lang w:val="en-US" w:eastAsia="ja-JP"/>
              </w:rPr>
            </w:pPr>
            <w:r w:rsidRPr="00BD08F3">
              <w:rPr>
                <w:color w:val="000000" w:themeColor="text1"/>
                <w:lang w:val="en-US" w:eastAsia="ja-JP"/>
              </w:rPr>
              <w:t>This clause describes MIH service access authentication process</w:t>
            </w:r>
            <w:r w:rsidR="00165CD0">
              <w:rPr>
                <w:rFonts w:hint="eastAsia"/>
                <w:color w:val="FF0000"/>
                <w:lang w:val="en-US" w:eastAsia="ja-JP"/>
              </w:rPr>
              <w:t xml:space="preserve"> </w:t>
            </w:r>
            <w:r w:rsidR="009C0A4B">
              <w:rPr>
                <w:rFonts w:hint="eastAsia"/>
                <w:color w:val="FF0000"/>
                <w:lang w:val="en-US" w:eastAsia="ja-JP"/>
              </w:rPr>
              <w:t>through</w:t>
            </w:r>
            <w:r w:rsidR="00165CD0">
              <w:rPr>
                <w:rFonts w:hint="eastAsia"/>
                <w:color w:val="FF0000"/>
                <w:lang w:val="en-US" w:eastAsia="ja-JP"/>
              </w:rPr>
              <w:t xml:space="preserve"> EAP</w:t>
            </w:r>
            <w:r w:rsidRPr="00BD08F3">
              <w:rPr>
                <w:color w:val="000000" w:themeColor="text1"/>
                <w:lang w:val="en-US" w:eastAsia="ja-JP"/>
              </w:rPr>
              <w:t>. The primitives are specified in Clause 7.4.</w:t>
            </w:r>
            <w:r w:rsidR="00165CD0">
              <w:rPr>
                <w:color w:val="000000" w:themeColor="text1"/>
                <w:lang w:val="en-US" w:eastAsia="ja-JP"/>
              </w:rPr>
              <w:t>”</w:t>
            </w:r>
          </w:p>
          <w:p w:rsidR="00942E07" w:rsidRDefault="00942E07" w:rsidP="00BD08F3">
            <w:pPr>
              <w:spacing w:line="240" w:lineRule="exact"/>
              <w:rPr>
                <w:color w:val="000000" w:themeColor="text1"/>
                <w:lang w:val="en-US" w:eastAsia="ja-JP"/>
              </w:rPr>
            </w:pPr>
          </w:p>
          <w:p w:rsidR="00942E07" w:rsidRDefault="00942E07" w:rsidP="00BD08F3">
            <w:pPr>
              <w:spacing w:line="240" w:lineRule="exact"/>
              <w:rPr>
                <w:color w:val="000000" w:themeColor="text1"/>
                <w:lang w:val="en-US" w:eastAsia="ja-JP"/>
              </w:rPr>
            </w:pPr>
            <w:r>
              <w:rPr>
                <w:rFonts w:hint="eastAsia"/>
                <w:color w:val="000000" w:themeColor="text1"/>
                <w:lang w:val="en-US" w:eastAsia="ja-JP"/>
              </w:rPr>
              <w:t>[6] IN Clause 9.1.2.2</w:t>
            </w:r>
          </w:p>
          <w:p w:rsidR="00942E07" w:rsidRDefault="00942E07" w:rsidP="00942E07">
            <w:pPr>
              <w:spacing w:line="240" w:lineRule="exact"/>
              <w:rPr>
                <w:color w:val="000000" w:themeColor="text1"/>
                <w:lang w:val="en-US" w:eastAsia="ja-JP"/>
              </w:rPr>
            </w:pPr>
            <w:r>
              <w:rPr>
                <w:color w:val="000000" w:themeColor="text1"/>
                <w:lang w:val="en-US" w:eastAsia="ja-JP"/>
              </w:rPr>
              <w:t>“</w:t>
            </w:r>
            <w:r w:rsidRPr="00942E07">
              <w:rPr>
                <w:color w:val="000000" w:themeColor="text1"/>
                <w:lang w:val="en-US" w:eastAsia="ja-JP"/>
              </w:rPr>
              <w:t>Upon a successful MIH service access authentication</w:t>
            </w:r>
            <w:r>
              <w:rPr>
                <w:rFonts w:hint="eastAsia"/>
                <w:color w:val="000000" w:themeColor="text1"/>
                <w:lang w:val="en-US" w:eastAsia="ja-JP"/>
              </w:rPr>
              <w:t xml:space="preserve"> </w:t>
            </w:r>
            <w:r>
              <w:rPr>
                <w:rFonts w:hint="eastAsia"/>
                <w:color w:val="FF0000"/>
                <w:lang w:val="en-US" w:eastAsia="ja-JP"/>
              </w:rPr>
              <w:t>through EAP</w:t>
            </w:r>
            <w:r w:rsidRPr="00942E07">
              <w:rPr>
                <w:color w:val="000000" w:themeColor="text1"/>
                <w:lang w:val="en-US" w:eastAsia="ja-JP"/>
              </w:rPr>
              <w:t xml:space="preserve">, the authenticator, </w:t>
            </w:r>
            <w:proofErr w:type="spellStart"/>
            <w:r w:rsidRPr="00942E07">
              <w:rPr>
                <w:color w:val="000000" w:themeColor="text1"/>
                <w:lang w:val="en-US" w:eastAsia="ja-JP"/>
              </w:rPr>
              <w:t>PoS</w:t>
            </w:r>
            <w:proofErr w:type="spellEnd"/>
            <w:r w:rsidRPr="00942E07">
              <w:rPr>
                <w:color w:val="000000" w:themeColor="text1"/>
                <w:lang w:val="en-US" w:eastAsia="ja-JP"/>
              </w:rPr>
              <w:t>, obtains a master session key (MSK) or a re-authentication master session key (</w:t>
            </w:r>
            <w:proofErr w:type="spellStart"/>
            <w:r w:rsidRPr="00942E07">
              <w:rPr>
                <w:color w:val="000000" w:themeColor="text1"/>
                <w:lang w:val="en-US" w:eastAsia="ja-JP"/>
              </w:rPr>
              <w:t>rMSK</w:t>
            </w:r>
            <w:proofErr w:type="spellEnd"/>
            <w:r w:rsidRPr="00942E07">
              <w:rPr>
                <w:color w:val="000000" w:themeColor="text1"/>
                <w:lang w:val="en-US" w:eastAsia="ja-JP"/>
              </w:rPr>
              <w:t>).</w:t>
            </w:r>
            <w:r>
              <w:rPr>
                <w:color w:val="000000" w:themeColor="text1"/>
                <w:lang w:val="en-US" w:eastAsia="ja-JP"/>
              </w:rPr>
              <w:t>”</w:t>
            </w:r>
          </w:p>
          <w:p w:rsidR="00942E07" w:rsidRDefault="00942E07" w:rsidP="00942E07">
            <w:pPr>
              <w:spacing w:line="240" w:lineRule="exact"/>
              <w:rPr>
                <w:color w:val="000000" w:themeColor="text1"/>
                <w:lang w:val="en-US" w:eastAsia="ja-JP"/>
              </w:rPr>
            </w:pPr>
          </w:p>
          <w:p w:rsidR="00942E07" w:rsidRDefault="00942E07" w:rsidP="00942E07">
            <w:pPr>
              <w:spacing w:line="240" w:lineRule="exact"/>
              <w:rPr>
                <w:color w:val="000000" w:themeColor="text1"/>
                <w:lang w:val="en-US" w:eastAsia="ja-JP"/>
              </w:rPr>
            </w:pPr>
            <w:r>
              <w:rPr>
                <w:rFonts w:hint="eastAsia"/>
                <w:color w:val="000000" w:themeColor="text1"/>
                <w:lang w:val="en-US" w:eastAsia="ja-JP"/>
              </w:rPr>
              <w:t>[7] In Clause 9.1.3:</w:t>
            </w:r>
          </w:p>
          <w:p w:rsidR="00942E07" w:rsidRDefault="00942E07" w:rsidP="00942E07">
            <w:pPr>
              <w:rPr>
                <w:color w:val="000000" w:themeColor="text1"/>
                <w:lang w:val="en-US" w:eastAsia="ja-JP"/>
              </w:rPr>
            </w:pPr>
            <w:r>
              <w:rPr>
                <w:color w:val="000000" w:themeColor="text1"/>
                <w:lang w:val="en-US" w:eastAsia="ja-JP"/>
              </w:rPr>
              <w:t>“</w:t>
            </w:r>
            <w:r w:rsidRPr="00942E07">
              <w:rPr>
                <w:color w:val="000000" w:themeColor="text1"/>
                <w:lang w:val="en-US" w:eastAsia="ja-JP"/>
              </w:rPr>
              <w:t>Depending on how the MIH specific protection keys are established, an MIH SA can be established through a (D</w:t>
            </w:r>
            <w:proofErr w:type="gramStart"/>
            <w:r w:rsidRPr="00942E07">
              <w:rPr>
                <w:color w:val="000000" w:themeColor="text1"/>
                <w:lang w:val="en-US" w:eastAsia="ja-JP"/>
              </w:rPr>
              <w:t>)TLS</w:t>
            </w:r>
            <w:proofErr w:type="gramEnd"/>
            <w:r w:rsidRPr="00942E07">
              <w:rPr>
                <w:color w:val="000000" w:themeColor="text1"/>
                <w:lang w:val="en-US" w:eastAsia="ja-JP"/>
              </w:rPr>
              <w:t xml:space="preserve"> handshake or an </w:t>
            </w:r>
            <w:r w:rsidRPr="00942E07">
              <w:rPr>
                <w:strike/>
                <w:color w:val="FF0000"/>
                <w:lang w:val="en-US" w:eastAsia="ja-JP"/>
              </w:rPr>
              <w:t>MIH service access</w:t>
            </w:r>
            <w:r w:rsidRPr="00942E07">
              <w:rPr>
                <w:color w:val="000000" w:themeColor="text1"/>
                <w:lang w:val="en-US" w:eastAsia="ja-JP"/>
              </w:rPr>
              <w:t xml:space="preserve"> </w:t>
            </w:r>
            <w:r>
              <w:rPr>
                <w:rFonts w:hint="eastAsia"/>
                <w:color w:val="FF0000"/>
                <w:lang w:val="en-US" w:eastAsia="ja-JP"/>
              </w:rPr>
              <w:t xml:space="preserve">EAP </w:t>
            </w:r>
            <w:r w:rsidRPr="00942E07">
              <w:rPr>
                <w:color w:val="000000" w:themeColor="text1"/>
                <w:lang w:val="en-US" w:eastAsia="ja-JP"/>
              </w:rPr>
              <w:t>authentication. When an MIH SA is established via a (D</w:t>
            </w:r>
            <w:proofErr w:type="gramStart"/>
            <w:r w:rsidRPr="00942E07">
              <w:rPr>
                <w:color w:val="000000" w:themeColor="text1"/>
                <w:lang w:val="en-US" w:eastAsia="ja-JP"/>
              </w:rPr>
              <w:t>)TLS</w:t>
            </w:r>
            <w:proofErr w:type="gramEnd"/>
            <w:r w:rsidRPr="00942E07">
              <w:rPr>
                <w:color w:val="000000" w:themeColor="text1"/>
                <w:lang w:val="en-US" w:eastAsia="ja-JP"/>
              </w:rPr>
              <w:t xml:space="preserve"> handshake as specified in 9.1.1, the TLS master key and the keys derived from the master key, all the TLS parameters, and TLS </w:t>
            </w:r>
            <w:proofErr w:type="spellStart"/>
            <w:r w:rsidRPr="00942E07">
              <w:rPr>
                <w:color w:val="000000" w:themeColor="text1"/>
                <w:lang w:val="en-US" w:eastAsia="ja-JP"/>
              </w:rPr>
              <w:t>ciphersuite</w:t>
            </w:r>
            <w:proofErr w:type="spellEnd"/>
            <w:r w:rsidRPr="00942E07">
              <w:rPr>
                <w:color w:val="000000" w:themeColor="text1"/>
                <w:lang w:val="en-US" w:eastAsia="ja-JP"/>
              </w:rPr>
              <w:t xml:space="preserve"> negotiated in the TLS handshake form an MIH SA.</w:t>
            </w:r>
          </w:p>
          <w:p w:rsidR="00942E07" w:rsidRDefault="00942E07" w:rsidP="00942E07">
            <w:pPr>
              <w:rPr>
                <w:color w:val="000000" w:themeColor="text1"/>
                <w:lang w:val="en-US" w:eastAsia="ja-JP"/>
              </w:rPr>
            </w:pPr>
            <w:r w:rsidRPr="00942E07">
              <w:rPr>
                <w:color w:val="000000" w:themeColor="text1"/>
                <w:lang w:val="en-US" w:eastAsia="ja-JP"/>
              </w:rPr>
              <w:t xml:space="preserve">When an MIH SA is established through an EAP </w:t>
            </w:r>
            <w:r w:rsidRPr="00942E07">
              <w:rPr>
                <w:strike/>
                <w:color w:val="FF0000"/>
                <w:lang w:val="en-US" w:eastAsia="ja-JP"/>
              </w:rPr>
              <w:t xml:space="preserve">method </w:t>
            </w:r>
            <w:r>
              <w:rPr>
                <w:rFonts w:hint="eastAsia"/>
                <w:color w:val="FF0000"/>
                <w:lang w:val="en-US" w:eastAsia="ja-JP"/>
              </w:rPr>
              <w:t xml:space="preserve">authentication </w:t>
            </w:r>
            <w:r w:rsidRPr="00942E07">
              <w:rPr>
                <w:color w:val="000000" w:themeColor="text1"/>
                <w:lang w:val="en-US" w:eastAsia="ja-JP"/>
              </w:rPr>
              <w:t xml:space="preserve">with key establishment, the SA consists of the keys, the key derivation functions, and the </w:t>
            </w:r>
            <w:proofErr w:type="spellStart"/>
            <w:r w:rsidRPr="00942E07">
              <w:rPr>
                <w:color w:val="000000" w:themeColor="text1"/>
                <w:lang w:val="en-US" w:eastAsia="ja-JP"/>
              </w:rPr>
              <w:t>ciphersuite</w:t>
            </w:r>
            <w:proofErr w:type="spellEnd"/>
            <w:r w:rsidRPr="00942E07">
              <w:rPr>
                <w:color w:val="000000" w:themeColor="text1"/>
                <w:lang w:val="en-US" w:eastAsia="ja-JP"/>
              </w:rPr>
              <w:t>. The key derivation functions, encryption algorithms, and integrity algorithms are specified in Table 24.</w:t>
            </w:r>
          </w:p>
          <w:p w:rsidR="00294E60" w:rsidRDefault="00294E60" w:rsidP="00942E07">
            <w:pPr>
              <w:rPr>
                <w:color w:val="000000" w:themeColor="text1"/>
                <w:lang w:val="en-US" w:eastAsia="ja-JP"/>
              </w:rPr>
            </w:pPr>
          </w:p>
          <w:p w:rsidR="00294E60" w:rsidRDefault="00294E60" w:rsidP="00942E07">
            <w:pPr>
              <w:rPr>
                <w:color w:val="000000" w:themeColor="text1"/>
                <w:lang w:val="en-US" w:eastAsia="ja-JP"/>
              </w:rPr>
            </w:pPr>
            <w:r>
              <w:rPr>
                <w:rFonts w:hint="eastAsia"/>
                <w:color w:val="000000" w:themeColor="text1"/>
                <w:lang w:val="en-US" w:eastAsia="ja-JP"/>
              </w:rPr>
              <w:t>[8] In Clause 10:</w:t>
            </w:r>
          </w:p>
          <w:p w:rsidR="00294E60" w:rsidRDefault="00294E60" w:rsidP="00294E60">
            <w:pPr>
              <w:rPr>
                <w:color w:val="000000" w:themeColor="text1"/>
                <w:lang w:val="en-US" w:eastAsia="ja-JP"/>
              </w:rPr>
            </w:pPr>
            <w:r>
              <w:rPr>
                <w:color w:val="000000" w:themeColor="text1"/>
                <w:lang w:val="en-US" w:eastAsia="ja-JP"/>
              </w:rPr>
              <w:t>“</w:t>
            </w:r>
            <w:r w:rsidRPr="00294E60">
              <w:rPr>
                <w:color w:val="000000" w:themeColor="text1"/>
                <w:lang w:val="en-US" w:eastAsia="ja-JP"/>
              </w:rPr>
              <w:t>The second option is to bundle the media access proactive authentication to MIH service access authentication</w:t>
            </w:r>
            <w:r>
              <w:rPr>
                <w:rFonts w:hint="eastAsia"/>
                <w:color w:val="FF0000"/>
                <w:lang w:val="en-US" w:eastAsia="ja-JP"/>
              </w:rPr>
              <w:t xml:space="preserve"> using EAP</w:t>
            </w:r>
            <w:r w:rsidRPr="00294E60">
              <w:rPr>
                <w:color w:val="000000" w:themeColor="text1"/>
                <w:lang w:val="en-US" w:eastAsia="ja-JP"/>
              </w:rPr>
              <w:t>.</w:t>
            </w:r>
            <w:r>
              <w:rPr>
                <w:color w:val="000000" w:themeColor="text1"/>
                <w:lang w:val="en-US" w:eastAsia="ja-JP"/>
              </w:rPr>
              <w:t>”</w:t>
            </w:r>
          </w:p>
          <w:p w:rsidR="00BD08F3" w:rsidRDefault="00BD08F3" w:rsidP="00BD08F3">
            <w:pPr>
              <w:spacing w:line="240" w:lineRule="exact"/>
              <w:rPr>
                <w:color w:val="000000" w:themeColor="text1"/>
                <w:lang w:val="en-US" w:eastAsia="ja-JP"/>
              </w:rPr>
            </w:pPr>
          </w:p>
          <w:p w:rsidR="00294E60" w:rsidRDefault="00294E60" w:rsidP="00BD08F3">
            <w:pPr>
              <w:spacing w:line="240" w:lineRule="exact"/>
              <w:rPr>
                <w:color w:val="000000" w:themeColor="text1"/>
                <w:lang w:val="en-US" w:eastAsia="ja-JP"/>
              </w:rPr>
            </w:pPr>
            <w:r>
              <w:rPr>
                <w:rFonts w:hint="eastAsia"/>
                <w:color w:val="000000" w:themeColor="text1"/>
                <w:lang w:val="en-US" w:eastAsia="ja-JP"/>
              </w:rPr>
              <w:t>[9] In Clause 10.2:</w:t>
            </w:r>
          </w:p>
          <w:p w:rsidR="00294E60" w:rsidRPr="00294E60" w:rsidRDefault="00294E60" w:rsidP="00294E60">
            <w:pPr>
              <w:spacing w:line="240" w:lineRule="exact"/>
              <w:rPr>
                <w:color w:val="FF0000"/>
                <w:lang w:val="en-US" w:eastAsia="ja-JP"/>
              </w:rPr>
            </w:pPr>
            <w:r>
              <w:rPr>
                <w:b/>
                <w:bCs/>
                <w:color w:val="000000" w:themeColor="text1"/>
                <w:lang w:val="en-US" w:eastAsia="ja-JP"/>
              </w:rPr>
              <w:t>“</w:t>
            </w:r>
            <w:r w:rsidRPr="00294E60">
              <w:rPr>
                <w:b/>
                <w:bCs/>
                <w:color w:val="000000" w:themeColor="text1"/>
                <w:lang w:val="en-US" w:eastAsia="ja-JP"/>
              </w:rPr>
              <w:t xml:space="preserve">10.2 Bundle media access </w:t>
            </w:r>
            <w:proofErr w:type="spellStart"/>
            <w:r w:rsidRPr="00294E60">
              <w:rPr>
                <w:b/>
                <w:bCs/>
                <w:color w:val="000000" w:themeColor="text1"/>
                <w:lang w:val="en-US" w:eastAsia="ja-JP"/>
              </w:rPr>
              <w:t>autehntication</w:t>
            </w:r>
            <w:proofErr w:type="spellEnd"/>
            <w:r w:rsidRPr="00294E60">
              <w:rPr>
                <w:b/>
                <w:bCs/>
                <w:color w:val="000000" w:themeColor="text1"/>
                <w:lang w:val="en-US" w:eastAsia="ja-JP"/>
              </w:rPr>
              <w:t xml:space="preserve"> to MIH service access authentication</w:t>
            </w:r>
            <w:r>
              <w:rPr>
                <w:rFonts w:hint="eastAsia"/>
                <w:b/>
                <w:bCs/>
                <w:color w:val="FF0000"/>
                <w:lang w:val="en-US" w:eastAsia="ja-JP"/>
              </w:rPr>
              <w:t xml:space="preserve"> using EAP</w:t>
            </w:r>
          </w:p>
          <w:p w:rsidR="00294E60" w:rsidRPr="00942E07" w:rsidRDefault="00294E60" w:rsidP="00294E60">
            <w:pPr>
              <w:spacing w:line="240" w:lineRule="exact"/>
              <w:rPr>
                <w:color w:val="000000" w:themeColor="text1"/>
                <w:lang w:val="en-US" w:eastAsia="ja-JP"/>
              </w:rPr>
            </w:pPr>
            <w:r w:rsidRPr="00294E60">
              <w:rPr>
                <w:color w:val="000000" w:themeColor="text1"/>
                <w:lang w:val="en-US" w:eastAsia="ja-JP"/>
              </w:rPr>
              <w:t xml:space="preserve">This clause specifies an optimization option by bundling the media access authentication with a MIH service access authentication </w:t>
            </w:r>
            <w:r>
              <w:rPr>
                <w:rFonts w:hint="eastAsia"/>
                <w:color w:val="FF0000"/>
                <w:lang w:val="en-US" w:eastAsia="ja-JP"/>
              </w:rPr>
              <w:t xml:space="preserve">using EAP </w:t>
            </w:r>
            <w:r w:rsidRPr="00294E60">
              <w:rPr>
                <w:color w:val="000000" w:themeColor="text1"/>
                <w:lang w:val="en-US" w:eastAsia="ja-JP"/>
              </w:rPr>
              <w:t xml:space="preserve">when the trust relationship between media specific network access provider and the MIH service provider allows. In this case, at the end of a successful service access authentication, a </w:t>
            </w:r>
            <w:proofErr w:type="spellStart"/>
            <w:r w:rsidRPr="00294E60">
              <w:rPr>
                <w:color w:val="000000" w:themeColor="text1"/>
                <w:lang w:val="en-US" w:eastAsia="ja-JP"/>
              </w:rPr>
              <w:t>PoS</w:t>
            </w:r>
            <w:proofErr w:type="spellEnd"/>
            <w:r w:rsidRPr="00294E60">
              <w:rPr>
                <w:color w:val="000000" w:themeColor="text1"/>
                <w:lang w:val="en-US" w:eastAsia="ja-JP"/>
              </w:rPr>
              <w:t xml:space="preserve"> will derive not only keys for MIH message protection as defined in 9.1.2.2 but also a key called media specific root key (MSRK). This key will be further used to derive a key or keys called media specific </w:t>
            </w:r>
            <w:proofErr w:type="spellStart"/>
            <w:r w:rsidRPr="00294E60">
              <w:rPr>
                <w:color w:val="000000" w:themeColor="text1"/>
                <w:lang w:val="en-US" w:eastAsia="ja-JP"/>
              </w:rPr>
              <w:t>pairwise</w:t>
            </w:r>
            <w:proofErr w:type="spellEnd"/>
            <w:r w:rsidRPr="00294E60">
              <w:rPr>
                <w:color w:val="000000" w:themeColor="text1"/>
                <w:lang w:val="en-US" w:eastAsia="ja-JP"/>
              </w:rPr>
              <w:t xml:space="preserve"> master keys (MSPMKs) to be used by a target </w:t>
            </w:r>
            <w:proofErr w:type="spellStart"/>
            <w:r w:rsidRPr="00294E60">
              <w:rPr>
                <w:color w:val="000000" w:themeColor="text1"/>
                <w:lang w:val="en-US" w:eastAsia="ja-JP"/>
              </w:rPr>
              <w:t>PoA</w:t>
            </w:r>
            <w:proofErr w:type="spellEnd"/>
            <w:r w:rsidRPr="00294E60">
              <w:rPr>
                <w:color w:val="000000" w:themeColor="text1"/>
                <w:lang w:val="en-US" w:eastAsia="ja-JP"/>
              </w:rPr>
              <w:t xml:space="preserve"> or </w:t>
            </w:r>
            <w:proofErr w:type="spellStart"/>
            <w:r w:rsidRPr="00294E60">
              <w:rPr>
                <w:color w:val="000000" w:themeColor="text1"/>
                <w:lang w:val="en-US" w:eastAsia="ja-JP"/>
              </w:rPr>
              <w:t>PoAs</w:t>
            </w:r>
            <w:proofErr w:type="spellEnd"/>
            <w:r w:rsidRPr="00294E60">
              <w:rPr>
                <w:color w:val="000000" w:themeColor="text1"/>
                <w:lang w:val="en-US" w:eastAsia="ja-JP"/>
              </w:rPr>
              <w:t>. The bundling option is purely for optimization and is optional to use.</w:t>
            </w:r>
            <w:r>
              <w:rPr>
                <w:color w:val="000000" w:themeColor="text1"/>
                <w:lang w:val="en-US" w:eastAsia="ja-JP"/>
              </w:rPr>
              <w:t>”</w:t>
            </w:r>
          </w:p>
        </w:tc>
      </w:tr>
    </w:tbl>
    <w:p w:rsidR="00274D20" w:rsidRDefault="00274D20" w:rsidP="00F43D3C">
      <w:pPr>
        <w:rPr>
          <w:lang w:eastAsia="ja-JP"/>
        </w:rPr>
      </w:pPr>
    </w:p>
    <w:p w:rsidR="00640802" w:rsidRDefault="00640802" w:rsidP="00274D20">
      <w:pPr>
        <w:rPr>
          <w:lang w:eastAsia="ja-JP"/>
        </w:rPr>
      </w:pPr>
    </w:p>
    <w:p w:rsidR="00242DBE" w:rsidRPr="00274D20" w:rsidRDefault="00274D20" w:rsidP="00274D20">
      <w:pPr>
        <w:tabs>
          <w:tab w:val="left" w:pos="7237"/>
        </w:tabs>
        <w:rPr>
          <w:lang w:eastAsia="ja-JP"/>
        </w:rPr>
      </w:pPr>
      <w:r>
        <w:rPr>
          <w:lang w:eastAsia="ja-JP"/>
        </w:rPr>
        <w:tab/>
      </w:r>
    </w:p>
    <w:sectPr w:rsidR="00242DBE" w:rsidRPr="00274D20" w:rsidSect="00030CD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280" w:rsidRDefault="00A94280" w:rsidP="00C15B43">
      <w:pPr>
        <w:spacing w:after="0" w:line="240" w:lineRule="auto"/>
      </w:pPr>
      <w:r>
        <w:separator/>
      </w:r>
    </w:p>
  </w:endnote>
  <w:endnote w:type="continuationSeparator" w:id="0">
    <w:p w:rsidR="00A94280" w:rsidRDefault="00A94280" w:rsidP="00C15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280" w:rsidRDefault="00A94280" w:rsidP="00C15B43">
      <w:pPr>
        <w:spacing w:after="0" w:line="240" w:lineRule="auto"/>
      </w:pPr>
      <w:r>
        <w:separator/>
      </w:r>
    </w:p>
  </w:footnote>
  <w:footnote w:type="continuationSeparator" w:id="0">
    <w:p w:rsidR="00A94280" w:rsidRDefault="00A94280" w:rsidP="00C15B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pStyle w:val="2"/>
      <w:lvlText w:val="%1.%2"/>
      <w:lvlJc w:val="left"/>
      <w:pPr>
        <w:tabs>
          <w:tab w:val="num" w:pos="0"/>
        </w:tabs>
        <w:ind w:left="66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15D37273"/>
    <w:multiLevelType w:val="hybridMultilevel"/>
    <w:tmpl w:val="07BAABE4"/>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2">
    <w:nsid w:val="25764E4A"/>
    <w:multiLevelType w:val="hybridMultilevel"/>
    <w:tmpl w:val="745EB49E"/>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3">
    <w:nsid w:val="2FCF5D35"/>
    <w:multiLevelType w:val="hybridMultilevel"/>
    <w:tmpl w:val="260E6D5E"/>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4">
    <w:nsid w:val="305F5D0C"/>
    <w:multiLevelType w:val="hybridMultilevel"/>
    <w:tmpl w:val="E982BE86"/>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MS Mincho"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MS Mincho"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MS Mincho" w:hint="default"/>
      </w:rPr>
    </w:lvl>
    <w:lvl w:ilvl="8" w:tplc="0C0A0005" w:tentative="1">
      <w:start w:val="1"/>
      <w:numFmt w:val="bullet"/>
      <w:lvlText w:val=""/>
      <w:lvlJc w:val="left"/>
      <w:pPr>
        <w:ind w:left="7206" w:hanging="360"/>
      </w:pPr>
      <w:rPr>
        <w:rFonts w:ascii="Wingdings" w:hAnsi="Wingdings" w:hint="default"/>
      </w:rPr>
    </w:lvl>
  </w:abstractNum>
  <w:abstractNum w:abstractNumId="5">
    <w:nsid w:val="31D5742D"/>
    <w:multiLevelType w:val="hybridMultilevel"/>
    <w:tmpl w:val="48347FB0"/>
    <w:lvl w:ilvl="0" w:tplc="D6041572">
      <w:start w:val="1"/>
      <w:numFmt w:val="decimal"/>
      <w:lvlText w:val="%1."/>
      <w:lvlJc w:val="left"/>
      <w:pPr>
        <w:tabs>
          <w:tab w:val="num" w:pos="1170"/>
        </w:tabs>
        <w:ind w:left="1170" w:hanging="360"/>
      </w:pPr>
      <w:rPr>
        <w:rFonts w:hint="default"/>
        <w:i w:val="0"/>
      </w:rPr>
    </w:lvl>
    <w:lvl w:ilvl="1" w:tplc="E4AC614A">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E7D6E"/>
    <w:multiLevelType w:val="hybridMultilevel"/>
    <w:tmpl w:val="73806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7557B6"/>
    <w:multiLevelType w:val="hybridMultilevel"/>
    <w:tmpl w:val="04C09542"/>
    <w:lvl w:ilvl="0" w:tplc="4D04F2FA">
      <w:start w:val="29"/>
      <w:numFmt w:val="bullet"/>
      <w:lvlText w:val="-"/>
      <w:lvlJc w:val="left"/>
      <w:pPr>
        <w:ind w:left="360" w:hanging="360"/>
      </w:pPr>
      <w:rPr>
        <w:rFonts w:ascii="Calibri" w:eastAsiaTheme="minorEastAsia"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1255FF3"/>
    <w:multiLevelType w:val="hybridMultilevel"/>
    <w:tmpl w:val="73481EF8"/>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9">
    <w:nsid w:val="441A49EC"/>
    <w:multiLevelType w:val="hybridMultilevel"/>
    <w:tmpl w:val="4FDC37E4"/>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Arial"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Arial"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Arial" w:hint="default"/>
      </w:rPr>
    </w:lvl>
    <w:lvl w:ilvl="8" w:tplc="0C0A0005" w:tentative="1">
      <w:start w:val="1"/>
      <w:numFmt w:val="bullet"/>
      <w:lvlText w:val=""/>
      <w:lvlJc w:val="left"/>
      <w:pPr>
        <w:ind w:left="6605" w:hanging="360"/>
      </w:pPr>
      <w:rPr>
        <w:rFonts w:ascii="Wingdings" w:hAnsi="Wingdings" w:hint="default"/>
      </w:rPr>
    </w:lvl>
  </w:abstractNum>
  <w:abstractNum w:abstractNumId="10">
    <w:nsid w:val="4EF67387"/>
    <w:multiLevelType w:val="hybridMultilevel"/>
    <w:tmpl w:val="C838B370"/>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MS Mincho"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MS Mincho"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MS Mincho" w:hint="default"/>
      </w:rPr>
    </w:lvl>
    <w:lvl w:ilvl="8" w:tplc="0C0A0005" w:tentative="1">
      <w:start w:val="1"/>
      <w:numFmt w:val="bullet"/>
      <w:lvlText w:val=""/>
      <w:lvlJc w:val="left"/>
      <w:pPr>
        <w:ind w:left="7056" w:hanging="360"/>
      </w:pPr>
      <w:rPr>
        <w:rFonts w:ascii="Wingdings" w:hAnsi="Wingdings" w:hint="default"/>
      </w:rPr>
    </w:lvl>
  </w:abstractNum>
  <w:abstractNum w:abstractNumId="11">
    <w:nsid w:val="582C5BA6"/>
    <w:multiLevelType w:val="hybridMultilevel"/>
    <w:tmpl w:val="7598A84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843EFD"/>
    <w:multiLevelType w:val="hybridMultilevel"/>
    <w:tmpl w:val="B9929FD8"/>
    <w:lvl w:ilvl="0" w:tplc="236C6B74">
      <w:start w:val="29"/>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7AA2B9F"/>
    <w:multiLevelType w:val="multilevel"/>
    <w:tmpl w:val="7FDC9F48"/>
    <w:lvl w:ilvl="0">
      <w:start w:val="1"/>
      <w:numFmt w:val="decimal"/>
      <w:lvlText w:val="%1."/>
      <w:lvlJc w:val="left"/>
      <w:pPr>
        <w:tabs>
          <w:tab w:val="num" w:pos="360"/>
        </w:tabs>
        <w:ind w:left="360" w:hanging="360"/>
      </w:pPr>
      <w:rPr>
        <w:rFonts w:ascii="Times New Roman" w:hAnsi="Times New Roman" w:cs="Times New Roman" w:hint="default"/>
        <w:b/>
        <w:i w:val="0"/>
      </w:rPr>
    </w:lvl>
    <w:lvl w:ilvl="1">
      <w:start w:val="1"/>
      <w:numFmt w:val="bullet"/>
      <w:lvlText w:val="o"/>
      <w:lvlJc w:val="left"/>
      <w:pPr>
        <w:tabs>
          <w:tab w:val="num" w:pos="1080"/>
        </w:tabs>
        <w:ind w:left="1080" w:hanging="360"/>
      </w:pPr>
      <w:rPr>
        <w:rFonts w:ascii="Courier New" w:hAnsi="Courier New" w:cs="MS Mincho" w:hint="default"/>
        <w:b w:val="0"/>
        <w:i w:val="0"/>
      </w:rPr>
    </w:lvl>
    <w:lvl w:ilvl="2">
      <w:start w:val="1"/>
      <w:numFmt w:val="decimal"/>
      <w:lvlText w:val="%3."/>
      <w:lvlJc w:val="left"/>
      <w:pPr>
        <w:tabs>
          <w:tab w:val="num" w:pos="1800"/>
        </w:tabs>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MS Mincho"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MS Mincho"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6983014B"/>
    <w:multiLevelType w:val="hybridMultilevel"/>
    <w:tmpl w:val="AC2452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BD35FC"/>
    <w:multiLevelType w:val="hybridMultilevel"/>
    <w:tmpl w:val="7564F052"/>
    <w:lvl w:ilvl="0" w:tplc="D6041572">
      <w:start w:val="1"/>
      <w:numFmt w:val="decimal"/>
      <w:lvlText w:val="%1."/>
      <w:lvlJc w:val="left"/>
      <w:pPr>
        <w:tabs>
          <w:tab w:val="num" w:pos="810"/>
        </w:tabs>
        <w:ind w:left="81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8"/>
  </w:num>
  <w:num w:numId="4">
    <w:abstractNumId w:val="14"/>
  </w:num>
  <w:num w:numId="5">
    <w:abstractNumId w:val="13"/>
  </w:num>
  <w:num w:numId="6">
    <w:abstractNumId w:val="5"/>
  </w:num>
  <w:num w:numId="7">
    <w:abstractNumId w:val="9"/>
  </w:num>
  <w:num w:numId="8">
    <w:abstractNumId w:val="15"/>
  </w:num>
  <w:num w:numId="9">
    <w:abstractNumId w:val="11"/>
  </w:num>
  <w:num w:numId="10">
    <w:abstractNumId w:val="10"/>
  </w:num>
  <w:num w:numId="11">
    <w:abstractNumId w:val="1"/>
  </w:num>
  <w:num w:numId="12">
    <w:abstractNumId w:val="4"/>
  </w:num>
  <w:num w:numId="13">
    <w:abstractNumId w:val="2"/>
  </w:num>
  <w:num w:numId="14">
    <w:abstractNumId w:val="6"/>
  </w:num>
  <w:num w:numId="15">
    <w:abstractNumId w:val="7"/>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spelling="clean" w:grammar="clean"/>
  <w:defaultTabStop w:val="708"/>
  <w:hyphenationZone w:val="425"/>
  <w:characterSpacingControl w:val="doNotCompress"/>
  <w:hdrShapeDefaults>
    <o:shapedefaults v:ext="edit" spidmax="33794">
      <v:textbox inset="5.85pt,.7pt,5.85pt,.7pt"/>
    </o:shapedefaults>
  </w:hdrShapeDefaults>
  <w:footnotePr>
    <w:footnote w:id="-1"/>
    <w:footnote w:id="0"/>
  </w:footnotePr>
  <w:endnotePr>
    <w:endnote w:id="-1"/>
    <w:endnote w:id="0"/>
  </w:endnotePr>
  <w:compat>
    <w:useFELayout/>
  </w:compat>
  <w:rsids>
    <w:rsidRoot w:val="00AA102E"/>
    <w:rsid w:val="00030CD1"/>
    <w:rsid w:val="000414AE"/>
    <w:rsid w:val="000551A2"/>
    <w:rsid w:val="000571F4"/>
    <w:rsid w:val="00063903"/>
    <w:rsid w:val="00071F9A"/>
    <w:rsid w:val="000856F0"/>
    <w:rsid w:val="000A3CB4"/>
    <w:rsid w:val="000A78DC"/>
    <w:rsid w:val="000D1B21"/>
    <w:rsid w:val="000D5881"/>
    <w:rsid w:val="000F007C"/>
    <w:rsid w:val="0011287C"/>
    <w:rsid w:val="0012738C"/>
    <w:rsid w:val="00140BFC"/>
    <w:rsid w:val="00141643"/>
    <w:rsid w:val="00160655"/>
    <w:rsid w:val="00165CD0"/>
    <w:rsid w:val="0018745B"/>
    <w:rsid w:val="00190E3F"/>
    <w:rsid w:val="001A7F85"/>
    <w:rsid w:val="001B6030"/>
    <w:rsid w:val="001D5730"/>
    <w:rsid w:val="001E2404"/>
    <w:rsid w:val="001E31A1"/>
    <w:rsid w:val="001E44D6"/>
    <w:rsid w:val="002251ED"/>
    <w:rsid w:val="00242DBE"/>
    <w:rsid w:val="00247001"/>
    <w:rsid w:val="00262F79"/>
    <w:rsid w:val="00274D20"/>
    <w:rsid w:val="00294E60"/>
    <w:rsid w:val="002A1855"/>
    <w:rsid w:val="002A524B"/>
    <w:rsid w:val="002C3E18"/>
    <w:rsid w:val="002D15F2"/>
    <w:rsid w:val="002D38B7"/>
    <w:rsid w:val="002D5EE8"/>
    <w:rsid w:val="0031441B"/>
    <w:rsid w:val="003174A7"/>
    <w:rsid w:val="003241B3"/>
    <w:rsid w:val="00333E91"/>
    <w:rsid w:val="00347BA7"/>
    <w:rsid w:val="0035090A"/>
    <w:rsid w:val="003517A0"/>
    <w:rsid w:val="00354E8B"/>
    <w:rsid w:val="00386319"/>
    <w:rsid w:val="003A41F8"/>
    <w:rsid w:val="003A5D2A"/>
    <w:rsid w:val="003A6B9F"/>
    <w:rsid w:val="003A7673"/>
    <w:rsid w:val="003B12C4"/>
    <w:rsid w:val="003C7749"/>
    <w:rsid w:val="003D1237"/>
    <w:rsid w:val="003E07C6"/>
    <w:rsid w:val="003F2FC3"/>
    <w:rsid w:val="00415E94"/>
    <w:rsid w:val="004238B0"/>
    <w:rsid w:val="00425B47"/>
    <w:rsid w:val="004317EE"/>
    <w:rsid w:val="00443F02"/>
    <w:rsid w:val="00452FA5"/>
    <w:rsid w:val="00484ED7"/>
    <w:rsid w:val="00492E20"/>
    <w:rsid w:val="00494651"/>
    <w:rsid w:val="00494F01"/>
    <w:rsid w:val="004A18C9"/>
    <w:rsid w:val="004A3626"/>
    <w:rsid w:val="004B5C13"/>
    <w:rsid w:val="004D1D3A"/>
    <w:rsid w:val="004D44A0"/>
    <w:rsid w:val="00504715"/>
    <w:rsid w:val="00506016"/>
    <w:rsid w:val="005121A8"/>
    <w:rsid w:val="00514108"/>
    <w:rsid w:val="00530E68"/>
    <w:rsid w:val="00555B33"/>
    <w:rsid w:val="00562765"/>
    <w:rsid w:val="0058538A"/>
    <w:rsid w:val="0059647A"/>
    <w:rsid w:val="005A0275"/>
    <w:rsid w:val="005A182E"/>
    <w:rsid w:val="005B723B"/>
    <w:rsid w:val="005B750E"/>
    <w:rsid w:val="005C0ED4"/>
    <w:rsid w:val="005F1BD8"/>
    <w:rsid w:val="005F6D41"/>
    <w:rsid w:val="00632633"/>
    <w:rsid w:val="006376D4"/>
    <w:rsid w:val="00640802"/>
    <w:rsid w:val="006563F8"/>
    <w:rsid w:val="006653CB"/>
    <w:rsid w:val="0066573A"/>
    <w:rsid w:val="00677782"/>
    <w:rsid w:val="00677A0D"/>
    <w:rsid w:val="006807A2"/>
    <w:rsid w:val="00682B39"/>
    <w:rsid w:val="00684273"/>
    <w:rsid w:val="006A3268"/>
    <w:rsid w:val="00724F95"/>
    <w:rsid w:val="00725DDB"/>
    <w:rsid w:val="007507D4"/>
    <w:rsid w:val="007A4A24"/>
    <w:rsid w:val="007C413C"/>
    <w:rsid w:val="007C6FBE"/>
    <w:rsid w:val="007D35A1"/>
    <w:rsid w:val="008034DB"/>
    <w:rsid w:val="00813EE6"/>
    <w:rsid w:val="008208A1"/>
    <w:rsid w:val="008269C1"/>
    <w:rsid w:val="00852731"/>
    <w:rsid w:val="0086176C"/>
    <w:rsid w:val="008912B9"/>
    <w:rsid w:val="008A5247"/>
    <w:rsid w:val="008C186E"/>
    <w:rsid w:val="008C2DDC"/>
    <w:rsid w:val="008E122D"/>
    <w:rsid w:val="008E566B"/>
    <w:rsid w:val="008F03E2"/>
    <w:rsid w:val="008F53E6"/>
    <w:rsid w:val="0091063A"/>
    <w:rsid w:val="009135A1"/>
    <w:rsid w:val="00913BBE"/>
    <w:rsid w:val="00925339"/>
    <w:rsid w:val="0093283B"/>
    <w:rsid w:val="00933E19"/>
    <w:rsid w:val="009344FD"/>
    <w:rsid w:val="00942E07"/>
    <w:rsid w:val="00956657"/>
    <w:rsid w:val="00987A09"/>
    <w:rsid w:val="009A7E16"/>
    <w:rsid w:val="009B01F4"/>
    <w:rsid w:val="009B76D2"/>
    <w:rsid w:val="009C0A4B"/>
    <w:rsid w:val="009C5A8D"/>
    <w:rsid w:val="009F4E85"/>
    <w:rsid w:val="00A17F59"/>
    <w:rsid w:val="00A24040"/>
    <w:rsid w:val="00A55952"/>
    <w:rsid w:val="00A57305"/>
    <w:rsid w:val="00A9409B"/>
    <w:rsid w:val="00A94280"/>
    <w:rsid w:val="00AA102E"/>
    <w:rsid w:val="00AA7C44"/>
    <w:rsid w:val="00AD1B7E"/>
    <w:rsid w:val="00AF186A"/>
    <w:rsid w:val="00AF6622"/>
    <w:rsid w:val="00B07ACF"/>
    <w:rsid w:val="00B1354D"/>
    <w:rsid w:val="00B141BF"/>
    <w:rsid w:val="00B209DC"/>
    <w:rsid w:val="00B3507E"/>
    <w:rsid w:val="00B8587F"/>
    <w:rsid w:val="00BC4830"/>
    <w:rsid w:val="00BD08F3"/>
    <w:rsid w:val="00BE7D18"/>
    <w:rsid w:val="00BF3028"/>
    <w:rsid w:val="00C15B43"/>
    <w:rsid w:val="00C567A4"/>
    <w:rsid w:val="00C6305C"/>
    <w:rsid w:val="00C659A9"/>
    <w:rsid w:val="00C70582"/>
    <w:rsid w:val="00C75C17"/>
    <w:rsid w:val="00C80683"/>
    <w:rsid w:val="00C821DA"/>
    <w:rsid w:val="00C82639"/>
    <w:rsid w:val="00CA28FD"/>
    <w:rsid w:val="00CA4698"/>
    <w:rsid w:val="00CB15C2"/>
    <w:rsid w:val="00CC04D2"/>
    <w:rsid w:val="00CD5779"/>
    <w:rsid w:val="00CD7D3B"/>
    <w:rsid w:val="00CE2028"/>
    <w:rsid w:val="00CE5117"/>
    <w:rsid w:val="00D00BF4"/>
    <w:rsid w:val="00D13B1B"/>
    <w:rsid w:val="00D267D6"/>
    <w:rsid w:val="00D4416A"/>
    <w:rsid w:val="00D453F9"/>
    <w:rsid w:val="00D46A82"/>
    <w:rsid w:val="00D54C4E"/>
    <w:rsid w:val="00D56E1F"/>
    <w:rsid w:val="00D65E34"/>
    <w:rsid w:val="00D80C3A"/>
    <w:rsid w:val="00DA0464"/>
    <w:rsid w:val="00DA4941"/>
    <w:rsid w:val="00DB6AFC"/>
    <w:rsid w:val="00DC0C2A"/>
    <w:rsid w:val="00DD1CD6"/>
    <w:rsid w:val="00DD356F"/>
    <w:rsid w:val="00DD5E99"/>
    <w:rsid w:val="00DE57DE"/>
    <w:rsid w:val="00DF49A7"/>
    <w:rsid w:val="00DF7818"/>
    <w:rsid w:val="00E02E17"/>
    <w:rsid w:val="00E11C1F"/>
    <w:rsid w:val="00E505EA"/>
    <w:rsid w:val="00E618DA"/>
    <w:rsid w:val="00E7105F"/>
    <w:rsid w:val="00E821A3"/>
    <w:rsid w:val="00EA779C"/>
    <w:rsid w:val="00EC6049"/>
    <w:rsid w:val="00ED4F7A"/>
    <w:rsid w:val="00EE04F2"/>
    <w:rsid w:val="00EE5F71"/>
    <w:rsid w:val="00EE6484"/>
    <w:rsid w:val="00F43D3C"/>
    <w:rsid w:val="00F46214"/>
    <w:rsid w:val="00F700BE"/>
    <w:rsid w:val="00F92C60"/>
    <w:rsid w:val="00F93520"/>
    <w:rsid w:val="00F93A77"/>
    <w:rsid w:val="00FB143F"/>
    <w:rsid w:val="00FC3E06"/>
    <w:rsid w:val="00FE1596"/>
    <w:rsid w:val="00FF40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n-US" w:bidi="ar-SA"/>
      </w:rPr>
    </w:rPrDefault>
    <w:pPrDefault>
      <w:pPr>
        <w:spacing w:after="20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D1"/>
  </w:style>
  <w:style w:type="paragraph" w:styleId="2">
    <w:name w:val="heading 2"/>
    <w:basedOn w:val="a"/>
    <w:next w:val="a"/>
    <w:link w:val="20"/>
    <w:qFormat/>
    <w:rsid w:val="00140BFC"/>
    <w:pPr>
      <w:numPr>
        <w:ilvl w:val="1"/>
        <w:numId w:val="2"/>
      </w:numPr>
      <w:suppressAutoHyphens/>
      <w:spacing w:before="200" w:after="0"/>
      <w:outlineLvl w:val="1"/>
    </w:pPr>
    <w:rPr>
      <w:rFonts w:ascii="Cambria" w:eastAsia="PMingLiU" w:hAnsi="Cambria" w:cs="Calibri"/>
      <w:b/>
      <w:bCs/>
      <w:sz w:val="26"/>
      <w:szCs w:val="26"/>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0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annotation reference"/>
    <w:basedOn w:val="a0"/>
    <w:rsid w:val="00F93A77"/>
    <w:rPr>
      <w:rFonts w:cs="Times New Roman"/>
      <w:sz w:val="16"/>
      <w:szCs w:val="16"/>
    </w:rPr>
  </w:style>
  <w:style w:type="paragraph" w:styleId="a5">
    <w:name w:val="annotation text"/>
    <w:basedOn w:val="a"/>
    <w:link w:val="a6"/>
    <w:rsid w:val="00F93A77"/>
    <w:pPr>
      <w:suppressAutoHyphens/>
      <w:spacing w:line="240" w:lineRule="auto"/>
    </w:pPr>
    <w:rPr>
      <w:rFonts w:ascii="Calibri" w:eastAsia="PMingLiU" w:hAnsi="Calibri" w:cs="Calibri"/>
      <w:sz w:val="20"/>
      <w:szCs w:val="20"/>
      <w:lang w:val="en-US" w:eastAsia="ar-SA"/>
    </w:rPr>
  </w:style>
  <w:style w:type="character" w:customStyle="1" w:styleId="a6">
    <w:name w:val="コメント文字列 (文字)"/>
    <w:basedOn w:val="a0"/>
    <w:link w:val="a5"/>
    <w:rsid w:val="00F93A77"/>
    <w:rPr>
      <w:rFonts w:ascii="Calibri" w:eastAsia="PMingLiU" w:hAnsi="Calibri" w:cs="Calibri"/>
      <w:sz w:val="20"/>
      <w:szCs w:val="20"/>
      <w:lang w:val="en-US" w:eastAsia="ar-SA"/>
    </w:rPr>
  </w:style>
  <w:style w:type="paragraph" w:customStyle="1" w:styleId="Cuadrculamedia1-nfasis21">
    <w:name w:val="Cuadrícula media 1 - Énfasis 21"/>
    <w:basedOn w:val="a"/>
    <w:uiPriority w:val="34"/>
    <w:qFormat/>
    <w:rsid w:val="00F93A77"/>
    <w:pPr>
      <w:suppressAutoHyphens/>
      <w:ind w:left="720"/>
      <w:contextualSpacing/>
    </w:pPr>
    <w:rPr>
      <w:rFonts w:ascii="Calibri" w:eastAsia="PMingLiU" w:hAnsi="Calibri" w:cs="Calibri"/>
      <w:lang w:val="en-US" w:eastAsia="ar-SA"/>
    </w:rPr>
  </w:style>
  <w:style w:type="paragraph" w:styleId="a7">
    <w:name w:val="Balloon Text"/>
    <w:basedOn w:val="a"/>
    <w:link w:val="a8"/>
    <w:uiPriority w:val="99"/>
    <w:semiHidden/>
    <w:unhideWhenUsed/>
    <w:rsid w:val="00F93A77"/>
    <w:pPr>
      <w:spacing w:after="0" w:line="240" w:lineRule="auto"/>
    </w:pPr>
    <w:rPr>
      <w:rFonts w:ascii="Tahoma" w:hAnsi="Tahoma" w:cs="Tahoma"/>
      <w:sz w:val="16"/>
      <w:szCs w:val="16"/>
    </w:rPr>
  </w:style>
  <w:style w:type="character" w:customStyle="1" w:styleId="a8">
    <w:name w:val="吹き出し (文字)"/>
    <w:basedOn w:val="a0"/>
    <w:link w:val="a7"/>
    <w:uiPriority w:val="99"/>
    <w:semiHidden/>
    <w:rsid w:val="00F93A77"/>
    <w:rPr>
      <w:rFonts w:ascii="Tahoma" w:hAnsi="Tahoma" w:cs="Tahoma"/>
      <w:sz w:val="16"/>
      <w:szCs w:val="16"/>
    </w:rPr>
  </w:style>
  <w:style w:type="paragraph" w:styleId="a9">
    <w:name w:val="caption"/>
    <w:basedOn w:val="a"/>
    <w:next w:val="a"/>
    <w:uiPriority w:val="35"/>
    <w:qFormat/>
    <w:rsid w:val="0018745B"/>
    <w:pPr>
      <w:suppressAutoHyphens/>
      <w:spacing w:line="240" w:lineRule="auto"/>
    </w:pPr>
    <w:rPr>
      <w:rFonts w:ascii="Calibri" w:eastAsia="PMingLiU" w:hAnsi="Calibri" w:cs="Calibri"/>
      <w:b/>
      <w:bCs/>
      <w:color w:val="4F81BD"/>
      <w:sz w:val="18"/>
      <w:szCs w:val="18"/>
      <w:lang w:val="en-US" w:eastAsia="ar-SA"/>
    </w:rPr>
  </w:style>
  <w:style w:type="character" w:customStyle="1" w:styleId="20">
    <w:name w:val="見出し 2 (文字)"/>
    <w:basedOn w:val="a0"/>
    <w:link w:val="2"/>
    <w:rsid w:val="00140BFC"/>
    <w:rPr>
      <w:rFonts w:ascii="Cambria" w:eastAsia="PMingLiU" w:hAnsi="Cambria" w:cs="Calibri"/>
      <w:b/>
      <w:bCs/>
      <w:sz w:val="26"/>
      <w:szCs w:val="26"/>
      <w:lang w:val="en-US" w:eastAsia="ar-SA"/>
    </w:rPr>
  </w:style>
  <w:style w:type="paragraph" w:styleId="aa">
    <w:name w:val="List Paragraph"/>
    <w:basedOn w:val="a"/>
    <w:uiPriority w:val="34"/>
    <w:qFormat/>
    <w:rsid w:val="008269C1"/>
    <w:pPr>
      <w:ind w:left="720"/>
      <w:contextualSpacing/>
    </w:pPr>
  </w:style>
  <w:style w:type="character" w:styleId="ab">
    <w:name w:val="Hyperlink"/>
    <w:basedOn w:val="a0"/>
    <w:rsid w:val="00C567A4"/>
    <w:rPr>
      <w:rFonts w:cs="Times New Roman"/>
      <w:color w:val="0000FF"/>
      <w:u w:val="single"/>
    </w:rPr>
  </w:style>
  <w:style w:type="paragraph" w:customStyle="1" w:styleId="covertext">
    <w:name w:val="cover text"/>
    <w:basedOn w:val="a"/>
    <w:rsid w:val="00C567A4"/>
    <w:pPr>
      <w:suppressAutoHyphens/>
      <w:spacing w:before="120" w:after="120" w:line="240" w:lineRule="auto"/>
    </w:pPr>
    <w:rPr>
      <w:rFonts w:ascii="Times" w:eastAsia="Batang" w:hAnsi="Times" w:cs="Calibri"/>
      <w:sz w:val="24"/>
      <w:szCs w:val="24"/>
      <w:lang w:val="en-US" w:eastAsia="he-IL" w:bidi="he-IL"/>
    </w:rPr>
  </w:style>
  <w:style w:type="paragraph" w:customStyle="1" w:styleId="Body">
    <w:name w:val="Body"/>
    <w:basedOn w:val="a"/>
    <w:rsid w:val="00C567A4"/>
    <w:pPr>
      <w:suppressAutoHyphens/>
      <w:spacing w:after="120" w:line="240" w:lineRule="auto"/>
      <w:jc w:val="both"/>
    </w:pPr>
    <w:rPr>
      <w:rFonts w:ascii="Times" w:eastAsia="PMingLiU" w:hAnsi="Times" w:cs="Calibri"/>
      <w:kern w:val="1"/>
      <w:sz w:val="24"/>
      <w:szCs w:val="24"/>
      <w:lang w:val="en-US" w:eastAsia="he-IL" w:bidi="he-IL"/>
    </w:rPr>
  </w:style>
  <w:style w:type="character" w:customStyle="1" w:styleId="highlight">
    <w:name w:val="highlight"/>
    <w:basedOn w:val="a0"/>
    <w:rsid w:val="009135A1"/>
  </w:style>
  <w:style w:type="paragraph" w:styleId="ac">
    <w:name w:val="header"/>
    <w:basedOn w:val="a"/>
    <w:link w:val="ad"/>
    <w:uiPriority w:val="99"/>
    <w:semiHidden/>
    <w:unhideWhenUsed/>
    <w:rsid w:val="00C15B43"/>
    <w:pPr>
      <w:tabs>
        <w:tab w:val="center" w:pos="4252"/>
        <w:tab w:val="right" w:pos="8504"/>
      </w:tabs>
      <w:snapToGrid w:val="0"/>
    </w:pPr>
  </w:style>
  <w:style w:type="character" w:customStyle="1" w:styleId="ad">
    <w:name w:val="ヘッダー (文字)"/>
    <w:basedOn w:val="a0"/>
    <w:link w:val="ac"/>
    <w:uiPriority w:val="99"/>
    <w:semiHidden/>
    <w:rsid w:val="00C15B43"/>
  </w:style>
  <w:style w:type="paragraph" w:styleId="ae">
    <w:name w:val="footer"/>
    <w:basedOn w:val="a"/>
    <w:link w:val="af"/>
    <w:uiPriority w:val="99"/>
    <w:semiHidden/>
    <w:unhideWhenUsed/>
    <w:rsid w:val="00C15B43"/>
    <w:pPr>
      <w:tabs>
        <w:tab w:val="center" w:pos="4252"/>
        <w:tab w:val="right" w:pos="8504"/>
      </w:tabs>
      <w:snapToGrid w:val="0"/>
    </w:pPr>
  </w:style>
  <w:style w:type="character" w:customStyle="1" w:styleId="af">
    <w:name w:val="フッター (文字)"/>
    <w:basedOn w:val="a0"/>
    <w:link w:val="ae"/>
    <w:uiPriority w:val="99"/>
    <w:semiHidden/>
    <w:rsid w:val="00C15B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tandards.ieee.org/board/pat/faq.pdf" TargetMode="External"/><Relationship Id="rId4" Type="http://schemas.openxmlformats.org/officeDocument/2006/relationships/settings" Target="settings.xml"/><Relationship Id="rId9" Type="http://schemas.openxmlformats.org/officeDocument/2006/relationships/hyperlink" Target="http://127.0.0.1:4664/cache?event_id=757737&amp;schema_id=1&amp;s=5X0vID10lu_E6yrIkWkNd4Wz2H8&amp;q=hancock"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6ADCC-AEC6-45F8-975D-042E8CA3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13757</TotalTime>
  <Pages>9</Pages>
  <Words>2602</Words>
  <Characters>14834</Characters>
  <Application>Microsoft Office Word</Application>
  <DocSecurity>0</DocSecurity>
  <Lines>123</Lines>
  <Paragraphs>34</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Bernal</dc:creator>
  <cp:keywords/>
  <dc:description/>
  <cp:lastModifiedBy>ohba</cp:lastModifiedBy>
  <cp:revision>81</cp:revision>
  <dcterms:created xsi:type="dcterms:W3CDTF">2010-12-20T08:00:00Z</dcterms:created>
  <dcterms:modified xsi:type="dcterms:W3CDTF">2011-03-15T12:50:00Z</dcterms:modified>
</cp:coreProperties>
</file>