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1C1BF5" w:rsidP="00521EA0">
            <w:pPr>
              <w:pStyle w:val="covertext"/>
              <w:rPr>
                <w:rFonts w:ascii="Calibri" w:hAnsi="Calibri"/>
                <w:sz w:val="28"/>
                <w:szCs w:val="28"/>
              </w:rPr>
            </w:pPr>
            <w:r>
              <w:rPr>
                <w:rFonts w:ascii="Calibri" w:hAnsi="Calibri"/>
                <w:b/>
                <w:sz w:val="28"/>
                <w:szCs w:val="28"/>
              </w:rPr>
              <w:t>September</w:t>
            </w:r>
            <w:r w:rsidR="00BC4D59">
              <w:rPr>
                <w:rFonts w:ascii="Calibri" w:hAnsi="Calibri"/>
                <w:b/>
                <w:sz w:val="28"/>
                <w:szCs w:val="28"/>
              </w:rPr>
              <w:t xml:space="preserve"> 2017</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1C1BF5" w:rsidP="0078529A">
            <w:pPr>
              <w:pStyle w:val="covertext"/>
              <w:rPr>
                <w:rFonts w:ascii="Calibri" w:hAnsi="Calibri"/>
                <w:szCs w:val="24"/>
              </w:rPr>
            </w:pPr>
            <w:r>
              <w:rPr>
                <w:rFonts w:ascii="Calibri" w:hAnsi="Calibri"/>
                <w:szCs w:val="24"/>
              </w:rPr>
              <w:t xml:space="preserve">September </w:t>
            </w:r>
            <w:r w:rsidR="00A95C5C">
              <w:rPr>
                <w:rFonts w:ascii="Calibri" w:hAnsi="Calibri"/>
                <w:szCs w:val="24"/>
              </w:rPr>
              <w:t>15</w:t>
            </w:r>
            <w:r w:rsidR="0023260A">
              <w:rPr>
                <w:rFonts w:ascii="Calibri" w:hAnsi="Calibri"/>
                <w:szCs w:val="24"/>
              </w:rPr>
              <w:t>, 2017</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A0CDF" w:rsidP="00283796">
      <w:pPr>
        <w:spacing w:after="0" w:line="240" w:lineRule="auto"/>
        <w:rPr>
          <w:b/>
        </w:rPr>
      </w:pPr>
      <w:r>
        <w:rPr>
          <w:b/>
        </w:rPr>
        <w:lastRenderedPageBreak/>
        <w:t>M</w:t>
      </w:r>
      <w:r w:rsidR="005B4902">
        <w:rPr>
          <w:b/>
        </w:rPr>
        <w:t xml:space="preserve">onday </w:t>
      </w:r>
      <w:r w:rsidR="001C1BF5">
        <w:rPr>
          <w:b/>
        </w:rPr>
        <w:t>September 11</w:t>
      </w:r>
      <w:r w:rsidR="00D06B2A">
        <w:rPr>
          <w:b/>
        </w:rPr>
        <w:t>, 2017</w:t>
      </w:r>
    </w:p>
    <w:p w:rsidR="00283796" w:rsidRDefault="00283796" w:rsidP="00283796">
      <w:pPr>
        <w:spacing w:after="0" w:line="240" w:lineRule="auto"/>
      </w:pPr>
    </w:p>
    <w:p w:rsidR="000A0CDF" w:rsidRDefault="00283796" w:rsidP="00283796">
      <w:pPr>
        <w:spacing w:after="0" w:line="240" w:lineRule="auto"/>
      </w:pPr>
      <w:r>
        <w:t>WG chair c</w:t>
      </w:r>
      <w:r w:rsidR="00E04ED7">
        <w:t>al</w:t>
      </w:r>
      <w:r w:rsidR="00C2321C">
        <w:t xml:space="preserve">led the meeting to order at </w:t>
      </w:r>
      <w:r w:rsidR="000A0CDF">
        <w:t>4:0</w:t>
      </w:r>
      <w:r w:rsidR="001C1BF5">
        <w:t>4</w:t>
      </w:r>
      <w:r w:rsidR="00061378">
        <w:t xml:space="preserve"> P</w:t>
      </w:r>
      <w:r>
        <w:t>M.</w:t>
      </w:r>
    </w:p>
    <w:p w:rsidR="00283796" w:rsidRDefault="00283796" w:rsidP="00283796">
      <w:pPr>
        <w:spacing w:after="0" w:line="240" w:lineRule="auto"/>
      </w:pPr>
    </w:p>
    <w:p w:rsidR="00283796" w:rsidRDefault="00373145" w:rsidP="00283796">
      <w:pPr>
        <w:spacing w:after="0" w:line="240" w:lineRule="auto"/>
      </w:pPr>
      <w:r>
        <w:t>Chair revi</w:t>
      </w:r>
      <w:r w:rsidR="001C1BF5">
        <w:t>ewed the agenda, and added two items to the agenda.</w:t>
      </w:r>
      <w:r w:rsidR="0023260A">
        <w:t xml:space="preserve">  </w:t>
      </w:r>
      <w:r>
        <w:t xml:space="preserve">The </w:t>
      </w:r>
      <w:r w:rsidR="00BC4D59">
        <w:t xml:space="preserve">WG </w:t>
      </w:r>
      <w:r w:rsidR="00DB68F1">
        <w:t>unanimously</w:t>
      </w:r>
      <w:r w:rsidR="0084447E">
        <w:t xml:space="preserve"> approved t</w:t>
      </w:r>
      <w:r w:rsidR="002B11ED">
        <w:t xml:space="preserve">he </w:t>
      </w:r>
      <w:r w:rsidR="001C1BF5">
        <w:t>agenda, document 802.19-17/0072r1</w:t>
      </w:r>
      <w:r w:rsidR="0084447E">
        <w:t>.</w:t>
      </w:r>
    </w:p>
    <w:p w:rsidR="00283796" w:rsidRDefault="00283796" w:rsidP="00283796">
      <w:pPr>
        <w:spacing w:after="0" w:line="240" w:lineRule="auto"/>
      </w:pPr>
    </w:p>
    <w:p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rsidR="0023260A" w:rsidRDefault="0023260A" w:rsidP="00283796">
      <w:pPr>
        <w:spacing w:after="0" w:line="240" w:lineRule="auto"/>
      </w:pPr>
    </w:p>
    <w:p w:rsidR="0023260A" w:rsidRDefault="0023260A" w:rsidP="00283796">
      <w:pPr>
        <w:spacing w:after="0" w:line="240" w:lineRule="auto"/>
      </w:pPr>
      <w:r>
        <w:t>Chair read the IEEE 802 Participation slides.</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 xml:space="preserve">rom the </w:t>
      </w:r>
      <w:r w:rsidR="000A0CDF">
        <w:t xml:space="preserve">May </w:t>
      </w:r>
      <w:r w:rsidR="001C1BF5">
        <w:t>meeting, document 802.19-17/71</w:t>
      </w:r>
      <w:r>
        <w:t>r</w:t>
      </w:r>
      <w:r w:rsidR="00BF1A72">
        <w:t>0</w:t>
      </w:r>
      <w:r w:rsidR="00F151ED">
        <w:t xml:space="preserve">,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2B11ED">
        <w:t>n</w:t>
      </w:r>
      <w:r w:rsidR="006E617B">
        <w:t>g</w:t>
      </w:r>
      <w:r w:rsidR="001C1BF5">
        <w:t xml:space="preserve"> Report, document 802.19-17/0073</w:t>
      </w:r>
      <w:r w:rsidR="000A0CDF">
        <w:t>r0</w:t>
      </w:r>
    </w:p>
    <w:p w:rsidR="006E617B" w:rsidRDefault="006E617B" w:rsidP="00283796">
      <w:pPr>
        <w:spacing w:after="0" w:line="240" w:lineRule="auto"/>
      </w:pPr>
    </w:p>
    <w:p w:rsidR="002B11ED" w:rsidRDefault="0023260A" w:rsidP="00283796">
      <w:pPr>
        <w:spacing w:after="0" w:line="240" w:lineRule="auto"/>
      </w:pPr>
      <w:r>
        <w:t>The</w:t>
      </w:r>
      <w:r w:rsidR="001C1BF5">
        <w:t xml:space="preserve"> TGRev</w:t>
      </w:r>
      <w:r w:rsidR="000A0CDF">
        <w:t xml:space="preserve"> </w:t>
      </w:r>
      <w:r w:rsidR="001C1BF5">
        <w:t>chair presented the TGRev</w:t>
      </w:r>
      <w:r w:rsidR="002B11ED">
        <w:t xml:space="preserve"> openin</w:t>
      </w:r>
      <w:r w:rsidR="00D06B2A">
        <w:t>g report, document 802.19-1</w:t>
      </w:r>
      <w:r w:rsidR="001C1BF5">
        <w:t>7/0075</w:t>
      </w:r>
      <w:r>
        <w:t>r0</w:t>
      </w:r>
    </w:p>
    <w:p w:rsidR="0023260A" w:rsidRDefault="0023260A" w:rsidP="00283796">
      <w:pPr>
        <w:spacing w:after="0" w:line="240" w:lineRule="auto"/>
      </w:pPr>
    </w:p>
    <w:p w:rsidR="001C1BF5" w:rsidRDefault="001C1BF5" w:rsidP="00283796">
      <w:pPr>
        <w:spacing w:after="0" w:line="240" w:lineRule="auto"/>
      </w:pPr>
      <w:r>
        <w:t xml:space="preserve">We held a discussion on the </w:t>
      </w:r>
      <w:r w:rsidR="001D0AF7">
        <w:t>“</w:t>
      </w:r>
      <w:r>
        <w:t>Subject</w:t>
      </w:r>
      <w:r w:rsidR="001D0AF7">
        <w:t xml:space="preserve"> Line”</w:t>
      </w:r>
      <w:r>
        <w:t xml:space="preserve"> of the Email for Ballots.  The Subject Line does not effectively indicate that the email is for an IEEE 802.19 email ballot.   We (WG Chair, WG Vice Chair, and Steve Palm) to develop a clear Subject Line for Email Ballots to clearly indicate that it is for an 802.19 email ballot.</w:t>
      </w:r>
    </w:p>
    <w:p w:rsidR="00D2221C" w:rsidRDefault="00D2221C" w:rsidP="00283796">
      <w:pPr>
        <w:spacing w:after="0" w:line="240" w:lineRule="auto"/>
      </w:pPr>
    </w:p>
    <w:p w:rsidR="000A0CDF" w:rsidRDefault="00D2221C" w:rsidP="000A0CDF">
      <w:pPr>
        <w:spacing w:after="0" w:line="240" w:lineRule="auto"/>
      </w:pPr>
      <w:r>
        <w:t>TG1a chair reviewed the draft press release</w:t>
      </w:r>
      <w:r w:rsidR="005778AA">
        <w:t xml:space="preserve"> on the publication of 802.19.1a</w:t>
      </w:r>
      <w:r>
        <w:t>, document 802.19-17/</w:t>
      </w:r>
      <w:r w:rsidR="005778AA">
        <w:t>76r0.   Edits were made based on feedback from the group.  The TG1a revised the draft press release and posted it on Mentor.</w:t>
      </w:r>
    </w:p>
    <w:p w:rsidR="006E617B" w:rsidRDefault="006E617B" w:rsidP="00283796">
      <w:pPr>
        <w:spacing w:after="0" w:line="240" w:lineRule="auto"/>
      </w:pPr>
    </w:p>
    <w:p w:rsidR="004537C4" w:rsidRDefault="00E04ED7" w:rsidP="00283796">
      <w:pPr>
        <w:spacing w:after="0" w:line="240" w:lineRule="auto"/>
      </w:pPr>
      <w:r>
        <w:t xml:space="preserve">The WG recessed at </w:t>
      </w:r>
      <w:r w:rsidR="00D2221C">
        <w:t>4:48</w:t>
      </w:r>
      <w:r w:rsidR="00061378">
        <w:t xml:space="preserve"> P</w:t>
      </w:r>
      <w:r w:rsidR="004537C4">
        <w:t>M.</w:t>
      </w:r>
    </w:p>
    <w:p w:rsidR="009C7762" w:rsidRDefault="009C7762" w:rsidP="00283796">
      <w:pPr>
        <w:spacing w:after="0" w:line="240" w:lineRule="auto"/>
      </w:pPr>
    </w:p>
    <w:p w:rsidR="000A0CDF" w:rsidRDefault="000A0CDF" w:rsidP="00283796">
      <w:pPr>
        <w:spacing w:after="0" w:line="240" w:lineRule="auto"/>
      </w:pPr>
    </w:p>
    <w:p w:rsidR="008C3CCD" w:rsidRDefault="000A0CDF" w:rsidP="008C3CCD">
      <w:pPr>
        <w:spacing w:after="0" w:line="240" w:lineRule="auto"/>
        <w:rPr>
          <w:b/>
        </w:rPr>
      </w:pPr>
      <w:r>
        <w:rPr>
          <w:b/>
        </w:rPr>
        <w:t xml:space="preserve">Thursday </w:t>
      </w:r>
      <w:r w:rsidR="005778AA">
        <w:rPr>
          <w:b/>
        </w:rPr>
        <w:t>September 14</w:t>
      </w:r>
      <w:r w:rsidR="00D06B2A">
        <w:rPr>
          <w:b/>
        </w:rPr>
        <w:t>, 2017</w:t>
      </w:r>
    </w:p>
    <w:p w:rsidR="00A95C5C" w:rsidRDefault="00A95C5C" w:rsidP="00E950DB">
      <w:pPr>
        <w:spacing w:after="0" w:line="240" w:lineRule="auto"/>
      </w:pPr>
      <w:r>
        <w:t>Chair called meeting to order at 4:03 PM.</w:t>
      </w:r>
    </w:p>
    <w:p w:rsidR="00A95C5C" w:rsidRDefault="00A95C5C" w:rsidP="00E950DB">
      <w:pPr>
        <w:spacing w:after="0" w:line="240" w:lineRule="auto"/>
      </w:pPr>
    </w:p>
    <w:p w:rsidR="00A95C5C" w:rsidRDefault="00A95C5C" w:rsidP="00E950DB">
      <w:pPr>
        <w:spacing w:after="0" w:line="240" w:lineRule="auto"/>
      </w:pPr>
      <w:r>
        <w:t>TGRev chair gave the task group closing report, in document 802.19-17/81r0.</w:t>
      </w:r>
    </w:p>
    <w:p w:rsidR="00A95C5C" w:rsidRDefault="00A95C5C" w:rsidP="00E950DB">
      <w:pPr>
        <w:spacing w:after="0" w:line="240" w:lineRule="auto"/>
      </w:pPr>
    </w:p>
    <w:p w:rsidR="00A95C5C" w:rsidRDefault="00A95C5C" w:rsidP="00E950DB">
      <w:pPr>
        <w:spacing w:after="0" w:line="240" w:lineRule="auto"/>
      </w:pPr>
      <w:r>
        <w:t>Held a motion on a press release for publication on 802.19.1a.</w:t>
      </w:r>
    </w:p>
    <w:p w:rsidR="00A95C5C" w:rsidRDefault="00A95C5C" w:rsidP="00E950DB">
      <w:pPr>
        <w:spacing w:after="0" w:line="240" w:lineRule="auto"/>
      </w:pPr>
    </w:p>
    <w:p w:rsidR="00A95C5C" w:rsidRPr="00846386" w:rsidRDefault="00846386" w:rsidP="00E950DB">
      <w:pPr>
        <w:spacing w:after="0" w:line="240" w:lineRule="auto"/>
        <w:rPr>
          <w:b/>
        </w:rPr>
      </w:pPr>
      <w:r w:rsidRPr="00846386">
        <w:rPr>
          <w:b/>
        </w:rPr>
        <w:t>Motion</w:t>
      </w:r>
    </w:p>
    <w:p w:rsidR="00846386" w:rsidRPr="00846386" w:rsidRDefault="00846386" w:rsidP="00846386">
      <w:pPr>
        <w:spacing w:after="0" w:line="240" w:lineRule="auto"/>
      </w:pPr>
      <w:r w:rsidRPr="00846386">
        <w:t>Request the 802 Executive Committee to approve the press release of IEEE P802.19.1a (doc. 19-17/0076r1), give the working group chair editing authority.</w:t>
      </w:r>
    </w:p>
    <w:p w:rsidR="00846386" w:rsidRPr="00846386" w:rsidRDefault="00846386" w:rsidP="00846386">
      <w:pPr>
        <w:spacing w:after="0" w:line="240" w:lineRule="auto"/>
      </w:pPr>
    </w:p>
    <w:p w:rsidR="00846386" w:rsidRPr="00846386" w:rsidRDefault="00846386" w:rsidP="00846386">
      <w:pPr>
        <w:spacing w:after="0" w:line="240" w:lineRule="auto"/>
      </w:pPr>
      <w:r>
        <w:t>Move:</w:t>
      </w:r>
      <w:r>
        <w:tab/>
      </w:r>
      <w:r w:rsidRPr="00846386">
        <w:t>N. Sato</w:t>
      </w:r>
    </w:p>
    <w:p w:rsidR="00846386" w:rsidRPr="00846386" w:rsidRDefault="00846386" w:rsidP="00846386">
      <w:pPr>
        <w:spacing w:after="0" w:line="240" w:lineRule="auto"/>
      </w:pPr>
      <w:r>
        <w:t>Second:</w:t>
      </w:r>
      <w:r>
        <w:tab/>
      </w:r>
      <w:r w:rsidRPr="00846386">
        <w:t>S. Furuichi</w:t>
      </w:r>
    </w:p>
    <w:p w:rsidR="00846386" w:rsidRDefault="00846386" w:rsidP="00846386">
      <w:pPr>
        <w:spacing w:after="0" w:line="240" w:lineRule="auto"/>
      </w:pPr>
      <w:r w:rsidRPr="00846386">
        <w:t>Y: 4/N:0 /A: 1</w:t>
      </w:r>
    </w:p>
    <w:p w:rsidR="00846386" w:rsidRDefault="00846386" w:rsidP="00846386">
      <w:pPr>
        <w:spacing w:after="0" w:line="240" w:lineRule="auto"/>
      </w:pPr>
      <w:r>
        <w:t>Motion Passed</w:t>
      </w:r>
    </w:p>
    <w:p w:rsidR="00846386" w:rsidRDefault="00846386" w:rsidP="00846386">
      <w:pPr>
        <w:spacing w:after="0" w:line="240" w:lineRule="auto"/>
      </w:pPr>
      <w:r>
        <w:lastRenderedPageBreak/>
        <w:t>Meeting adjourned at 4;16 PM</w:t>
      </w:r>
    </w:p>
    <w:p w:rsidR="00846386" w:rsidRDefault="00846386" w:rsidP="00E950DB">
      <w:pPr>
        <w:spacing w:after="0" w:line="240" w:lineRule="auto"/>
      </w:pPr>
    </w:p>
    <w:p w:rsidR="00645AA4" w:rsidRDefault="00645AA4" w:rsidP="00E950DB">
      <w:pPr>
        <w:spacing w:after="0" w:line="240" w:lineRule="auto"/>
      </w:pPr>
    </w:p>
    <w:p w:rsidR="005778AA" w:rsidRDefault="005778AA" w:rsidP="005D693D">
      <w:pPr>
        <w:spacing w:after="60" w:line="240" w:lineRule="auto"/>
      </w:pPr>
      <w:r>
        <w:rPr>
          <w:b/>
        </w:rPr>
        <w:t>Attendance</w:t>
      </w:r>
    </w:p>
    <w:tbl>
      <w:tblPr>
        <w:tblStyle w:val="TableGrid"/>
        <w:tblW w:w="0" w:type="auto"/>
        <w:tblLook w:val="04A0" w:firstRow="1" w:lastRow="0" w:firstColumn="1" w:lastColumn="0" w:noHBand="0" w:noVBand="1"/>
      </w:tblPr>
      <w:tblGrid>
        <w:gridCol w:w="2515"/>
        <w:gridCol w:w="3600"/>
      </w:tblGrid>
      <w:tr w:rsidR="00380D37" w:rsidRPr="00380D37" w:rsidTr="00380D37">
        <w:tc>
          <w:tcPr>
            <w:tcW w:w="2515" w:type="dxa"/>
          </w:tcPr>
          <w:p w:rsidR="00380D37" w:rsidRPr="00380D37" w:rsidRDefault="00380D37" w:rsidP="00947858">
            <w:pPr>
              <w:spacing w:after="60"/>
            </w:pPr>
            <w:r w:rsidRPr="00380D37">
              <w:t>Vladimir Bazhanov</w:t>
            </w:r>
          </w:p>
        </w:tc>
        <w:tc>
          <w:tcPr>
            <w:tcW w:w="3600" w:type="dxa"/>
          </w:tcPr>
          <w:p w:rsidR="00380D37" w:rsidRPr="00380D37" w:rsidRDefault="00380D37" w:rsidP="00947858">
            <w:pPr>
              <w:spacing w:after="60"/>
            </w:pPr>
            <w:r w:rsidRPr="00380D37">
              <w:t>Ericsson AB</w:t>
            </w:r>
          </w:p>
        </w:tc>
      </w:tr>
      <w:tr w:rsidR="00380D37" w:rsidRPr="00380D37" w:rsidTr="00380D37">
        <w:tc>
          <w:tcPr>
            <w:tcW w:w="2515" w:type="dxa"/>
          </w:tcPr>
          <w:p w:rsidR="00380D37" w:rsidRPr="00380D37" w:rsidRDefault="00380D37" w:rsidP="00947858">
            <w:pPr>
              <w:spacing w:after="60"/>
            </w:pPr>
            <w:r w:rsidRPr="00380D37">
              <w:t>Hendricus De Ruijter</w:t>
            </w:r>
          </w:p>
        </w:tc>
        <w:tc>
          <w:tcPr>
            <w:tcW w:w="3600" w:type="dxa"/>
          </w:tcPr>
          <w:p w:rsidR="00380D37" w:rsidRPr="00380D37" w:rsidRDefault="00380D37" w:rsidP="00947858">
            <w:pPr>
              <w:spacing w:after="60"/>
            </w:pPr>
            <w:r w:rsidRPr="00380D37">
              <w:t>Silicon Laboratories</w:t>
            </w:r>
          </w:p>
        </w:tc>
      </w:tr>
      <w:tr w:rsidR="00380D37" w:rsidRPr="00380D37" w:rsidTr="00380D37">
        <w:tc>
          <w:tcPr>
            <w:tcW w:w="2515" w:type="dxa"/>
          </w:tcPr>
          <w:p w:rsidR="00380D37" w:rsidRPr="00380D37" w:rsidRDefault="00380D37" w:rsidP="00947858">
            <w:pPr>
              <w:spacing w:after="60"/>
            </w:pPr>
            <w:r w:rsidRPr="00380D37">
              <w:t>Sho Furuichi</w:t>
            </w:r>
          </w:p>
        </w:tc>
        <w:tc>
          <w:tcPr>
            <w:tcW w:w="3600" w:type="dxa"/>
          </w:tcPr>
          <w:p w:rsidR="00380D37" w:rsidRPr="00380D37" w:rsidRDefault="00380D37" w:rsidP="00947858">
            <w:pPr>
              <w:spacing w:after="60"/>
            </w:pPr>
            <w:r w:rsidRPr="00380D37">
              <w:t>Sony Corporation</w:t>
            </w:r>
          </w:p>
        </w:tc>
      </w:tr>
      <w:tr w:rsidR="00380D37" w:rsidRPr="00380D37" w:rsidTr="00380D37">
        <w:tc>
          <w:tcPr>
            <w:tcW w:w="2515" w:type="dxa"/>
          </w:tcPr>
          <w:p w:rsidR="00380D37" w:rsidRPr="00380D37" w:rsidRDefault="00380D37" w:rsidP="00947858">
            <w:pPr>
              <w:spacing w:after="60"/>
            </w:pPr>
            <w:r w:rsidRPr="00380D37">
              <w:t>James Lansford</w:t>
            </w:r>
          </w:p>
        </w:tc>
        <w:tc>
          <w:tcPr>
            <w:tcW w:w="3600" w:type="dxa"/>
          </w:tcPr>
          <w:p w:rsidR="00380D37" w:rsidRPr="00380D37" w:rsidRDefault="00380D37" w:rsidP="00947858">
            <w:pPr>
              <w:spacing w:after="60"/>
            </w:pPr>
            <w:r w:rsidRPr="00380D37">
              <w:t>Qualcomm Incorporated</w:t>
            </w:r>
          </w:p>
        </w:tc>
      </w:tr>
      <w:tr w:rsidR="00380D37" w:rsidRPr="00380D37" w:rsidTr="00380D37">
        <w:tc>
          <w:tcPr>
            <w:tcW w:w="2515" w:type="dxa"/>
          </w:tcPr>
          <w:p w:rsidR="00380D37" w:rsidRPr="00380D37" w:rsidRDefault="00380D37" w:rsidP="00947858">
            <w:pPr>
              <w:spacing w:after="60"/>
            </w:pPr>
            <w:r w:rsidRPr="00380D37">
              <w:t>Yuichi Morioka</w:t>
            </w:r>
          </w:p>
        </w:tc>
        <w:tc>
          <w:tcPr>
            <w:tcW w:w="3600" w:type="dxa"/>
          </w:tcPr>
          <w:p w:rsidR="00380D37" w:rsidRPr="00380D37" w:rsidRDefault="00380D37" w:rsidP="00947858">
            <w:pPr>
              <w:spacing w:after="60"/>
            </w:pPr>
            <w:r w:rsidRPr="00380D37">
              <w:t>Sony Corporation</w:t>
            </w:r>
          </w:p>
        </w:tc>
      </w:tr>
      <w:tr w:rsidR="00380D37" w:rsidRPr="00380D37" w:rsidTr="00380D37">
        <w:tc>
          <w:tcPr>
            <w:tcW w:w="2515" w:type="dxa"/>
          </w:tcPr>
          <w:p w:rsidR="00380D37" w:rsidRPr="00380D37" w:rsidRDefault="00380D37" w:rsidP="00947858">
            <w:pPr>
              <w:spacing w:after="60"/>
            </w:pPr>
            <w:r w:rsidRPr="00380D37">
              <w:t>Stephen Palm</w:t>
            </w:r>
          </w:p>
        </w:tc>
        <w:tc>
          <w:tcPr>
            <w:tcW w:w="3600" w:type="dxa"/>
          </w:tcPr>
          <w:p w:rsidR="00380D37" w:rsidRPr="00380D37" w:rsidRDefault="00380D37" w:rsidP="00947858">
            <w:pPr>
              <w:spacing w:after="60"/>
            </w:pPr>
            <w:r w:rsidRPr="00380D37">
              <w:t>Broadcom Corporation</w:t>
            </w:r>
          </w:p>
        </w:tc>
      </w:tr>
      <w:tr w:rsidR="00380D37" w:rsidRPr="00380D37" w:rsidTr="00380D37">
        <w:tc>
          <w:tcPr>
            <w:tcW w:w="2515" w:type="dxa"/>
          </w:tcPr>
          <w:p w:rsidR="00380D37" w:rsidRPr="00380D37" w:rsidRDefault="00380D37" w:rsidP="00947858">
            <w:pPr>
              <w:spacing w:after="60"/>
            </w:pPr>
            <w:r w:rsidRPr="00380D37">
              <w:t>James Petranovich</w:t>
            </w:r>
            <w:bookmarkStart w:id="0" w:name="_GoBack"/>
            <w:bookmarkEnd w:id="0"/>
          </w:p>
        </w:tc>
        <w:tc>
          <w:tcPr>
            <w:tcW w:w="3600" w:type="dxa"/>
          </w:tcPr>
          <w:p w:rsidR="00380D37" w:rsidRPr="00380D37" w:rsidRDefault="00380D37" w:rsidP="00947858">
            <w:pPr>
              <w:spacing w:after="60"/>
            </w:pPr>
            <w:r w:rsidRPr="00380D37">
              <w:t>ViaSat, Inc.</w:t>
            </w:r>
          </w:p>
        </w:tc>
      </w:tr>
      <w:tr w:rsidR="00380D37" w:rsidRPr="00380D37" w:rsidTr="00380D37">
        <w:tc>
          <w:tcPr>
            <w:tcW w:w="2515" w:type="dxa"/>
          </w:tcPr>
          <w:p w:rsidR="00380D37" w:rsidRPr="00380D37" w:rsidRDefault="00380D37" w:rsidP="00947858">
            <w:pPr>
              <w:spacing w:after="60"/>
            </w:pPr>
            <w:r w:rsidRPr="00380D37">
              <w:t>Naotaka Sato</w:t>
            </w:r>
          </w:p>
        </w:tc>
        <w:tc>
          <w:tcPr>
            <w:tcW w:w="3600" w:type="dxa"/>
          </w:tcPr>
          <w:p w:rsidR="00380D37" w:rsidRPr="00380D37" w:rsidRDefault="00380D37" w:rsidP="00947858">
            <w:pPr>
              <w:spacing w:after="60"/>
            </w:pPr>
            <w:r w:rsidRPr="00380D37">
              <w:t>Sony Corporation</w:t>
            </w:r>
          </w:p>
        </w:tc>
      </w:tr>
      <w:tr w:rsidR="00380D37" w:rsidRPr="00380D37" w:rsidTr="00380D37">
        <w:tc>
          <w:tcPr>
            <w:tcW w:w="2515" w:type="dxa"/>
          </w:tcPr>
          <w:p w:rsidR="00380D37" w:rsidRPr="00380D37" w:rsidRDefault="00380D37" w:rsidP="00947858">
            <w:pPr>
              <w:spacing w:after="60"/>
            </w:pPr>
            <w:r w:rsidRPr="00380D37">
              <w:t>Stephen Shellhammer</w:t>
            </w:r>
          </w:p>
        </w:tc>
        <w:tc>
          <w:tcPr>
            <w:tcW w:w="3600" w:type="dxa"/>
          </w:tcPr>
          <w:p w:rsidR="00380D37" w:rsidRPr="00380D37" w:rsidRDefault="00380D37" w:rsidP="00947858">
            <w:pPr>
              <w:spacing w:after="60"/>
            </w:pPr>
            <w:r w:rsidRPr="00380D37">
              <w:t>Qualcomm Incorporated</w:t>
            </w:r>
          </w:p>
        </w:tc>
      </w:tr>
      <w:tr w:rsidR="00380D37" w:rsidRPr="00380D37" w:rsidTr="00380D37">
        <w:tc>
          <w:tcPr>
            <w:tcW w:w="2515" w:type="dxa"/>
          </w:tcPr>
          <w:p w:rsidR="00380D37" w:rsidRPr="00380D37" w:rsidRDefault="00380D37" w:rsidP="00947858">
            <w:pPr>
              <w:spacing w:after="60"/>
            </w:pPr>
            <w:r w:rsidRPr="00380D37">
              <w:t>Takenori Sumi</w:t>
            </w:r>
          </w:p>
        </w:tc>
        <w:tc>
          <w:tcPr>
            <w:tcW w:w="3600" w:type="dxa"/>
          </w:tcPr>
          <w:p w:rsidR="00380D37" w:rsidRPr="00380D37" w:rsidRDefault="00380D37" w:rsidP="00947858">
            <w:pPr>
              <w:spacing w:after="60"/>
            </w:pPr>
            <w:r w:rsidRPr="00380D37">
              <w:t>Mitsubishi Electric Corporation</w:t>
            </w:r>
          </w:p>
        </w:tc>
      </w:tr>
      <w:tr w:rsidR="00380D37" w:rsidRPr="00380D37" w:rsidTr="00380D37">
        <w:tc>
          <w:tcPr>
            <w:tcW w:w="2515" w:type="dxa"/>
          </w:tcPr>
          <w:p w:rsidR="00380D37" w:rsidRPr="00380D37" w:rsidRDefault="00380D37" w:rsidP="00947858">
            <w:pPr>
              <w:spacing w:after="60"/>
            </w:pPr>
            <w:r w:rsidRPr="00380D37">
              <w:t>Mineo Takai</w:t>
            </w:r>
          </w:p>
        </w:tc>
        <w:tc>
          <w:tcPr>
            <w:tcW w:w="3600" w:type="dxa"/>
          </w:tcPr>
          <w:p w:rsidR="00380D37" w:rsidRPr="00380D37" w:rsidRDefault="00380D37" w:rsidP="00947858">
            <w:pPr>
              <w:spacing w:after="60"/>
            </w:pPr>
            <w:r w:rsidRPr="00380D37">
              <w:t>Space-Time Engineering</w:t>
            </w:r>
          </w:p>
        </w:tc>
      </w:tr>
      <w:tr w:rsidR="00380D37" w:rsidRPr="005778AA" w:rsidTr="00380D37">
        <w:tc>
          <w:tcPr>
            <w:tcW w:w="2515" w:type="dxa"/>
          </w:tcPr>
          <w:p w:rsidR="00380D37" w:rsidRPr="00380D37" w:rsidRDefault="00380D37" w:rsidP="00947858">
            <w:pPr>
              <w:spacing w:after="60"/>
            </w:pPr>
            <w:r w:rsidRPr="00380D37">
              <w:t>Chunhui Zhu</w:t>
            </w:r>
          </w:p>
        </w:tc>
        <w:tc>
          <w:tcPr>
            <w:tcW w:w="3600" w:type="dxa"/>
          </w:tcPr>
          <w:p w:rsidR="00380D37" w:rsidRPr="005778AA" w:rsidRDefault="00380D37" w:rsidP="00947858">
            <w:pPr>
              <w:spacing w:after="60"/>
            </w:pPr>
            <w:r w:rsidRPr="00380D37">
              <w:t>Huawei Technologies Co. Ltd</w:t>
            </w:r>
          </w:p>
        </w:tc>
      </w:tr>
    </w:tbl>
    <w:p w:rsidR="005778AA" w:rsidRPr="005778AA" w:rsidRDefault="005778AA" w:rsidP="00380D37">
      <w:pPr>
        <w:spacing w:after="60" w:line="240" w:lineRule="auto"/>
      </w:pPr>
    </w:p>
    <w:sectPr w:rsidR="005778AA" w:rsidRPr="005778A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481" w:rsidRDefault="00B05481" w:rsidP="00766E54">
      <w:pPr>
        <w:spacing w:after="0" w:line="240" w:lineRule="auto"/>
      </w:pPr>
      <w:r>
        <w:separator/>
      </w:r>
    </w:p>
  </w:endnote>
  <w:endnote w:type="continuationSeparator" w:id="0">
    <w:p w:rsidR="00B05481" w:rsidRDefault="00B0548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EF2B43">
      <w:rPr>
        <w:noProof/>
        <w:sz w:val="24"/>
      </w:rPr>
      <w:t>3</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481" w:rsidRDefault="00B05481" w:rsidP="00766E54">
      <w:pPr>
        <w:spacing w:after="0" w:line="240" w:lineRule="auto"/>
      </w:pPr>
      <w:r>
        <w:separator/>
      </w:r>
    </w:p>
  </w:footnote>
  <w:footnote w:type="continuationSeparator" w:id="0">
    <w:p w:rsidR="00B05481" w:rsidRDefault="00B05481"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E54" w:rsidRPr="00C724F0" w:rsidRDefault="001C1BF5" w:rsidP="00766E54">
    <w:pPr>
      <w:pStyle w:val="Header"/>
      <w:pBdr>
        <w:bottom w:val="single" w:sz="8" w:space="1" w:color="auto"/>
      </w:pBdr>
      <w:tabs>
        <w:tab w:val="clear" w:pos="4680"/>
        <w:tab w:val="center" w:pos="8280"/>
      </w:tabs>
      <w:rPr>
        <w:sz w:val="28"/>
      </w:rPr>
    </w:pPr>
    <w:r>
      <w:rPr>
        <w:sz w:val="28"/>
      </w:rPr>
      <w:t>September</w:t>
    </w:r>
    <w:r w:rsidR="00BC4D59">
      <w:rPr>
        <w:sz w:val="28"/>
      </w:rPr>
      <w:t xml:space="preserve"> 2017</w:t>
    </w:r>
    <w:r w:rsidR="002B11ED">
      <w:rPr>
        <w:sz w:val="28"/>
      </w:rPr>
      <w:tab/>
      <w:t>IE</w:t>
    </w:r>
    <w:r w:rsidR="00A12B2A">
      <w:rPr>
        <w:sz w:val="28"/>
      </w:rPr>
      <w:t xml:space="preserve">EE </w:t>
    </w:r>
    <w:r w:rsidR="006F555A">
      <w:rPr>
        <w:sz w:val="28"/>
      </w:rPr>
      <w:t>P802.19-17/0082</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6595"/>
    <w:rsid w:val="000D22AE"/>
    <w:rsid w:val="000D284E"/>
    <w:rsid w:val="000D5565"/>
    <w:rsid w:val="000E09AB"/>
    <w:rsid w:val="000F3330"/>
    <w:rsid w:val="000F4D0E"/>
    <w:rsid w:val="000F4ED3"/>
    <w:rsid w:val="000F796C"/>
    <w:rsid w:val="001217DC"/>
    <w:rsid w:val="001417E9"/>
    <w:rsid w:val="001437FB"/>
    <w:rsid w:val="001439A2"/>
    <w:rsid w:val="00143BAF"/>
    <w:rsid w:val="00161CC9"/>
    <w:rsid w:val="001679B4"/>
    <w:rsid w:val="00173D4A"/>
    <w:rsid w:val="001A7B74"/>
    <w:rsid w:val="001C1BF5"/>
    <w:rsid w:val="001D0AF7"/>
    <w:rsid w:val="001D2FC4"/>
    <w:rsid w:val="001F2F1B"/>
    <w:rsid w:val="001F780C"/>
    <w:rsid w:val="00203373"/>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63674"/>
    <w:rsid w:val="00373145"/>
    <w:rsid w:val="00380D37"/>
    <w:rsid w:val="003B3DFE"/>
    <w:rsid w:val="003D2387"/>
    <w:rsid w:val="003F3721"/>
    <w:rsid w:val="00406493"/>
    <w:rsid w:val="00424118"/>
    <w:rsid w:val="00433761"/>
    <w:rsid w:val="004537C4"/>
    <w:rsid w:val="004607AE"/>
    <w:rsid w:val="00463593"/>
    <w:rsid w:val="004707C1"/>
    <w:rsid w:val="00475939"/>
    <w:rsid w:val="00477704"/>
    <w:rsid w:val="004C0D55"/>
    <w:rsid w:val="004D0206"/>
    <w:rsid w:val="004E5271"/>
    <w:rsid w:val="004F5AFC"/>
    <w:rsid w:val="005348B0"/>
    <w:rsid w:val="005778AA"/>
    <w:rsid w:val="00582C17"/>
    <w:rsid w:val="00585307"/>
    <w:rsid w:val="005903BD"/>
    <w:rsid w:val="005A19A5"/>
    <w:rsid w:val="005A7272"/>
    <w:rsid w:val="005B4902"/>
    <w:rsid w:val="005C4B04"/>
    <w:rsid w:val="005D693D"/>
    <w:rsid w:val="006113ED"/>
    <w:rsid w:val="0062080C"/>
    <w:rsid w:val="006232FB"/>
    <w:rsid w:val="006377CD"/>
    <w:rsid w:val="00645AA4"/>
    <w:rsid w:val="00660C4A"/>
    <w:rsid w:val="006801D8"/>
    <w:rsid w:val="00684426"/>
    <w:rsid w:val="006C22F8"/>
    <w:rsid w:val="006C429F"/>
    <w:rsid w:val="006D18E4"/>
    <w:rsid w:val="006E617B"/>
    <w:rsid w:val="006F555A"/>
    <w:rsid w:val="00712B61"/>
    <w:rsid w:val="00713118"/>
    <w:rsid w:val="00714D12"/>
    <w:rsid w:val="00716715"/>
    <w:rsid w:val="00717767"/>
    <w:rsid w:val="007365EA"/>
    <w:rsid w:val="00750444"/>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C3CCD"/>
    <w:rsid w:val="00903F7E"/>
    <w:rsid w:val="009100DD"/>
    <w:rsid w:val="00922944"/>
    <w:rsid w:val="0093141F"/>
    <w:rsid w:val="00942F2B"/>
    <w:rsid w:val="00960392"/>
    <w:rsid w:val="0096705D"/>
    <w:rsid w:val="00992172"/>
    <w:rsid w:val="00994C1B"/>
    <w:rsid w:val="009A31B5"/>
    <w:rsid w:val="009C776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A2615"/>
    <w:rsid w:val="00AA43E7"/>
    <w:rsid w:val="00AC3824"/>
    <w:rsid w:val="00AE60F1"/>
    <w:rsid w:val="00AF7B41"/>
    <w:rsid w:val="00AF7E0E"/>
    <w:rsid w:val="00B05481"/>
    <w:rsid w:val="00B13903"/>
    <w:rsid w:val="00B17041"/>
    <w:rsid w:val="00B35B05"/>
    <w:rsid w:val="00B360E4"/>
    <w:rsid w:val="00B457E1"/>
    <w:rsid w:val="00B47540"/>
    <w:rsid w:val="00B94245"/>
    <w:rsid w:val="00BA64E6"/>
    <w:rsid w:val="00BB3DA8"/>
    <w:rsid w:val="00BB5B9D"/>
    <w:rsid w:val="00BC399A"/>
    <w:rsid w:val="00BC4D59"/>
    <w:rsid w:val="00BE086F"/>
    <w:rsid w:val="00BE432A"/>
    <w:rsid w:val="00BF154B"/>
    <w:rsid w:val="00BF1A72"/>
    <w:rsid w:val="00C2321C"/>
    <w:rsid w:val="00C24474"/>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70A6"/>
    <w:rsid w:val="00D06B2A"/>
    <w:rsid w:val="00D2221C"/>
    <w:rsid w:val="00D34CD8"/>
    <w:rsid w:val="00D50B3F"/>
    <w:rsid w:val="00D81018"/>
    <w:rsid w:val="00DA32C4"/>
    <w:rsid w:val="00DB533D"/>
    <w:rsid w:val="00DB68F1"/>
    <w:rsid w:val="00DC3351"/>
    <w:rsid w:val="00DC5E1D"/>
    <w:rsid w:val="00DF47E5"/>
    <w:rsid w:val="00E04ED7"/>
    <w:rsid w:val="00E0514C"/>
    <w:rsid w:val="00E153D1"/>
    <w:rsid w:val="00E2772D"/>
    <w:rsid w:val="00E40521"/>
    <w:rsid w:val="00E45049"/>
    <w:rsid w:val="00E60CE8"/>
    <w:rsid w:val="00E90ED7"/>
    <w:rsid w:val="00E950DB"/>
    <w:rsid w:val="00EA627F"/>
    <w:rsid w:val="00EC2F8A"/>
    <w:rsid w:val="00EE35F8"/>
    <w:rsid w:val="00EE3B05"/>
    <w:rsid w:val="00EF2B43"/>
    <w:rsid w:val="00F07DBA"/>
    <w:rsid w:val="00F151ED"/>
    <w:rsid w:val="00F1649A"/>
    <w:rsid w:val="00F52BE0"/>
    <w:rsid w:val="00F53B24"/>
    <w:rsid w:val="00F61B37"/>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45EB9"/>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BA14-7220-4C34-8E91-1974E2EC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166</cp:revision>
  <cp:lastPrinted>2014-11-08T19:57:00Z</cp:lastPrinted>
  <dcterms:created xsi:type="dcterms:W3CDTF">2014-11-08T19:17:00Z</dcterms:created>
  <dcterms:modified xsi:type="dcterms:W3CDTF">2017-09-15T20:13:00Z</dcterms:modified>
</cp:coreProperties>
</file>