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0370DB" w:rsidP="000370DB">
            <w:pPr>
              <w:pStyle w:val="T2"/>
            </w:pPr>
            <w:r>
              <w:rPr>
                <w:rFonts w:eastAsia="맑은 고딕"/>
                <w:lang w:eastAsia="ko-KR"/>
              </w:rPr>
              <w:t>S</w:t>
            </w:r>
            <w:r w:rsidR="006B204F">
              <w:rPr>
                <w:rFonts w:eastAsia="맑은 고딕"/>
                <w:lang w:eastAsia="ko-KR"/>
              </w:rPr>
              <w:t>G CUB</w:t>
            </w:r>
            <w:r w:rsidR="00E223F5">
              <w:rPr>
                <w:rFonts w:eastAsia="맑은 고딕"/>
                <w:lang w:eastAsia="ko-KR"/>
              </w:rPr>
              <w:t xml:space="preserve"> December 17</w:t>
            </w:r>
            <w:r w:rsidR="006B204F">
              <w:rPr>
                <w:rFonts w:eastAsia="MS Mincho"/>
                <w:lang w:eastAsia="ja-JP"/>
              </w:rPr>
              <w:t>,</w:t>
            </w:r>
            <w:r w:rsidR="005E35FF">
              <w:t xml:space="preserve">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0370DB">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0370DB">
              <w:rPr>
                <w:b w:val="0"/>
                <w:sz w:val="20"/>
              </w:rPr>
              <w:t>12</w:t>
            </w:r>
            <w:r w:rsidR="00720E76">
              <w:rPr>
                <w:b w:val="0"/>
                <w:sz w:val="20"/>
              </w:rPr>
              <w:t>-</w:t>
            </w:r>
            <w:r w:rsidR="00E223F5">
              <w:rPr>
                <w:b w:val="0"/>
                <w:sz w:val="20"/>
              </w:rPr>
              <w:t>17</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0370DB">
                              <w:rPr>
                                <w:rFonts w:eastAsia="맑은 고딕"/>
                                <w:lang w:eastAsia="ko-KR"/>
                              </w:rPr>
                              <w:t>December</w:t>
                            </w:r>
                            <w:r w:rsidR="005B0A24">
                              <w:rPr>
                                <w:rFonts w:eastAsia="맑은 고딕"/>
                                <w:lang w:eastAsia="ko-KR"/>
                              </w:rPr>
                              <w:t xml:space="preserve"> </w:t>
                            </w:r>
                            <w:r w:rsidR="00E223F5">
                              <w:rPr>
                                <w:rFonts w:eastAsia="맑은 고딕"/>
                                <w:lang w:eastAsia="ko-KR"/>
                              </w:rPr>
                              <w:t>17</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0370DB">
                        <w:rPr>
                          <w:rFonts w:eastAsia="맑은 고딕"/>
                          <w:lang w:eastAsia="ko-KR"/>
                        </w:rPr>
                        <w:t>December</w:t>
                      </w:r>
                      <w:r w:rsidR="005B0A24">
                        <w:rPr>
                          <w:rFonts w:eastAsia="맑은 고딕"/>
                          <w:lang w:eastAsia="ko-KR"/>
                        </w:rPr>
                        <w:t xml:space="preserve"> </w:t>
                      </w:r>
                      <w:r w:rsidR="00E223F5">
                        <w:rPr>
                          <w:rFonts w:eastAsia="맑은 고딕"/>
                          <w:lang w:eastAsia="ko-KR"/>
                        </w:rPr>
                        <w:t>17</w:t>
                      </w:r>
                      <w:r>
                        <w:t>, 201</w:t>
                      </w:r>
                      <w:r w:rsidR="00602879">
                        <w:rPr>
                          <w:rFonts w:hint="eastAsia"/>
                          <w:lang w:eastAsia="ja-JP"/>
                        </w:rPr>
                        <w:t>4</w:t>
                      </w:r>
                      <w:r>
                        <w:t>.</w:t>
                      </w:r>
                    </w:p>
                  </w:txbxContent>
                </v:textbox>
              </v:shape>
            </w:pict>
          </mc:Fallback>
        </mc:AlternateContent>
      </w:r>
    </w:p>
    <w:p w:rsidR="00B129C7" w:rsidRPr="005A20F8" w:rsidRDefault="00415E1E" w:rsidP="00DB2961">
      <w:pPr>
        <w:rPr>
          <w:b/>
          <w:i/>
          <w:sz w:val="24"/>
        </w:rPr>
      </w:pPr>
      <w:r w:rsidRPr="005A20F8">
        <w:rPr>
          <w:i/>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5A20F8">
        <w:rPr>
          <w:i/>
        </w:rPr>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9E0D34" w:rsidRPr="009E0D34" w:rsidRDefault="009E0D34" w:rsidP="009E0D34">
      <w:pPr>
        <w:pStyle w:val="a7"/>
        <w:numPr>
          <w:ilvl w:val="0"/>
          <w:numId w:val="1"/>
        </w:numPr>
        <w:rPr>
          <w:rFonts w:eastAsia="맑은 고딕"/>
          <w:lang w:eastAsia="ko-KR"/>
        </w:rPr>
      </w:pPr>
      <w:r w:rsidRPr="009E0D34">
        <w:rPr>
          <w:rFonts w:eastAsia="맑은 고딕"/>
          <w:lang w:eastAsia="ko-KR"/>
        </w:rPr>
        <w:t>SG press release</w:t>
      </w:r>
    </w:p>
    <w:p w:rsidR="000370DB" w:rsidRDefault="009E0D34" w:rsidP="009E0D34">
      <w:pPr>
        <w:pStyle w:val="a7"/>
        <w:numPr>
          <w:ilvl w:val="0"/>
          <w:numId w:val="1"/>
        </w:numPr>
      </w:pPr>
      <w:r w:rsidRPr="009E0D34">
        <w:rPr>
          <w:rFonts w:eastAsia="맑은 고딕"/>
          <w:lang w:eastAsia="ko-KR"/>
        </w:rPr>
        <w:t>Preparation for Jan. 2015 CUB SG meeting</w:t>
      </w:r>
    </w:p>
    <w:p w:rsidR="00A8199F" w:rsidRPr="007670AF" w:rsidRDefault="00550AA5" w:rsidP="0092729C">
      <w:pPr>
        <w:pStyle w:val="a7"/>
        <w:numPr>
          <w:ilvl w:val="0"/>
          <w:numId w:val="1"/>
        </w:numPr>
      </w:pPr>
      <w:r w:rsidRPr="006279A2">
        <w:t>AOB</w:t>
      </w:r>
    </w:p>
    <w:p w:rsidR="005A7881" w:rsidRDefault="005A7881" w:rsidP="00550AA5">
      <w:pPr>
        <w:pStyle w:val="1"/>
      </w:pPr>
      <w:r>
        <w:t>Attendance</w:t>
      </w:r>
    </w:p>
    <w:p w:rsidR="005A7881" w:rsidRDefault="005A7881" w:rsidP="005A7881"/>
    <w:p w:rsidR="000370DB" w:rsidRDefault="009E0D34" w:rsidP="00E15E98">
      <w:pPr>
        <w:rPr>
          <w:rFonts w:eastAsia="맑은 고딕"/>
          <w:lang w:val="fi-FI" w:eastAsia="ko-KR"/>
        </w:rPr>
      </w:pPr>
      <w:r>
        <w:rPr>
          <w:rFonts w:eastAsia="맑은 고딕" w:hint="eastAsia"/>
          <w:lang w:val="fi-FI" w:eastAsia="ko-KR"/>
        </w:rPr>
        <w:t>A</w:t>
      </w:r>
      <w:r>
        <w:rPr>
          <w:rFonts w:eastAsia="맑은 고딕"/>
          <w:lang w:val="fi-FI" w:eastAsia="ko-KR"/>
        </w:rPr>
        <w:t>lireza Nejatian (Erricson)</w:t>
      </w:r>
    </w:p>
    <w:p w:rsidR="0092729C" w:rsidRDefault="009E0D34" w:rsidP="00E15E98">
      <w:pPr>
        <w:rPr>
          <w:rFonts w:eastAsia="맑은 고딕"/>
          <w:lang w:val="fi-FI" w:eastAsia="ko-KR"/>
        </w:rPr>
      </w:pPr>
      <w:r>
        <w:rPr>
          <w:rFonts w:eastAsia="맑은 고딕"/>
          <w:lang w:val="fi-FI" w:eastAsia="ko-KR"/>
        </w:rPr>
        <w:t>Sho Furuichi (Sony)</w:t>
      </w:r>
    </w:p>
    <w:p w:rsidR="009E0D34" w:rsidRDefault="009E0D34" w:rsidP="009E0D34">
      <w:pPr>
        <w:rPr>
          <w:rFonts w:eastAsia="맑은 고딕"/>
          <w:lang w:eastAsia="ko-KR"/>
        </w:rPr>
      </w:pPr>
      <w:proofErr w:type="spellStart"/>
      <w:r w:rsidRPr="00903CBA">
        <w:rPr>
          <w:rFonts w:eastAsia="맑은 고딕"/>
          <w:lang w:eastAsia="ko-KR"/>
        </w:rPr>
        <w:t>Yasu</w:t>
      </w:r>
      <w:proofErr w:type="spellEnd"/>
      <w:r w:rsidRPr="00903CBA">
        <w:rPr>
          <w:rFonts w:eastAsia="맑은 고딕"/>
          <w:lang w:eastAsia="ko-KR"/>
        </w:rPr>
        <w:t xml:space="preserve"> Inoue</w:t>
      </w:r>
      <w:r>
        <w:rPr>
          <w:rFonts w:eastAsia="맑은 고딕"/>
          <w:lang w:eastAsia="ko-KR"/>
        </w:rPr>
        <w:t xml:space="preserve"> (NTT)</w:t>
      </w:r>
    </w:p>
    <w:p w:rsidR="00E15E98" w:rsidRDefault="00E15E98" w:rsidP="00E15E98">
      <w:pPr>
        <w:rPr>
          <w:rFonts w:eastAsia="맑은 고딕"/>
          <w:lang w:val="fi-FI" w:eastAsia="ko-KR"/>
        </w:rPr>
      </w:pPr>
      <w:r w:rsidRPr="005B0A24">
        <w:rPr>
          <w:rFonts w:eastAsia="맑은 고딕"/>
          <w:lang w:val="fi-FI" w:eastAsia="ko-KR"/>
        </w:rPr>
        <w:t>Hyunduk Kang (ETRI)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DB0642">
        <w:rPr>
          <w:rFonts w:eastAsia="맑은 고딕"/>
          <w:lang w:val="en-US" w:eastAsia="ko-KR"/>
        </w:rPr>
        <w:t>S</w:t>
      </w:r>
      <w:r w:rsidR="002A62FF">
        <w:rPr>
          <w:rFonts w:eastAsia="맑은 고딕"/>
          <w:lang w:val="en-US" w:eastAsia="ko-KR"/>
        </w:rPr>
        <w:t>G chair</w:t>
      </w:r>
      <w:r w:rsidR="002B2E88">
        <w:rPr>
          <w:rFonts w:eastAsia="맑은 고딕" w:hint="eastAsia"/>
          <w:lang w:val="en-US" w:eastAsia="ko-KR"/>
        </w:rPr>
        <w:t>,</w:t>
      </w:r>
      <w:r w:rsidRPr="00262CF7">
        <w:rPr>
          <w:lang w:val="en-US"/>
        </w:rPr>
        <w:t xml:space="preserve"> </w:t>
      </w:r>
      <w:proofErr w:type="spellStart"/>
      <w:r w:rsidR="00756C85">
        <w:rPr>
          <w:lang w:val="en-US"/>
        </w:rPr>
        <w:t>Hyunduk</w:t>
      </w:r>
      <w:proofErr w:type="spellEnd"/>
      <w:r w:rsidR="00756C85">
        <w:rPr>
          <w:lang w:val="en-US"/>
        </w:rPr>
        <w:t xml:space="preserve">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624769" w:rsidRDefault="00DB0642" w:rsidP="00C11CCA">
      <w:pPr>
        <w:rPr>
          <w:rFonts w:ascii="Arial" w:eastAsia="맑은 고딕" w:hAnsi="Arial"/>
          <w:b/>
          <w:sz w:val="32"/>
          <w:u w:val="single"/>
          <w:lang w:val="en-US" w:eastAsia="ko-KR"/>
        </w:rPr>
      </w:pPr>
      <w:r>
        <w:rPr>
          <w:rFonts w:ascii="Arial" w:eastAsia="맑은 고딕" w:hAnsi="Arial"/>
          <w:b/>
          <w:sz w:val="32"/>
          <w:u w:val="single"/>
          <w:lang w:val="en-US" w:eastAsia="ko-KR"/>
        </w:rPr>
        <w:t>SG CUB press release</w:t>
      </w:r>
    </w:p>
    <w:p w:rsidR="0092729C" w:rsidRPr="00B36AA8" w:rsidRDefault="0092729C" w:rsidP="00C11CCA">
      <w:pPr>
        <w:rPr>
          <w:rFonts w:eastAsia="맑은 고딕"/>
          <w:lang w:val="en-US" w:eastAsia="ko-KR"/>
        </w:rPr>
      </w:pPr>
    </w:p>
    <w:p w:rsidR="00E41B35" w:rsidRPr="00DB0642" w:rsidRDefault="006F2922" w:rsidP="00A01A5D">
      <w:pPr>
        <w:rPr>
          <w:rFonts w:eastAsia="맑은 고딕"/>
          <w:color w:val="FF0000"/>
          <w:lang w:val="en-US" w:eastAsia="ko-KR"/>
        </w:rPr>
      </w:pPr>
      <w:proofErr w:type="spellStart"/>
      <w:r w:rsidRPr="00B36AA8">
        <w:rPr>
          <w:rFonts w:eastAsia="맑은 고딕"/>
          <w:lang w:val="en-US" w:eastAsia="ko-KR"/>
        </w:rPr>
        <w:t>Hyunduk</w:t>
      </w:r>
      <w:proofErr w:type="spellEnd"/>
      <w:r w:rsidRPr="00B36AA8">
        <w:rPr>
          <w:rFonts w:eastAsia="맑은 고딕"/>
          <w:lang w:val="en-US" w:eastAsia="ko-KR"/>
        </w:rPr>
        <w:t xml:space="preserve"> </w:t>
      </w:r>
      <w:r w:rsidR="00DB0642" w:rsidRPr="00B36AA8">
        <w:rPr>
          <w:rFonts w:eastAsia="맑은 고딕"/>
          <w:lang w:val="en-US" w:eastAsia="ko-KR"/>
        </w:rPr>
        <w:t xml:space="preserve">presented </w:t>
      </w:r>
      <w:r w:rsidR="00FA4102">
        <w:rPr>
          <w:rFonts w:eastAsia="맑은 고딕"/>
          <w:lang w:val="en-US" w:eastAsia="ko-KR"/>
        </w:rPr>
        <w:t xml:space="preserve">document on </w:t>
      </w:r>
      <w:r w:rsidR="00DB0642" w:rsidRPr="00B36AA8">
        <w:rPr>
          <w:rFonts w:eastAsia="맑은 고딕"/>
          <w:lang w:val="en-US" w:eastAsia="ko-KR"/>
        </w:rPr>
        <w:t xml:space="preserve">SG CUB press release </w:t>
      </w:r>
      <w:r w:rsidR="00FA4102">
        <w:rPr>
          <w:rFonts w:eastAsia="맑은 고딕"/>
          <w:lang w:val="en-US" w:eastAsia="ko-KR"/>
        </w:rPr>
        <w:t xml:space="preserve">(19-14/0088r0) </w:t>
      </w:r>
      <w:r w:rsidR="00DB0642" w:rsidRPr="00B36AA8">
        <w:rPr>
          <w:rFonts w:eastAsia="맑은 고딕"/>
          <w:lang w:val="en-US" w:eastAsia="ko-KR"/>
        </w:rPr>
        <w:t xml:space="preserve">and </w:t>
      </w:r>
      <w:r w:rsidR="00FA4102">
        <w:rPr>
          <w:rFonts w:eastAsia="맑은 고딕"/>
          <w:lang w:val="en-US" w:eastAsia="ko-KR"/>
        </w:rPr>
        <w:t xml:space="preserve">notified that </w:t>
      </w:r>
      <w:r w:rsidR="006F05FD">
        <w:rPr>
          <w:rFonts w:eastAsia="맑은 고딕"/>
          <w:lang w:val="en-US" w:eastAsia="ko-KR"/>
        </w:rPr>
        <w:t>WG ballot for it</w:t>
      </w:r>
      <w:r w:rsidR="00FA4102">
        <w:rPr>
          <w:rFonts w:eastAsia="맑은 고딕"/>
          <w:lang w:val="en-US" w:eastAsia="ko-KR"/>
        </w:rPr>
        <w:t xml:space="preserve"> passed</w:t>
      </w:r>
      <w:r w:rsidR="006F05FD">
        <w:rPr>
          <w:rFonts w:eastAsia="맑은 고딕"/>
          <w:lang w:val="en-US" w:eastAsia="ko-KR"/>
        </w:rPr>
        <w:t>.</w:t>
      </w:r>
      <w:r w:rsidR="00FA4102">
        <w:rPr>
          <w:rFonts w:eastAsia="맑은 고딕"/>
          <w:lang w:val="en-US" w:eastAsia="ko-KR"/>
        </w:rPr>
        <w:t xml:space="preserve"> There were several questions related to work items of SG including target frequency bands, target wireless systems, </w:t>
      </w:r>
      <w:r w:rsidR="00DC1693">
        <w:rPr>
          <w:rFonts w:eastAsia="맑은 고딕"/>
          <w:lang w:val="en-US" w:eastAsia="ko-KR"/>
        </w:rPr>
        <w:t xml:space="preserve">timeline, </w:t>
      </w:r>
      <w:r w:rsidR="00FA4102">
        <w:rPr>
          <w:rFonts w:eastAsia="맑은 고딕"/>
          <w:lang w:val="en-US" w:eastAsia="ko-KR"/>
        </w:rPr>
        <w:t>and so on.</w:t>
      </w:r>
    </w:p>
    <w:p w:rsidR="00FA4102" w:rsidRPr="00DC1693" w:rsidRDefault="00FA4102" w:rsidP="00C11CCA">
      <w:pPr>
        <w:rPr>
          <w:rFonts w:eastAsia="맑은 고딕"/>
          <w:lang w:val="en-US" w:eastAsia="ko-KR"/>
        </w:rPr>
      </w:pPr>
    </w:p>
    <w:p w:rsidR="00FA4102" w:rsidRPr="00FA4102" w:rsidRDefault="00FA4102" w:rsidP="00FA4102">
      <w:pPr>
        <w:rPr>
          <w:rFonts w:eastAsia="맑은 고딕"/>
          <w:lang w:eastAsia="ko-KR"/>
        </w:rPr>
      </w:pPr>
      <w:r w:rsidRPr="00FA4102">
        <w:rPr>
          <w:rFonts w:ascii="Arial" w:eastAsia="맑은 고딕" w:hAnsi="Arial"/>
          <w:b/>
          <w:sz w:val="32"/>
          <w:u w:val="single"/>
          <w:lang w:val="en-US" w:eastAsia="ko-KR"/>
        </w:rPr>
        <w:t>Preparation for Jan. 2015 CUB SG meeting</w:t>
      </w:r>
    </w:p>
    <w:p w:rsidR="00FA4102" w:rsidRDefault="00FA4102" w:rsidP="00FA4102">
      <w:pPr>
        <w:rPr>
          <w:rFonts w:eastAsia="맑은 고딕"/>
          <w:lang w:eastAsia="ko-KR"/>
        </w:rPr>
      </w:pPr>
    </w:p>
    <w:p w:rsidR="00FA4102" w:rsidRPr="005A20F8" w:rsidRDefault="00346EF4" w:rsidP="00FA4102">
      <w:pPr>
        <w:rPr>
          <w:rFonts w:eastAsia="맑은 고딕"/>
          <w:lang w:val="en-US" w:eastAsia="ko-KR"/>
        </w:rPr>
      </w:pPr>
      <w:r w:rsidRPr="005A20F8">
        <w:rPr>
          <w:rFonts w:eastAsia="맑은 고딕"/>
          <w:lang w:val="en-US" w:eastAsia="ko-KR"/>
        </w:rPr>
        <w:t xml:space="preserve">SG CUB is going to have the first face-to-face meeting on January 2015. </w:t>
      </w:r>
      <w:proofErr w:type="spellStart"/>
      <w:r w:rsidR="00FA4102" w:rsidRPr="005A20F8">
        <w:rPr>
          <w:rFonts w:eastAsia="맑은 고딕"/>
          <w:lang w:val="en-US" w:eastAsia="ko-KR"/>
        </w:rPr>
        <w:t>Hyunduk</w:t>
      </w:r>
      <w:proofErr w:type="spellEnd"/>
      <w:r w:rsidR="00FA4102" w:rsidRPr="005A20F8">
        <w:rPr>
          <w:rFonts w:eastAsia="맑은 고딕"/>
          <w:lang w:val="en-US" w:eastAsia="ko-KR"/>
        </w:rPr>
        <w:t xml:space="preserve"> announced that </w:t>
      </w:r>
      <w:r w:rsidR="00DF11D7" w:rsidRPr="005A20F8">
        <w:rPr>
          <w:rFonts w:eastAsia="맑은 고딕"/>
          <w:lang w:val="en-US" w:eastAsia="ko-KR"/>
        </w:rPr>
        <w:t xml:space="preserve">he will post </w:t>
      </w:r>
      <w:r w:rsidR="00FA4102" w:rsidRPr="005A20F8">
        <w:rPr>
          <w:rFonts w:eastAsia="맑은 고딕"/>
          <w:lang w:val="en-US" w:eastAsia="ko-KR"/>
        </w:rPr>
        <w:t>call for contribution related to work items</w:t>
      </w:r>
      <w:r w:rsidRPr="005A20F8">
        <w:rPr>
          <w:rFonts w:eastAsia="맑은 고딕"/>
          <w:lang w:val="en-US" w:eastAsia="ko-KR"/>
        </w:rPr>
        <w:t xml:space="preserve">. </w:t>
      </w:r>
      <w:bookmarkStart w:id="0" w:name="_GoBack"/>
      <w:bookmarkEnd w:id="0"/>
    </w:p>
    <w:p w:rsidR="00FA4102" w:rsidRDefault="00FA4102" w:rsidP="00C11CCA">
      <w:pPr>
        <w:rPr>
          <w:rFonts w:eastAsia="맑은 고딕"/>
          <w:lang w:val="en-US" w:eastAsia="ko-KR"/>
        </w:rPr>
      </w:pPr>
    </w:p>
    <w:p w:rsidR="00FA4102" w:rsidRPr="00FA4102" w:rsidRDefault="00FA4102" w:rsidP="00C11CCA">
      <w:pPr>
        <w:rPr>
          <w:rFonts w:eastAsia="맑은 고딕"/>
          <w:lang w:val="en-US" w:eastAsia="ko-KR"/>
        </w:rPr>
      </w:pP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FCD" w:rsidRDefault="00D82FCD">
      <w:r>
        <w:separator/>
      </w:r>
    </w:p>
  </w:endnote>
  <w:endnote w:type="continuationSeparator" w:id="0">
    <w:p w:rsidR="00D82FCD" w:rsidRDefault="00D8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5A20F8">
      <w:rPr>
        <w:noProof/>
      </w:rPr>
      <w:t>2</w:t>
    </w:r>
    <w:r>
      <w:fldChar w:fldCharType="end"/>
    </w:r>
    <w:r w:rsidR="00B129C7">
      <w:tab/>
    </w:r>
    <w:r w:rsidR="00F45FF3">
      <w:fldChar w:fldCharType="begin"/>
    </w:r>
    <w:r w:rsidR="00F45FF3">
      <w:instrText xml:space="preserve"> COMMENTS  \* MERGEFORMAT </w:instrText>
    </w:r>
    <w:r w:rsidR="00F45FF3">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F45FF3">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FCD" w:rsidRDefault="00D82FCD">
      <w:r>
        <w:separator/>
      </w:r>
    </w:p>
  </w:footnote>
  <w:footnote w:type="continuationSeparator" w:id="0">
    <w:p w:rsidR="00D82FCD" w:rsidRDefault="00D82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0370DB">
      <w:rPr>
        <w:rFonts w:eastAsia="맑은 고딕"/>
        <w:lang w:eastAsia="ko-KR"/>
      </w:rPr>
      <w:t>December</w:t>
    </w:r>
    <w:r w:rsidR="00B64E0F">
      <w:t xml:space="preserve"> 201</w:t>
    </w:r>
    <w:r w:rsidR="00602879">
      <w:rPr>
        <w:rFonts w:hint="eastAsia"/>
        <w:lang w:eastAsia="ja-JP"/>
      </w:rPr>
      <w:t>4</w:t>
    </w:r>
    <w:r>
      <w:fldChar w:fldCharType="end"/>
    </w:r>
    <w:r w:rsidR="00B129C7">
      <w:tab/>
    </w:r>
    <w:r w:rsidR="00B129C7">
      <w:tab/>
    </w:r>
    <w:fldSimple w:instr=" TITLE  \* MERGEFORMAT ">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4976DB">
        <w:rPr>
          <w:rFonts w:eastAsia="맑은 고딕"/>
          <w:lang w:eastAsia="ko-KR"/>
        </w:rPr>
        <w:t>92</w:t>
      </w:r>
      <w:r w:rsidR="00DB2961">
        <w:t>r</w:t>
      </w:r>
      <w:r w:rsidR="00E1056B">
        <w:t>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61"/>
    <w:rsid w:val="0000050D"/>
    <w:rsid w:val="00003C8B"/>
    <w:rsid w:val="00004A86"/>
    <w:rsid w:val="00011EC7"/>
    <w:rsid w:val="000253BC"/>
    <w:rsid w:val="00027332"/>
    <w:rsid w:val="000370DB"/>
    <w:rsid w:val="00037305"/>
    <w:rsid w:val="0004451F"/>
    <w:rsid w:val="00051C3B"/>
    <w:rsid w:val="00052F2E"/>
    <w:rsid w:val="00071B78"/>
    <w:rsid w:val="00082A8C"/>
    <w:rsid w:val="00096BB0"/>
    <w:rsid w:val="0009795B"/>
    <w:rsid w:val="000A74D0"/>
    <w:rsid w:val="000B474D"/>
    <w:rsid w:val="000D0588"/>
    <w:rsid w:val="00104CEA"/>
    <w:rsid w:val="00115A71"/>
    <w:rsid w:val="00121FC5"/>
    <w:rsid w:val="00122C0B"/>
    <w:rsid w:val="00131AB2"/>
    <w:rsid w:val="00133556"/>
    <w:rsid w:val="00136B0A"/>
    <w:rsid w:val="001418F8"/>
    <w:rsid w:val="001459ED"/>
    <w:rsid w:val="001566DF"/>
    <w:rsid w:val="00157D1E"/>
    <w:rsid w:val="001671D9"/>
    <w:rsid w:val="00181B31"/>
    <w:rsid w:val="001A4F5C"/>
    <w:rsid w:val="001A5161"/>
    <w:rsid w:val="001B1CB7"/>
    <w:rsid w:val="001B4177"/>
    <w:rsid w:val="001C19BF"/>
    <w:rsid w:val="001C5D69"/>
    <w:rsid w:val="001C745B"/>
    <w:rsid w:val="001E213C"/>
    <w:rsid w:val="0020151B"/>
    <w:rsid w:val="00202489"/>
    <w:rsid w:val="00203864"/>
    <w:rsid w:val="00211961"/>
    <w:rsid w:val="002126D6"/>
    <w:rsid w:val="0021410C"/>
    <w:rsid w:val="00227BC3"/>
    <w:rsid w:val="00233386"/>
    <w:rsid w:val="00242A7E"/>
    <w:rsid w:val="00254F59"/>
    <w:rsid w:val="00262CF7"/>
    <w:rsid w:val="00273754"/>
    <w:rsid w:val="00276CCF"/>
    <w:rsid w:val="00281658"/>
    <w:rsid w:val="00294655"/>
    <w:rsid w:val="002A62FF"/>
    <w:rsid w:val="002B2A17"/>
    <w:rsid w:val="002B2E88"/>
    <w:rsid w:val="002B4B42"/>
    <w:rsid w:val="002B5C4C"/>
    <w:rsid w:val="002C3821"/>
    <w:rsid w:val="002C5F20"/>
    <w:rsid w:val="002E3EA3"/>
    <w:rsid w:val="00317EBC"/>
    <w:rsid w:val="00322118"/>
    <w:rsid w:val="00332190"/>
    <w:rsid w:val="003343FA"/>
    <w:rsid w:val="00346857"/>
    <w:rsid w:val="00346EF4"/>
    <w:rsid w:val="003501E2"/>
    <w:rsid w:val="00350308"/>
    <w:rsid w:val="00360334"/>
    <w:rsid w:val="0036142F"/>
    <w:rsid w:val="00367D85"/>
    <w:rsid w:val="00373F03"/>
    <w:rsid w:val="003757EA"/>
    <w:rsid w:val="003942F8"/>
    <w:rsid w:val="003A2D0F"/>
    <w:rsid w:val="003A713D"/>
    <w:rsid w:val="003A75DB"/>
    <w:rsid w:val="003C4741"/>
    <w:rsid w:val="003C6938"/>
    <w:rsid w:val="003E3355"/>
    <w:rsid w:val="003E33C9"/>
    <w:rsid w:val="003F2B38"/>
    <w:rsid w:val="003F7067"/>
    <w:rsid w:val="00406063"/>
    <w:rsid w:val="00411959"/>
    <w:rsid w:val="00415E1E"/>
    <w:rsid w:val="0042053F"/>
    <w:rsid w:val="0044571F"/>
    <w:rsid w:val="004462CD"/>
    <w:rsid w:val="00461D62"/>
    <w:rsid w:val="004721A7"/>
    <w:rsid w:val="004839D1"/>
    <w:rsid w:val="00485E24"/>
    <w:rsid w:val="0049511D"/>
    <w:rsid w:val="0049640F"/>
    <w:rsid w:val="004976DB"/>
    <w:rsid w:val="004A3793"/>
    <w:rsid w:val="004A76CA"/>
    <w:rsid w:val="004B4391"/>
    <w:rsid w:val="004D3C5E"/>
    <w:rsid w:val="004E62A5"/>
    <w:rsid w:val="004F07FE"/>
    <w:rsid w:val="00502106"/>
    <w:rsid w:val="00505DA2"/>
    <w:rsid w:val="00507775"/>
    <w:rsid w:val="005112E0"/>
    <w:rsid w:val="00520366"/>
    <w:rsid w:val="0053365D"/>
    <w:rsid w:val="0054081F"/>
    <w:rsid w:val="00546055"/>
    <w:rsid w:val="00547B9C"/>
    <w:rsid w:val="005507C7"/>
    <w:rsid w:val="00550AA5"/>
    <w:rsid w:val="005660EE"/>
    <w:rsid w:val="00577FBE"/>
    <w:rsid w:val="00591FF9"/>
    <w:rsid w:val="005A20F8"/>
    <w:rsid w:val="005A7881"/>
    <w:rsid w:val="005A7DC5"/>
    <w:rsid w:val="005B0A24"/>
    <w:rsid w:val="005B5098"/>
    <w:rsid w:val="005C3BF8"/>
    <w:rsid w:val="005D43C2"/>
    <w:rsid w:val="005E0C70"/>
    <w:rsid w:val="005E2C38"/>
    <w:rsid w:val="005E35FF"/>
    <w:rsid w:val="00602879"/>
    <w:rsid w:val="00624769"/>
    <w:rsid w:val="006279A2"/>
    <w:rsid w:val="00630091"/>
    <w:rsid w:val="00642A34"/>
    <w:rsid w:val="00652BAD"/>
    <w:rsid w:val="00657E9E"/>
    <w:rsid w:val="00661331"/>
    <w:rsid w:val="00670AF4"/>
    <w:rsid w:val="006722D8"/>
    <w:rsid w:val="00672EED"/>
    <w:rsid w:val="006865AC"/>
    <w:rsid w:val="00691ABA"/>
    <w:rsid w:val="006A59EB"/>
    <w:rsid w:val="006B204F"/>
    <w:rsid w:val="006C6020"/>
    <w:rsid w:val="006D6B71"/>
    <w:rsid w:val="006F05FD"/>
    <w:rsid w:val="006F0AA4"/>
    <w:rsid w:val="006F2922"/>
    <w:rsid w:val="006F3D3A"/>
    <w:rsid w:val="0071219B"/>
    <w:rsid w:val="00720E76"/>
    <w:rsid w:val="007271FF"/>
    <w:rsid w:val="007319A1"/>
    <w:rsid w:val="007329AB"/>
    <w:rsid w:val="00734ACD"/>
    <w:rsid w:val="00740574"/>
    <w:rsid w:val="00742C28"/>
    <w:rsid w:val="0075622D"/>
    <w:rsid w:val="00756C85"/>
    <w:rsid w:val="00763F4C"/>
    <w:rsid w:val="007670AF"/>
    <w:rsid w:val="00797857"/>
    <w:rsid w:val="007A4151"/>
    <w:rsid w:val="007C53FD"/>
    <w:rsid w:val="007C5CAB"/>
    <w:rsid w:val="007D1A65"/>
    <w:rsid w:val="007D5B1D"/>
    <w:rsid w:val="007D7324"/>
    <w:rsid w:val="007D7BAF"/>
    <w:rsid w:val="007E0028"/>
    <w:rsid w:val="007E1FFB"/>
    <w:rsid w:val="007F638F"/>
    <w:rsid w:val="008115E0"/>
    <w:rsid w:val="00811F30"/>
    <w:rsid w:val="0082699E"/>
    <w:rsid w:val="008277E9"/>
    <w:rsid w:val="00861173"/>
    <w:rsid w:val="00894996"/>
    <w:rsid w:val="008A3EBB"/>
    <w:rsid w:val="008B4C2E"/>
    <w:rsid w:val="008B5641"/>
    <w:rsid w:val="008C71E7"/>
    <w:rsid w:val="008D16AF"/>
    <w:rsid w:val="008E3B86"/>
    <w:rsid w:val="008F1034"/>
    <w:rsid w:val="00901673"/>
    <w:rsid w:val="00903CBA"/>
    <w:rsid w:val="00911B91"/>
    <w:rsid w:val="0091211D"/>
    <w:rsid w:val="009155BA"/>
    <w:rsid w:val="0092729C"/>
    <w:rsid w:val="00927978"/>
    <w:rsid w:val="00930ADE"/>
    <w:rsid w:val="00942D9C"/>
    <w:rsid w:val="00946574"/>
    <w:rsid w:val="00951789"/>
    <w:rsid w:val="0096325A"/>
    <w:rsid w:val="009640BF"/>
    <w:rsid w:val="00970E5D"/>
    <w:rsid w:val="00977F79"/>
    <w:rsid w:val="009813F9"/>
    <w:rsid w:val="00986E00"/>
    <w:rsid w:val="00996806"/>
    <w:rsid w:val="00997612"/>
    <w:rsid w:val="009A3E72"/>
    <w:rsid w:val="009A7F3E"/>
    <w:rsid w:val="009B247D"/>
    <w:rsid w:val="009C4468"/>
    <w:rsid w:val="009D4420"/>
    <w:rsid w:val="009E0D34"/>
    <w:rsid w:val="009F4671"/>
    <w:rsid w:val="00A00DB1"/>
    <w:rsid w:val="00A00EBF"/>
    <w:rsid w:val="00A01A5D"/>
    <w:rsid w:val="00A0265D"/>
    <w:rsid w:val="00A0776A"/>
    <w:rsid w:val="00A14B51"/>
    <w:rsid w:val="00A151D3"/>
    <w:rsid w:val="00A24408"/>
    <w:rsid w:val="00A352B9"/>
    <w:rsid w:val="00A42E96"/>
    <w:rsid w:val="00A50AE8"/>
    <w:rsid w:val="00A6589E"/>
    <w:rsid w:val="00A65D52"/>
    <w:rsid w:val="00A8199F"/>
    <w:rsid w:val="00AA1B8B"/>
    <w:rsid w:val="00AC0998"/>
    <w:rsid w:val="00AC0FA4"/>
    <w:rsid w:val="00AD6B85"/>
    <w:rsid w:val="00AE5F23"/>
    <w:rsid w:val="00B129C7"/>
    <w:rsid w:val="00B15FF6"/>
    <w:rsid w:val="00B36651"/>
    <w:rsid w:val="00B36AA8"/>
    <w:rsid w:val="00B507F5"/>
    <w:rsid w:val="00B533CC"/>
    <w:rsid w:val="00B64E0F"/>
    <w:rsid w:val="00B74EA0"/>
    <w:rsid w:val="00B913C6"/>
    <w:rsid w:val="00B9402F"/>
    <w:rsid w:val="00BA63D8"/>
    <w:rsid w:val="00BB6533"/>
    <w:rsid w:val="00BC06AE"/>
    <w:rsid w:val="00BD1B61"/>
    <w:rsid w:val="00BE6825"/>
    <w:rsid w:val="00BF1CAB"/>
    <w:rsid w:val="00BF25DF"/>
    <w:rsid w:val="00C05C43"/>
    <w:rsid w:val="00C11CCA"/>
    <w:rsid w:val="00C14CB7"/>
    <w:rsid w:val="00C2253E"/>
    <w:rsid w:val="00C317D9"/>
    <w:rsid w:val="00C34782"/>
    <w:rsid w:val="00C36F8C"/>
    <w:rsid w:val="00C76F1F"/>
    <w:rsid w:val="00C81BB6"/>
    <w:rsid w:val="00C91AA2"/>
    <w:rsid w:val="00C97087"/>
    <w:rsid w:val="00CA0808"/>
    <w:rsid w:val="00CA6641"/>
    <w:rsid w:val="00CC5A4F"/>
    <w:rsid w:val="00CC5F16"/>
    <w:rsid w:val="00CD1F18"/>
    <w:rsid w:val="00CF46ED"/>
    <w:rsid w:val="00D00CA2"/>
    <w:rsid w:val="00D2027A"/>
    <w:rsid w:val="00D23EE6"/>
    <w:rsid w:val="00D242F1"/>
    <w:rsid w:val="00D31AB4"/>
    <w:rsid w:val="00D31BD3"/>
    <w:rsid w:val="00D4313C"/>
    <w:rsid w:val="00D4665F"/>
    <w:rsid w:val="00D52843"/>
    <w:rsid w:val="00D82FCD"/>
    <w:rsid w:val="00D832A7"/>
    <w:rsid w:val="00D8501E"/>
    <w:rsid w:val="00D9307E"/>
    <w:rsid w:val="00D96FB2"/>
    <w:rsid w:val="00DA34B9"/>
    <w:rsid w:val="00DA4BC4"/>
    <w:rsid w:val="00DB0642"/>
    <w:rsid w:val="00DB2961"/>
    <w:rsid w:val="00DC1693"/>
    <w:rsid w:val="00DD6CBC"/>
    <w:rsid w:val="00DE41C1"/>
    <w:rsid w:val="00DE6357"/>
    <w:rsid w:val="00DF11D7"/>
    <w:rsid w:val="00DF7B52"/>
    <w:rsid w:val="00E03B5A"/>
    <w:rsid w:val="00E049E8"/>
    <w:rsid w:val="00E077D1"/>
    <w:rsid w:val="00E1056B"/>
    <w:rsid w:val="00E13C0E"/>
    <w:rsid w:val="00E13C6C"/>
    <w:rsid w:val="00E14301"/>
    <w:rsid w:val="00E14FF0"/>
    <w:rsid w:val="00E15E98"/>
    <w:rsid w:val="00E223F5"/>
    <w:rsid w:val="00E239E2"/>
    <w:rsid w:val="00E30A0F"/>
    <w:rsid w:val="00E33B40"/>
    <w:rsid w:val="00E418AA"/>
    <w:rsid w:val="00E41B35"/>
    <w:rsid w:val="00E427AB"/>
    <w:rsid w:val="00E60AA0"/>
    <w:rsid w:val="00E8034A"/>
    <w:rsid w:val="00E85AA1"/>
    <w:rsid w:val="00E941BC"/>
    <w:rsid w:val="00EB6849"/>
    <w:rsid w:val="00EB6F8B"/>
    <w:rsid w:val="00EC3BBF"/>
    <w:rsid w:val="00ED35D8"/>
    <w:rsid w:val="00EE6D05"/>
    <w:rsid w:val="00F06048"/>
    <w:rsid w:val="00F127D6"/>
    <w:rsid w:val="00F16758"/>
    <w:rsid w:val="00F36683"/>
    <w:rsid w:val="00F41A53"/>
    <w:rsid w:val="00F4592A"/>
    <w:rsid w:val="00F45FF3"/>
    <w:rsid w:val="00F5664A"/>
    <w:rsid w:val="00F578C2"/>
    <w:rsid w:val="00F6224B"/>
    <w:rsid w:val="00F7047C"/>
    <w:rsid w:val="00F74C1D"/>
    <w:rsid w:val="00F76168"/>
    <w:rsid w:val="00FA4102"/>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775">
      <w:bodyDiv w:val="1"/>
      <w:marLeft w:val="0"/>
      <w:marRight w:val="0"/>
      <w:marTop w:val="0"/>
      <w:marBottom w:val="0"/>
      <w:divBdr>
        <w:top w:val="none" w:sz="0" w:space="0" w:color="auto"/>
        <w:left w:val="none" w:sz="0" w:space="0" w:color="auto"/>
        <w:bottom w:val="none" w:sz="0" w:space="0" w:color="auto"/>
        <w:right w:val="none" w:sz="0" w:space="0" w:color="auto"/>
      </w:divBdr>
    </w:div>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 w:id="20484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Template>
  <TotalTime>432</TotalTime>
  <Pages>2</Pages>
  <Words>180</Words>
  <Characters>1032</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34</cp:revision>
  <cp:lastPrinted>1900-12-31T22:00:00Z</cp:lastPrinted>
  <dcterms:created xsi:type="dcterms:W3CDTF">2014-07-02T22:59:00Z</dcterms:created>
  <dcterms:modified xsi:type="dcterms:W3CDTF">2014-12-30T05:59:00Z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