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0C132D" w:rsidP="0065781E">
            <w:pPr>
              <w:pStyle w:val="T2"/>
              <w:rPr>
                <w:lang w:eastAsia="ja-JP"/>
              </w:rPr>
            </w:pPr>
            <w:r>
              <w:rPr>
                <w:rFonts w:hint="eastAsia"/>
                <w:lang w:eastAsia="ja-JP"/>
              </w:rPr>
              <w:t>Procedures</w:t>
            </w:r>
          </w:p>
        </w:tc>
      </w:tr>
      <w:tr w:rsidR="00B129C7" w:rsidRPr="005A301C" w:rsidTr="00203476">
        <w:trPr>
          <w:trHeight w:val="359"/>
          <w:jc w:val="center"/>
        </w:trPr>
        <w:tc>
          <w:tcPr>
            <w:tcW w:w="9900" w:type="dxa"/>
            <w:gridSpan w:val="5"/>
            <w:vAlign w:val="center"/>
          </w:tcPr>
          <w:p w:rsidR="00B129C7" w:rsidRPr="005A301C" w:rsidRDefault="00B129C7" w:rsidP="003F53A5">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3F53A5">
              <w:rPr>
                <w:rFonts w:hint="eastAsia"/>
                <w:b w:val="0"/>
                <w:sz w:val="20"/>
                <w:lang w:eastAsia="ja-JP"/>
              </w:rPr>
              <w:t>9</w:t>
            </w:r>
            <w:r w:rsidRPr="005A301C">
              <w:rPr>
                <w:b w:val="0"/>
                <w:sz w:val="20"/>
              </w:rPr>
              <w:t>-</w:t>
            </w:r>
            <w:r w:rsidR="006E59C8">
              <w:rPr>
                <w:rFonts w:hint="eastAsia"/>
                <w:b w:val="0"/>
                <w:sz w:val="20"/>
                <w:lang w:eastAsia="ja-JP"/>
              </w:rPr>
              <w:t>1</w:t>
            </w:r>
            <w:r w:rsidR="000C132D">
              <w:rPr>
                <w:rFonts w:hint="eastAsia"/>
                <w:b w:val="0"/>
                <w:sz w:val="20"/>
                <w:lang w:eastAsia="ja-JP"/>
              </w:rPr>
              <w:t>7</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4A12F9">
      <w:pPr>
        <w:pStyle w:val="T1"/>
        <w:spacing w:after="120"/>
        <w:rPr>
          <w:sz w:val="22"/>
        </w:rPr>
      </w:pPr>
      <w:r w:rsidRPr="004A12F9">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52368A" w:rsidRDefault="0052368A">
                  <w:pPr>
                    <w:pStyle w:val="T1"/>
                    <w:spacing w:after="120"/>
                  </w:pPr>
                  <w:r>
                    <w:t>Abstract</w:t>
                  </w:r>
                </w:p>
                <w:p w:rsidR="0052368A" w:rsidRDefault="0052368A">
                  <w:pPr>
                    <w:jc w:val="both"/>
                    <w:rPr>
                      <w:lang w:eastAsia="ja-JP"/>
                    </w:rPr>
                  </w:pPr>
                  <w:r>
                    <w:t xml:space="preserve">This document is a submission to IEEE 802.19 TG1 </w:t>
                  </w:r>
                  <w:r w:rsidR="000C132D">
                    <w:rPr>
                      <w:rFonts w:hint="eastAsia"/>
                      <w:lang w:eastAsia="ja-JP"/>
                    </w:rPr>
                    <w:t>summarizing how procedures are used by different profiles</w:t>
                  </w:r>
                  <w:r>
                    <w:rPr>
                      <w:rFonts w:hint="eastAsia"/>
                      <w:lang w:eastAsia="ja-JP"/>
                    </w:rPr>
                    <w:t>.</w:t>
                  </w:r>
                </w:p>
              </w:txbxContent>
            </v:textbox>
          </v:shape>
        </w:pict>
      </w:r>
    </w:p>
    <w:p w:rsidR="00FF57B4" w:rsidRDefault="004A12F9" w:rsidP="00FF57B4">
      <w:pPr>
        <w:pStyle w:val="Heading1"/>
      </w:pPr>
      <w:r>
        <w:pict>
          <v:shape id="_x0000_s1059" type="#_x0000_t202" style="position:absolute;margin-left:-4.95pt;margin-top:447.5pt;width:477pt;height:45.05pt;z-index:251657728" o:allowincell="f">
            <v:textbox style="mso-next-textbox:#_x0000_s1059">
              <w:txbxContent>
                <w:p w:rsidR="0052368A" w:rsidRDefault="0052368A">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52368A" w:rsidRDefault="0052368A">
                  <w:pPr>
                    <w:jc w:val="both"/>
                    <w:rPr>
                      <w:rFonts w:ascii="Arial Unicode MS" w:eastAsia="Arial Unicode MS" w:hAnsi="Arial Unicode MS"/>
                      <w:color w:val="000000"/>
                      <w:sz w:val="18"/>
                    </w:rPr>
                  </w:pPr>
                </w:p>
              </w:txbxContent>
            </v:textbox>
          </v:shape>
        </w:pict>
      </w:r>
      <w:r w:rsidR="00B129C7" w:rsidRPr="005A301C">
        <w:br w:type="page"/>
      </w:r>
    </w:p>
    <w:p w:rsidR="00E357D7" w:rsidRDefault="00E357D7" w:rsidP="00E231A2">
      <w:pPr>
        <w:rPr>
          <w:sz w:val="20"/>
          <w:lang w:eastAsia="ja-JP"/>
        </w:rPr>
      </w:pPr>
    </w:p>
    <w:tbl>
      <w:tblPr>
        <w:tblStyle w:val="TableGrid"/>
        <w:tblW w:w="0" w:type="auto"/>
        <w:jc w:val="center"/>
        <w:tblInd w:w="1668" w:type="dxa"/>
        <w:tblLook w:val="04A0"/>
      </w:tblPr>
      <w:tblGrid>
        <w:gridCol w:w="6378"/>
        <w:gridCol w:w="709"/>
        <w:gridCol w:w="803"/>
      </w:tblGrid>
      <w:tr w:rsidR="000C132D" w:rsidRPr="003728B7" w:rsidTr="003728B7">
        <w:trPr>
          <w:jc w:val="center"/>
        </w:trPr>
        <w:tc>
          <w:tcPr>
            <w:tcW w:w="6378" w:type="dxa"/>
            <w:vMerge w:val="restart"/>
            <w:shd w:val="clear" w:color="auto" w:fill="92D050"/>
          </w:tcPr>
          <w:p w:rsidR="000C132D" w:rsidRPr="003728B7" w:rsidRDefault="000C132D" w:rsidP="000C132D">
            <w:pPr>
              <w:jc w:val="center"/>
              <w:rPr>
                <w:b/>
                <w:sz w:val="18"/>
                <w:szCs w:val="18"/>
                <w:lang w:eastAsia="ja-JP"/>
              </w:rPr>
            </w:pPr>
            <w:r w:rsidRPr="003728B7">
              <w:rPr>
                <w:rFonts w:hint="eastAsia"/>
                <w:b/>
                <w:sz w:val="18"/>
                <w:szCs w:val="18"/>
                <w:lang w:eastAsia="ja-JP"/>
              </w:rPr>
              <w:t>Procedure</w:t>
            </w:r>
          </w:p>
        </w:tc>
        <w:tc>
          <w:tcPr>
            <w:tcW w:w="1512" w:type="dxa"/>
            <w:gridSpan w:val="2"/>
            <w:shd w:val="clear" w:color="auto" w:fill="92D050"/>
          </w:tcPr>
          <w:p w:rsidR="000C132D" w:rsidRPr="003728B7" w:rsidRDefault="000C132D" w:rsidP="000C132D">
            <w:pPr>
              <w:jc w:val="center"/>
              <w:rPr>
                <w:b/>
                <w:sz w:val="18"/>
                <w:szCs w:val="18"/>
                <w:lang w:eastAsia="ja-JP"/>
              </w:rPr>
            </w:pPr>
            <w:r w:rsidRPr="003728B7">
              <w:rPr>
                <w:rFonts w:hint="eastAsia"/>
                <w:b/>
                <w:sz w:val="18"/>
                <w:szCs w:val="18"/>
                <w:lang w:eastAsia="ja-JP"/>
              </w:rPr>
              <w:t>Profile</w:t>
            </w:r>
          </w:p>
        </w:tc>
      </w:tr>
      <w:tr w:rsidR="000C132D" w:rsidRPr="003728B7" w:rsidTr="003728B7">
        <w:trPr>
          <w:jc w:val="center"/>
        </w:trPr>
        <w:tc>
          <w:tcPr>
            <w:tcW w:w="6378" w:type="dxa"/>
            <w:vMerge/>
            <w:tcBorders>
              <w:bottom w:val="single" w:sz="4" w:space="0" w:color="000000"/>
            </w:tcBorders>
            <w:shd w:val="clear" w:color="auto" w:fill="92D050"/>
          </w:tcPr>
          <w:p w:rsidR="000C132D" w:rsidRPr="003728B7" w:rsidRDefault="000C132D" w:rsidP="00E231A2">
            <w:pPr>
              <w:rPr>
                <w:sz w:val="18"/>
                <w:szCs w:val="18"/>
                <w:lang w:eastAsia="ja-JP"/>
              </w:rPr>
            </w:pPr>
          </w:p>
        </w:tc>
        <w:tc>
          <w:tcPr>
            <w:tcW w:w="709" w:type="dxa"/>
            <w:tcBorders>
              <w:bottom w:val="single" w:sz="4" w:space="0" w:color="000000"/>
            </w:tcBorders>
            <w:shd w:val="clear" w:color="auto" w:fill="92D050"/>
          </w:tcPr>
          <w:p w:rsidR="000C132D" w:rsidRPr="003728B7" w:rsidRDefault="000C132D" w:rsidP="000C132D">
            <w:pPr>
              <w:jc w:val="center"/>
              <w:rPr>
                <w:b/>
                <w:sz w:val="18"/>
                <w:szCs w:val="18"/>
                <w:lang w:eastAsia="ja-JP"/>
              </w:rPr>
            </w:pPr>
            <w:r w:rsidRPr="003728B7">
              <w:rPr>
                <w:rFonts w:hint="eastAsia"/>
                <w:b/>
                <w:sz w:val="18"/>
                <w:szCs w:val="18"/>
                <w:lang w:eastAsia="ja-JP"/>
              </w:rPr>
              <w:t>1</w:t>
            </w:r>
          </w:p>
        </w:tc>
        <w:tc>
          <w:tcPr>
            <w:tcW w:w="803" w:type="dxa"/>
            <w:tcBorders>
              <w:bottom w:val="single" w:sz="4" w:space="0" w:color="000000"/>
            </w:tcBorders>
            <w:shd w:val="clear" w:color="auto" w:fill="92D050"/>
          </w:tcPr>
          <w:p w:rsidR="000C132D" w:rsidRPr="003728B7" w:rsidRDefault="000C132D" w:rsidP="000C132D">
            <w:pPr>
              <w:jc w:val="center"/>
              <w:rPr>
                <w:b/>
                <w:sz w:val="18"/>
                <w:szCs w:val="18"/>
                <w:lang w:eastAsia="ja-JP"/>
              </w:rPr>
            </w:pPr>
            <w:r w:rsidRPr="003728B7">
              <w:rPr>
                <w:rFonts w:hint="eastAsia"/>
                <w:b/>
                <w:sz w:val="18"/>
                <w:szCs w:val="18"/>
                <w:lang w:eastAsia="ja-JP"/>
              </w:rPr>
              <w:t>2</w:t>
            </w:r>
          </w:p>
        </w:tc>
      </w:tr>
      <w:tr w:rsidR="000C132D" w:rsidRPr="003728B7" w:rsidTr="003728B7">
        <w:trPr>
          <w:jc w:val="center"/>
        </w:trPr>
        <w:tc>
          <w:tcPr>
            <w:tcW w:w="7890" w:type="dxa"/>
            <w:gridSpan w:val="3"/>
            <w:shd w:val="clear" w:color="auto" w:fill="EAF1DD" w:themeFill="accent3" w:themeFillTint="33"/>
          </w:tcPr>
          <w:p w:rsidR="000C132D" w:rsidRPr="003728B7" w:rsidRDefault="000C132D" w:rsidP="00E231A2">
            <w:pPr>
              <w:rPr>
                <w:sz w:val="18"/>
                <w:szCs w:val="18"/>
                <w:lang w:eastAsia="ja-JP"/>
              </w:rPr>
            </w:pPr>
            <w:r w:rsidRPr="003728B7">
              <w:rPr>
                <w:b/>
                <w:i/>
                <w:sz w:val="18"/>
                <w:szCs w:val="18"/>
                <w:lang w:eastAsia="ja-JP"/>
              </w:rPr>
              <w:t>5.2.1 Coexistence service subscription procedures</w:t>
            </w:r>
          </w:p>
        </w:tc>
      </w:tr>
      <w:tr w:rsidR="00E30160" w:rsidRPr="003728B7" w:rsidTr="003728B7">
        <w:trPr>
          <w:jc w:val="center"/>
        </w:trPr>
        <w:tc>
          <w:tcPr>
            <w:tcW w:w="6378" w:type="dxa"/>
          </w:tcPr>
          <w:p w:rsidR="00E30160" w:rsidRPr="003728B7" w:rsidRDefault="00E30160" w:rsidP="00D26EBD">
            <w:pPr>
              <w:rPr>
                <w:sz w:val="18"/>
                <w:szCs w:val="18"/>
              </w:rPr>
            </w:pPr>
            <w:r w:rsidRPr="003728B7">
              <w:rPr>
                <w:sz w:val="18"/>
                <w:szCs w:val="18"/>
              </w:rPr>
              <w:t>5.2.1.1 WSO subscription procedure</w:t>
            </w:r>
          </w:p>
        </w:tc>
        <w:tc>
          <w:tcPr>
            <w:tcW w:w="709" w:type="dxa"/>
          </w:tcPr>
          <w:p w:rsidR="00E30160" w:rsidRPr="003728B7" w:rsidRDefault="00E30160" w:rsidP="00E231A2">
            <w:pPr>
              <w:rPr>
                <w:sz w:val="18"/>
                <w:szCs w:val="18"/>
                <w:lang w:eastAsia="ja-JP"/>
              </w:rPr>
            </w:pPr>
            <w:r w:rsidRPr="003728B7">
              <w:rPr>
                <w:rFonts w:hint="eastAsia"/>
                <w:sz w:val="18"/>
                <w:szCs w:val="18"/>
                <w:lang w:eastAsia="ja-JP"/>
              </w:rPr>
              <w:t>Yes</w:t>
            </w:r>
          </w:p>
        </w:tc>
        <w:tc>
          <w:tcPr>
            <w:tcW w:w="803" w:type="dxa"/>
          </w:tcPr>
          <w:p w:rsidR="00E30160" w:rsidRPr="003728B7" w:rsidRDefault="00E30160" w:rsidP="00766C29">
            <w:pPr>
              <w:rPr>
                <w:sz w:val="18"/>
                <w:szCs w:val="18"/>
                <w:lang w:eastAsia="ja-JP"/>
              </w:rPr>
            </w:pPr>
            <w:r w:rsidRPr="003728B7">
              <w:rPr>
                <w:rFonts w:hint="eastAsia"/>
                <w:sz w:val="18"/>
                <w:szCs w:val="18"/>
                <w:lang w:eastAsia="ja-JP"/>
              </w:rPr>
              <w:t>Yes</w:t>
            </w:r>
          </w:p>
        </w:tc>
      </w:tr>
      <w:tr w:rsidR="00E30160" w:rsidRPr="003728B7" w:rsidTr="003728B7">
        <w:trPr>
          <w:jc w:val="center"/>
        </w:trPr>
        <w:tc>
          <w:tcPr>
            <w:tcW w:w="6378" w:type="dxa"/>
          </w:tcPr>
          <w:p w:rsidR="00E30160" w:rsidRPr="003728B7" w:rsidRDefault="00E30160" w:rsidP="00D26EBD">
            <w:pPr>
              <w:rPr>
                <w:sz w:val="18"/>
                <w:szCs w:val="18"/>
              </w:rPr>
            </w:pPr>
            <w:r w:rsidRPr="003728B7">
              <w:rPr>
                <w:sz w:val="18"/>
                <w:szCs w:val="18"/>
              </w:rPr>
              <w:t>5.2.1.2 WSO subscription update procedure</w:t>
            </w:r>
          </w:p>
        </w:tc>
        <w:tc>
          <w:tcPr>
            <w:tcW w:w="709" w:type="dxa"/>
          </w:tcPr>
          <w:p w:rsidR="00E30160" w:rsidRPr="003728B7" w:rsidRDefault="00E30160" w:rsidP="00766C29">
            <w:pPr>
              <w:rPr>
                <w:sz w:val="18"/>
                <w:szCs w:val="18"/>
                <w:lang w:eastAsia="ja-JP"/>
              </w:rPr>
            </w:pPr>
            <w:r w:rsidRPr="003728B7">
              <w:rPr>
                <w:rFonts w:hint="eastAsia"/>
                <w:sz w:val="18"/>
                <w:szCs w:val="18"/>
                <w:lang w:eastAsia="ja-JP"/>
              </w:rPr>
              <w:t>Yes</w:t>
            </w:r>
          </w:p>
        </w:tc>
        <w:tc>
          <w:tcPr>
            <w:tcW w:w="803" w:type="dxa"/>
          </w:tcPr>
          <w:p w:rsidR="00E30160" w:rsidRPr="003728B7" w:rsidRDefault="00E30160" w:rsidP="00766C29">
            <w:pPr>
              <w:rPr>
                <w:sz w:val="18"/>
                <w:szCs w:val="18"/>
                <w:lang w:eastAsia="ja-JP"/>
              </w:rPr>
            </w:pPr>
            <w:r w:rsidRPr="003728B7">
              <w:rPr>
                <w:rFonts w:hint="eastAsia"/>
                <w:sz w:val="18"/>
                <w:szCs w:val="18"/>
                <w:lang w:eastAsia="ja-JP"/>
              </w:rPr>
              <w:t>Yes</w:t>
            </w:r>
          </w:p>
        </w:tc>
      </w:tr>
      <w:tr w:rsidR="00E30160" w:rsidRPr="003728B7" w:rsidTr="003728B7">
        <w:trPr>
          <w:jc w:val="center"/>
        </w:trPr>
        <w:tc>
          <w:tcPr>
            <w:tcW w:w="6378" w:type="dxa"/>
          </w:tcPr>
          <w:p w:rsidR="00E30160" w:rsidRPr="003728B7" w:rsidRDefault="00E30160" w:rsidP="00D26EBD">
            <w:pPr>
              <w:rPr>
                <w:sz w:val="18"/>
                <w:szCs w:val="18"/>
              </w:rPr>
            </w:pPr>
            <w:r w:rsidRPr="003728B7">
              <w:rPr>
                <w:sz w:val="18"/>
                <w:szCs w:val="18"/>
              </w:rPr>
              <w:t>5.2.1.3 CM subscription procedure</w:t>
            </w:r>
          </w:p>
        </w:tc>
        <w:tc>
          <w:tcPr>
            <w:tcW w:w="709" w:type="dxa"/>
          </w:tcPr>
          <w:p w:rsidR="00E30160" w:rsidRPr="003728B7" w:rsidRDefault="00E30160" w:rsidP="00766C29">
            <w:pPr>
              <w:rPr>
                <w:sz w:val="18"/>
                <w:szCs w:val="18"/>
                <w:lang w:eastAsia="ja-JP"/>
              </w:rPr>
            </w:pPr>
            <w:r w:rsidRPr="003728B7">
              <w:rPr>
                <w:rFonts w:hint="eastAsia"/>
                <w:sz w:val="18"/>
                <w:szCs w:val="18"/>
                <w:lang w:eastAsia="ja-JP"/>
              </w:rPr>
              <w:t>Yes</w:t>
            </w:r>
          </w:p>
        </w:tc>
        <w:tc>
          <w:tcPr>
            <w:tcW w:w="803" w:type="dxa"/>
          </w:tcPr>
          <w:p w:rsidR="00E30160" w:rsidRPr="003728B7" w:rsidRDefault="00E30160" w:rsidP="00E231A2">
            <w:pPr>
              <w:rPr>
                <w:sz w:val="18"/>
                <w:szCs w:val="18"/>
                <w:lang w:eastAsia="ja-JP"/>
              </w:rPr>
            </w:pPr>
          </w:p>
        </w:tc>
      </w:tr>
      <w:tr w:rsidR="00E30160" w:rsidRPr="003728B7" w:rsidTr="003728B7">
        <w:trPr>
          <w:jc w:val="center"/>
        </w:trPr>
        <w:tc>
          <w:tcPr>
            <w:tcW w:w="6378" w:type="dxa"/>
          </w:tcPr>
          <w:p w:rsidR="00E30160" w:rsidRPr="003728B7" w:rsidRDefault="00E30160" w:rsidP="00D26EBD">
            <w:pPr>
              <w:rPr>
                <w:sz w:val="18"/>
                <w:szCs w:val="18"/>
              </w:rPr>
            </w:pPr>
            <w:r w:rsidRPr="003728B7">
              <w:rPr>
                <w:sz w:val="18"/>
                <w:szCs w:val="18"/>
              </w:rPr>
              <w:t>5.2.1.4 CM subscription update procedure</w:t>
            </w:r>
          </w:p>
        </w:tc>
        <w:tc>
          <w:tcPr>
            <w:tcW w:w="709" w:type="dxa"/>
          </w:tcPr>
          <w:p w:rsidR="00E30160" w:rsidRPr="003728B7" w:rsidRDefault="00E30160" w:rsidP="00766C29">
            <w:pPr>
              <w:rPr>
                <w:sz w:val="18"/>
                <w:szCs w:val="18"/>
                <w:lang w:eastAsia="ja-JP"/>
              </w:rPr>
            </w:pPr>
            <w:r w:rsidRPr="003728B7">
              <w:rPr>
                <w:rFonts w:hint="eastAsia"/>
                <w:sz w:val="18"/>
                <w:szCs w:val="18"/>
                <w:lang w:eastAsia="ja-JP"/>
              </w:rPr>
              <w:t>Yes</w:t>
            </w:r>
          </w:p>
        </w:tc>
        <w:tc>
          <w:tcPr>
            <w:tcW w:w="803" w:type="dxa"/>
          </w:tcPr>
          <w:p w:rsidR="00E30160" w:rsidRPr="003728B7" w:rsidRDefault="00E30160" w:rsidP="00E231A2">
            <w:pPr>
              <w:rPr>
                <w:sz w:val="18"/>
                <w:szCs w:val="18"/>
                <w:lang w:eastAsia="ja-JP"/>
              </w:rPr>
            </w:pPr>
          </w:p>
        </w:tc>
      </w:tr>
      <w:tr w:rsidR="00E30160" w:rsidRPr="003728B7" w:rsidTr="003728B7">
        <w:trPr>
          <w:jc w:val="center"/>
        </w:trPr>
        <w:tc>
          <w:tcPr>
            <w:tcW w:w="6378" w:type="dxa"/>
            <w:tcBorders>
              <w:bottom w:val="single" w:sz="4" w:space="0" w:color="000000"/>
            </w:tcBorders>
          </w:tcPr>
          <w:p w:rsidR="00E30160" w:rsidRPr="003728B7" w:rsidRDefault="00E30160" w:rsidP="00D26EBD">
            <w:pPr>
              <w:rPr>
                <w:sz w:val="18"/>
                <w:szCs w:val="18"/>
              </w:rPr>
            </w:pPr>
            <w:r w:rsidRPr="003728B7">
              <w:rPr>
                <w:sz w:val="18"/>
                <w:szCs w:val="18"/>
              </w:rPr>
              <w:t>5.2.1.5 WSO subscription change procedure</w:t>
            </w:r>
          </w:p>
        </w:tc>
        <w:tc>
          <w:tcPr>
            <w:tcW w:w="709" w:type="dxa"/>
            <w:tcBorders>
              <w:bottom w:val="single" w:sz="4" w:space="0" w:color="000000"/>
            </w:tcBorders>
          </w:tcPr>
          <w:p w:rsidR="00E30160" w:rsidRPr="003728B7" w:rsidRDefault="00E30160" w:rsidP="00766C29">
            <w:pPr>
              <w:rPr>
                <w:sz w:val="18"/>
                <w:szCs w:val="18"/>
                <w:lang w:eastAsia="ja-JP"/>
              </w:rPr>
            </w:pPr>
            <w:r w:rsidRPr="003728B7">
              <w:rPr>
                <w:rFonts w:hint="eastAsia"/>
                <w:sz w:val="18"/>
                <w:szCs w:val="18"/>
                <w:lang w:eastAsia="ja-JP"/>
              </w:rPr>
              <w:t>Yes</w:t>
            </w:r>
          </w:p>
        </w:tc>
        <w:tc>
          <w:tcPr>
            <w:tcW w:w="803" w:type="dxa"/>
            <w:tcBorders>
              <w:bottom w:val="single" w:sz="4" w:space="0" w:color="000000"/>
            </w:tcBorders>
          </w:tcPr>
          <w:p w:rsidR="00E30160" w:rsidRPr="003728B7" w:rsidRDefault="00E30160" w:rsidP="00E231A2">
            <w:pPr>
              <w:rPr>
                <w:sz w:val="18"/>
                <w:szCs w:val="18"/>
                <w:lang w:eastAsia="ja-JP"/>
              </w:rPr>
            </w:pPr>
          </w:p>
        </w:tc>
      </w:tr>
      <w:tr w:rsidR="00A268B5" w:rsidRPr="003728B7" w:rsidTr="003728B7">
        <w:trPr>
          <w:jc w:val="center"/>
        </w:trPr>
        <w:tc>
          <w:tcPr>
            <w:tcW w:w="7890" w:type="dxa"/>
            <w:gridSpan w:val="3"/>
            <w:shd w:val="clear" w:color="auto" w:fill="EAF1DD" w:themeFill="accent3" w:themeFillTint="33"/>
          </w:tcPr>
          <w:p w:rsidR="00A268B5" w:rsidRPr="003728B7" w:rsidRDefault="00A268B5" w:rsidP="00E231A2">
            <w:pPr>
              <w:rPr>
                <w:b/>
                <w:i/>
                <w:sz w:val="18"/>
                <w:szCs w:val="18"/>
                <w:lang w:eastAsia="ja-JP"/>
              </w:rPr>
            </w:pPr>
            <w:r w:rsidRPr="003728B7">
              <w:rPr>
                <w:b/>
                <w:i/>
                <w:sz w:val="18"/>
                <w:szCs w:val="18"/>
                <w:lang w:eastAsia="ja-JP"/>
              </w:rPr>
              <w:t>5.2.2 Providing registration information procedures</w:t>
            </w:r>
          </w:p>
        </w:tc>
      </w:tr>
      <w:tr w:rsidR="00E30160" w:rsidRPr="003728B7" w:rsidTr="003728B7">
        <w:trPr>
          <w:jc w:val="center"/>
        </w:trPr>
        <w:tc>
          <w:tcPr>
            <w:tcW w:w="6378" w:type="dxa"/>
          </w:tcPr>
          <w:p w:rsidR="00E30160" w:rsidRPr="003728B7" w:rsidRDefault="00E30160" w:rsidP="00E45036">
            <w:pPr>
              <w:rPr>
                <w:sz w:val="18"/>
                <w:szCs w:val="18"/>
              </w:rPr>
            </w:pPr>
            <w:r w:rsidRPr="003728B7">
              <w:rPr>
                <w:sz w:val="18"/>
                <w:szCs w:val="18"/>
              </w:rPr>
              <w:t>5.2.2.1 WSO registration procedure</w:t>
            </w:r>
          </w:p>
        </w:tc>
        <w:tc>
          <w:tcPr>
            <w:tcW w:w="709" w:type="dxa"/>
          </w:tcPr>
          <w:p w:rsidR="00E30160" w:rsidRPr="003728B7" w:rsidRDefault="00E30160" w:rsidP="00F2295D">
            <w:pPr>
              <w:rPr>
                <w:sz w:val="18"/>
                <w:szCs w:val="18"/>
                <w:lang w:eastAsia="ja-JP"/>
              </w:rPr>
            </w:pPr>
            <w:r w:rsidRPr="003728B7">
              <w:rPr>
                <w:sz w:val="18"/>
                <w:szCs w:val="18"/>
                <w:lang w:eastAsia="ja-JP"/>
              </w:rPr>
              <w:t>Yes</w:t>
            </w:r>
          </w:p>
        </w:tc>
        <w:tc>
          <w:tcPr>
            <w:tcW w:w="803" w:type="dxa"/>
          </w:tcPr>
          <w:p w:rsidR="00E30160" w:rsidRPr="003728B7" w:rsidRDefault="00E30160" w:rsidP="00F2295D">
            <w:pPr>
              <w:rPr>
                <w:sz w:val="18"/>
                <w:szCs w:val="18"/>
                <w:lang w:eastAsia="ja-JP"/>
              </w:rPr>
            </w:pPr>
            <w:r w:rsidRPr="003728B7">
              <w:rPr>
                <w:sz w:val="18"/>
                <w:szCs w:val="18"/>
                <w:lang w:eastAsia="ja-JP"/>
              </w:rPr>
              <w:t>Yes</w:t>
            </w:r>
          </w:p>
        </w:tc>
      </w:tr>
      <w:tr w:rsidR="00E30160" w:rsidRPr="003728B7" w:rsidTr="003728B7">
        <w:trPr>
          <w:jc w:val="center"/>
        </w:trPr>
        <w:tc>
          <w:tcPr>
            <w:tcW w:w="6378" w:type="dxa"/>
          </w:tcPr>
          <w:p w:rsidR="00E30160" w:rsidRPr="003728B7" w:rsidRDefault="00E30160" w:rsidP="00E45036">
            <w:pPr>
              <w:rPr>
                <w:sz w:val="18"/>
                <w:szCs w:val="18"/>
              </w:rPr>
            </w:pPr>
            <w:r w:rsidRPr="003728B7">
              <w:rPr>
                <w:sz w:val="18"/>
                <w:szCs w:val="18"/>
              </w:rPr>
              <w:t>5.2.2.2 WSO registration update procedure</w:t>
            </w:r>
          </w:p>
        </w:tc>
        <w:tc>
          <w:tcPr>
            <w:tcW w:w="709" w:type="dxa"/>
          </w:tcPr>
          <w:p w:rsidR="00E30160" w:rsidRPr="003728B7" w:rsidRDefault="00E30160" w:rsidP="00F2295D">
            <w:pPr>
              <w:rPr>
                <w:sz w:val="18"/>
                <w:szCs w:val="18"/>
                <w:lang w:eastAsia="ja-JP"/>
              </w:rPr>
            </w:pPr>
            <w:r w:rsidRPr="003728B7">
              <w:rPr>
                <w:sz w:val="18"/>
                <w:szCs w:val="18"/>
                <w:lang w:eastAsia="ja-JP"/>
              </w:rPr>
              <w:t>Yes</w:t>
            </w:r>
          </w:p>
        </w:tc>
        <w:tc>
          <w:tcPr>
            <w:tcW w:w="803" w:type="dxa"/>
          </w:tcPr>
          <w:p w:rsidR="00E30160" w:rsidRPr="003728B7" w:rsidRDefault="00E30160" w:rsidP="00F2295D">
            <w:pPr>
              <w:rPr>
                <w:sz w:val="18"/>
                <w:szCs w:val="18"/>
                <w:lang w:eastAsia="ja-JP"/>
              </w:rPr>
            </w:pPr>
            <w:r w:rsidRPr="003728B7">
              <w:rPr>
                <w:sz w:val="18"/>
                <w:szCs w:val="18"/>
                <w:lang w:eastAsia="ja-JP"/>
              </w:rPr>
              <w:t>Yes</w:t>
            </w:r>
          </w:p>
        </w:tc>
      </w:tr>
      <w:tr w:rsidR="00E30160" w:rsidRPr="003728B7" w:rsidTr="003728B7">
        <w:trPr>
          <w:jc w:val="center"/>
        </w:trPr>
        <w:tc>
          <w:tcPr>
            <w:tcW w:w="6378" w:type="dxa"/>
            <w:tcBorders>
              <w:bottom w:val="single" w:sz="4" w:space="0" w:color="000000"/>
            </w:tcBorders>
          </w:tcPr>
          <w:p w:rsidR="00E30160" w:rsidRPr="003728B7" w:rsidRDefault="00E30160" w:rsidP="00E45036">
            <w:pPr>
              <w:rPr>
                <w:sz w:val="18"/>
                <w:szCs w:val="18"/>
              </w:rPr>
            </w:pPr>
            <w:r w:rsidRPr="003728B7">
              <w:rPr>
                <w:sz w:val="18"/>
                <w:szCs w:val="18"/>
              </w:rPr>
              <w:t>5.2.2.3 WSO deregistration procedure</w:t>
            </w:r>
          </w:p>
        </w:tc>
        <w:tc>
          <w:tcPr>
            <w:tcW w:w="709" w:type="dxa"/>
            <w:tcBorders>
              <w:bottom w:val="single" w:sz="4" w:space="0" w:color="000000"/>
            </w:tcBorders>
          </w:tcPr>
          <w:p w:rsidR="00E30160" w:rsidRPr="003728B7" w:rsidRDefault="00E30160" w:rsidP="00F2295D">
            <w:pPr>
              <w:rPr>
                <w:sz w:val="18"/>
                <w:szCs w:val="18"/>
                <w:lang w:eastAsia="ja-JP"/>
              </w:rPr>
            </w:pPr>
            <w:r w:rsidRPr="003728B7">
              <w:rPr>
                <w:sz w:val="18"/>
                <w:szCs w:val="18"/>
                <w:lang w:eastAsia="ja-JP"/>
              </w:rPr>
              <w:t>Yes</w:t>
            </w:r>
          </w:p>
        </w:tc>
        <w:tc>
          <w:tcPr>
            <w:tcW w:w="803" w:type="dxa"/>
            <w:tcBorders>
              <w:bottom w:val="single" w:sz="4" w:space="0" w:color="000000"/>
            </w:tcBorders>
          </w:tcPr>
          <w:p w:rsidR="00E30160" w:rsidRPr="003728B7" w:rsidRDefault="00E30160" w:rsidP="00F2295D">
            <w:pPr>
              <w:rPr>
                <w:sz w:val="18"/>
                <w:szCs w:val="18"/>
                <w:lang w:eastAsia="ja-JP"/>
              </w:rPr>
            </w:pPr>
          </w:p>
        </w:tc>
      </w:tr>
      <w:tr w:rsidR="00E30160" w:rsidRPr="003728B7" w:rsidTr="003728B7">
        <w:trPr>
          <w:jc w:val="center"/>
        </w:trPr>
        <w:tc>
          <w:tcPr>
            <w:tcW w:w="7890" w:type="dxa"/>
            <w:gridSpan w:val="3"/>
            <w:shd w:val="clear" w:color="auto" w:fill="EAF1DD" w:themeFill="accent3" w:themeFillTint="33"/>
          </w:tcPr>
          <w:p w:rsidR="00E30160" w:rsidRPr="003728B7" w:rsidRDefault="00E30160" w:rsidP="00E231A2">
            <w:pPr>
              <w:rPr>
                <w:b/>
                <w:i/>
                <w:sz w:val="18"/>
                <w:szCs w:val="18"/>
                <w:lang w:eastAsia="ja-JP"/>
              </w:rPr>
            </w:pPr>
            <w:r w:rsidRPr="003728B7">
              <w:rPr>
                <w:b/>
                <w:i/>
                <w:sz w:val="18"/>
                <w:szCs w:val="18"/>
                <w:lang w:eastAsia="ja-JP"/>
              </w:rPr>
              <w:t>5.2.3 Obtaining coexistence set information procedures</w:t>
            </w:r>
          </w:p>
        </w:tc>
      </w:tr>
      <w:tr w:rsidR="00E30160" w:rsidRPr="003728B7" w:rsidTr="003728B7">
        <w:trPr>
          <w:jc w:val="center"/>
        </w:trPr>
        <w:tc>
          <w:tcPr>
            <w:tcW w:w="6378" w:type="dxa"/>
          </w:tcPr>
          <w:p w:rsidR="00E30160" w:rsidRPr="003728B7" w:rsidRDefault="00E30160" w:rsidP="0034097D">
            <w:pPr>
              <w:rPr>
                <w:sz w:val="18"/>
                <w:szCs w:val="18"/>
              </w:rPr>
            </w:pPr>
            <w:r w:rsidRPr="003728B7">
              <w:rPr>
                <w:sz w:val="18"/>
                <w:szCs w:val="18"/>
              </w:rPr>
              <w:t>5.2.3.1 Obtaining coexistence set information</w:t>
            </w:r>
          </w:p>
        </w:tc>
        <w:tc>
          <w:tcPr>
            <w:tcW w:w="709" w:type="dxa"/>
          </w:tcPr>
          <w:p w:rsidR="00E30160" w:rsidRPr="003728B7" w:rsidRDefault="00E30160" w:rsidP="0034097D">
            <w:pPr>
              <w:rPr>
                <w:sz w:val="18"/>
                <w:szCs w:val="18"/>
              </w:rPr>
            </w:pPr>
            <w:r w:rsidRPr="003728B7">
              <w:rPr>
                <w:sz w:val="18"/>
                <w:szCs w:val="18"/>
              </w:rPr>
              <w:t>Yes</w:t>
            </w:r>
          </w:p>
        </w:tc>
        <w:tc>
          <w:tcPr>
            <w:tcW w:w="803" w:type="dxa"/>
          </w:tcPr>
          <w:p w:rsidR="00E30160" w:rsidRPr="003728B7" w:rsidRDefault="00E30160" w:rsidP="0034097D">
            <w:pPr>
              <w:rPr>
                <w:sz w:val="18"/>
                <w:szCs w:val="18"/>
              </w:rPr>
            </w:pPr>
          </w:p>
        </w:tc>
      </w:tr>
      <w:tr w:rsidR="00E30160" w:rsidRPr="003728B7" w:rsidTr="003728B7">
        <w:trPr>
          <w:jc w:val="center"/>
        </w:trPr>
        <w:tc>
          <w:tcPr>
            <w:tcW w:w="6378" w:type="dxa"/>
          </w:tcPr>
          <w:p w:rsidR="00E30160" w:rsidRPr="003728B7" w:rsidRDefault="00E30160" w:rsidP="0034097D">
            <w:pPr>
              <w:rPr>
                <w:sz w:val="18"/>
                <w:szCs w:val="18"/>
              </w:rPr>
            </w:pPr>
            <w:r w:rsidRPr="003728B7">
              <w:rPr>
                <w:sz w:val="18"/>
                <w:szCs w:val="18"/>
              </w:rPr>
              <w:t>5.2.3.2 Providing coexistence set information</w:t>
            </w:r>
          </w:p>
        </w:tc>
        <w:tc>
          <w:tcPr>
            <w:tcW w:w="709" w:type="dxa"/>
          </w:tcPr>
          <w:p w:rsidR="00E30160" w:rsidRPr="003728B7" w:rsidRDefault="00E30160" w:rsidP="0034097D">
            <w:pPr>
              <w:rPr>
                <w:sz w:val="18"/>
                <w:szCs w:val="18"/>
              </w:rPr>
            </w:pPr>
          </w:p>
        </w:tc>
        <w:tc>
          <w:tcPr>
            <w:tcW w:w="803" w:type="dxa"/>
          </w:tcPr>
          <w:p w:rsidR="00E30160" w:rsidRPr="003728B7" w:rsidRDefault="00E30160" w:rsidP="0034097D">
            <w:pPr>
              <w:rPr>
                <w:sz w:val="18"/>
                <w:szCs w:val="18"/>
              </w:rPr>
            </w:pPr>
            <w:r w:rsidRPr="003728B7">
              <w:rPr>
                <w:sz w:val="18"/>
                <w:szCs w:val="18"/>
              </w:rPr>
              <w:t>Yes</w:t>
            </w:r>
          </w:p>
        </w:tc>
      </w:tr>
      <w:tr w:rsidR="00E30160" w:rsidRPr="003728B7" w:rsidTr="003728B7">
        <w:trPr>
          <w:jc w:val="center"/>
        </w:trPr>
        <w:tc>
          <w:tcPr>
            <w:tcW w:w="6378" w:type="dxa"/>
          </w:tcPr>
          <w:p w:rsidR="00E30160" w:rsidRPr="003728B7" w:rsidRDefault="00E30160" w:rsidP="0034097D">
            <w:pPr>
              <w:rPr>
                <w:sz w:val="18"/>
                <w:szCs w:val="18"/>
              </w:rPr>
            </w:pPr>
            <w:r w:rsidRPr="003728B7">
              <w:rPr>
                <w:sz w:val="18"/>
                <w:szCs w:val="18"/>
              </w:rPr>
              <w:t>5.2.3.3 Obtaining coexistence set element information</w:t>
            </w:r>
          </w:p>
        </w:tc>
        <w:tc>
          <w:tcPr>
            <w:tcW w:w="709" w:type="dxa"/>
          </w:tcPr>
          <w:p w:rsidR="00E30160" w:rsidRPr="003728B7" w:rsidRDefault="00E30160" w:rsidP="0034097D">
            <w:pPr>
              <w:rPr>
                <w:sz w:val="18"/>
                <w:szCs w:val="18"/>
              </w:rPr>
            </w:pPr>
          </w:p>
        </w:tc>
        <w:tc>
          <w:tcPr>
            <w:tcW w:w="803" w:type="dxa"/>
          </w:tcPr>
          <w:p w:rsidR="00E30160" w:rsidRPr="003728B7" w:rsidRDefault="00E30160" w:rsidP="0034097D">
            <w:pPr>
              <w:rPr>
                <w:sz w:val="18"/>
                <w:szCs w:val="18"/>
              </w:rPr>
            </w:pPr>
            <w:r w:rsidRPr="003728B7">
              <w:rPr>
                <w:sz w:val="18"/>
                <w:szCs w:val="18"/>
              </w:rPr>
              <w:t>Yes</w:t>
            </w:r>
          </w:p>
        </w:tc>
      </w:tr>
      <w:tr w:rsidR="00E30160" w:rsidRPr="003728B7" w:rsidTr="003728B7">
        <w:trPr>
          <w:jc w:val="center"/>
        </w:trPr>
        <w:tc>
          <w:tcPr>
            <w:tcW w:w="6378" w:type="dxa"/>
          </w:tcPr>
          <w:p w:rsidR="00E30160" w:rsidRPr="003728B7" w:rsidRDefault="00E30160" w:rsidP="0034097D">
            <w:pPr>
              <w:rPr>
                <w:sz w:val="18"/>
                <w:szCs w:val="18"/>
              </w:rPr>
            </w:pPr>
            <w:r w:rsidRPr="003728B7">
              <w:rPr>
                <w:sz w:val="18"/>
                <w:szCs w:val="18"/>
              </w:rPr>
              <w:t>5.2.3.4 Providing coexistence set element information procedure</w:t>
            </w:r>
          </w:p>
        </w:tc>
        <w:tc>
          <w:tcPr>
            <w:tcW w:w="709" w:type="dxa"/>
          </w:tcPr>
          <w:p w:rsidR="00E30160" w:rsidRPr="003728B7" w:rsidRDefault="00E30160" w:rsidP="0034097D">
            <w:pPr>
              <w:rPr>
                <w:sz w:val="18"/>
                <w:szCs w:val="18"/>
              </w:rPr>
            </w:pPr>
          </w:p>
        </w:tc>
        <w:tc>
          <w:tcPr>
            <w:tcW w:w="803" w:type="dxa"/>
          </w:tcPr>
          <w:p w:rsidR="00E30160" w:rsidRPr="003728B7" w:rsidRDefault="00E30160" w:rsidP="0034097D">
            <w:pPr>
              <w:rPr>
                <w:sz w:val="18"/>
                <w:szCs w:val="18"/>
              </w:rPr>
            </w:pPr>
            <w:r w:rsidRPr="003728B7">
              <w:rPr>
                <w:sz w:val="18"/>
                <w:szCs w:val="18"/>
              </w:rPr>
              <w:t>Yes</w:t>
            </w:r>
          </w:p>
        </w:tc>
      </w:tr>
      <w:tr w:rsidR="00E30160" w:rsidRPr="003728B7" w:rsidTr="003728B7">
        <w:trPr>
          <w:jc w:val="center"/>
        </w:trPr>
        <w:tc>
          <w:tcPr>
            <w:tcW w:w="6378" w:type="dxa"/>
          </w:tcPr>
          <w:p w:rsidR="00E30160" w:rsidRPr="003728B7" w:rsidRDefault="00E30160" w:rsidP="0034097D">
            <w:pPr>
              <w:rPr>
                <w:sz w:val="18"/>
                <w:szCs w:val="18"/>
              </w:rPr>
            </w:pPr>
            <w:r w:rsidRPr="003728B7">
              <w:rPr>
                <w:sz w:val="18"/>
                <w:szCs w:val="18"/>
              </w:rPr>
              <w:t>5.2.3.5 Obtaining coexistence report</w:t>
            </w:r>
          </w:p>
        </w:tc>
        <w:tc>
          <w:tcPr>
            <w:tcW w:w="709" w:type="dxa"/>
          </w:tcPr>
          <w:p w:rsidR="00E30160" w:rsidRPr="003728B7" w:rsidRDefault="00E30160" w:rsidP="0034097D">
            <w:pPr>
              <w:rPr>
                <w:sz w:val="18"/>
                <w:szCs w:val="18"/>
              </w:rPr>
            </w:pPr>
            <w:r w:rsidRPr="003728B7">
              <w:rPr>
                <w:sz w:val="18"/>
                <w:szCs w:val="18"/>
              </w:rPr>
              <w:t>Yes</w:t>
            </w:r>
          </w:p>
        </w:tc>
        <w:tc>
          <w:tcPr>
            <w:tcW w:w="803" w:type="dxa"/>
          </w:tcPr>
          <w:p w:rsidR="00E30160" w:rsidRPr="003728B7" w:rsidRDefault="00E30160" w:rsidP="0034097D">
            <w:pPr>
              <w:rPr>
                <w:sz w:val="18"/>
                <w:szCs w:val="18"/>
              </w:rPr>
            </w:pPr>
          </w:p>
        </w:tc>
      </w:tr>
      <w:tr w:rsidR="00E30160" w:rsidRPr="003728B7" w:rsidTr="003728B7">
        <w:trPr>
          <w:jc w:val="center"/>
        </w:trPr>
        <w:tc>
          <w:tcPr>
            <w:tcW w:w="6378" w:type="dxa"/>
            <w:tcBorders>
              <w:bottom w:val="single" w:sz="4" w:space="0" w:color="000000"/>
            </w:tcBorders>
          </w:tcPr>
          <w:p w:rsidR="00E30160" w:rsidRPr="003728B7" w:rsidRDefault="00E30160" w:rsidP="0034097D">
            <w:pPr>
              <w:rPr>
                <w:sz w:val="18"/>
                <w:szCs w:val="18"/>
              </w:rPr>
            </w:pPr>
            <w:r w:rsidRPr="003728B7">
              <w:rPr>
                <w:sz w:val="18"/>
                <w:szCs w:val="18"/>
              </w:rPr>
              <w:t>5.2.3.6 Providing coexistence report</w:t>
            </w:r>
          </w:p>
        </w:tc>
        <w:tc>
          <w:tcPr>
            <w:tcW w:w="709" w:type="dxa"/>
            <w:tcBorders>
              <w:bottom w:val="single" w:sz="4" w:space="0" w:color="000000"/>
            </w:tcBorders>
          </w:tcPr>
          <w:p w:rsidR="00E30160" w:rsidRPr="003728B7" w:rsidRDefault="00E30160" w:rsidP="0034097D">
            <w:pPr>
              <w:rPr>
                <w:sz w:val="18"/>
                <w:szCs w:val="18"/>
              </w:rPr>
            </w:pPr>
          </w:p>
        </w:tc>
        <w:tc>
          <w:tcPr>
            <w:tcW w:w="803" w:type="dxa"/>
            <w:tcBorders>
              <w:bottom w:val="single" w:sz="4" w:space="0" w:color="000000"/>
            </w:tcBorders>
          </w:tcPr>
          <w:p w:rsidR="00E30160" w:rsidRPr="003728B7" w:rsidRDefault="00E30160" w:rsidP="0034097D">
            <w:pPr>
              <w:rPr>
                <w:sz w:val="18"/>
                <w:szCs w:val="18"/>
              </w:rPr>
            </w:pPr>
            <w:r w:rsidRPr="003728B7">
              <w:rPr>
                <w:sz w:val="18"/>
                <w:szCs w:val="18"/>
              </w:rPr>
              <w:t>Yes</w:t>
            </w:r>
          </w:p>
        </w:tc>
      </w:tr>
      <w:tr w:rsidR="00E30160" w:rsidRPr="003728B7" w:rsidTr="003728B7">
        <w:trPr>
          <w:jc w:val="center"/>
        </w:trPr>
        <w:tc>
          <w:tcPr>
            <w:tcW w:w="7890" w:type="dxa"/>
            <w:gridSpan w:val="3"/>
            <w:shd w:val="clear" w:color="auto" w:fill="EAF1DD" w:themeFill="accent3" w:themeFillTint="33"/>
          </w:tcPr>
          <w:p w:rsidR="00E30160" w:rsidRPr="003728B7" w:rsidRDefault="00E30160" w:rsidP="00E231A2">
            <w:pPr>
              <w:rPr>
                <w:b/>
                <w:i/>
                <w:sz w:val="18"/>
                <w:szCs w:val="18"/>
                <w:lang w:eastAsia="ja-JP"/>
              </w:rPr>
            </w:pPr>
            <w:r w:rsidRPr="003728B7">
              <w:rPr>
                <w:b/>
                <w:i/>
                <w:sz w:val="18"/>
                <w:szCs w:val="18"/>
                <w:lang w:eastAsia="ja-JP"/>
              </w:rPr>
              <w:t>5.2.4 Obtaining available channel list procedures</w:t>
            </w:r>
          </w:p>
        </w:tc>
      </w:tr>
      <w:tr w:rsidR="00E30160" w:rsidRPr="003728B7" w:rsidTr="003728B7">
        <w:trPr>
          <w:jc w:val="center"/>
        </w:trPr>
        <w:tc>
          <w:tcPr>
            <w:tcW w:w="6378" w:type="dxa"/>
            <w:tcBorders>
              <w:bottom w:val="single" w:sz="4" w:space="0" w:color="000000"/>
            </w:tcBorders>
          </w:tcPr>
          <w:p w:rsidR="00E30160" w:rsidRPr="003728B7" w:rsidRDefault="00E30160" w:rsidP="00377183">
            <w:pPr>
              <w:rPr>
                <w:sz w:val="18"/>
                <w:szCs w:val="18"/>
              </w:rPr>
            </w:pPr>
            <w:r w:rsidRPr="003728B7">
              <w:rPr>
                <w:sz w:val="18"/>
                <w:szCs w:val="18"/>
              </w:rPr>
              <w:t>5.2.4.1 Obtaining available channel list from WSO procedure</w:t>
            </w:r>
          </w:p>
        </w:tc>
        <w:tc>
          <w:tcPr>
            <w:tcW w:w="709" w:type="dxa"/>
            <w:tcBorders>
              <w:bottom w:val="single" w:sz="4" w:space="0" w:color="000000"/>
            </w:tcBorders>
          </w:tcPr>
          <w:p w:rsidR="00E30160" w:rsidRPr="003728B7" w:rsidRDefault="00E30160" w:rsidP="00377183">
            <w:pPr>
              <w:rPr>
                <w:sz w:val="18"/>
                <w:szCs w:val="18"/>
              </w:rPr>
            </w:pPr>
            <w:r w:rsidRPr="003728B7">
              <w:rPr>
                <w:sz w:val="18"/>
                <w:szCs w:val="18"/>
              </w:rPr>
              <w:t>Yes</w:t>
            </w:r>
          </w:p>
        </w:tc>
        <w:tc>
          <w:tcPr>
            <w:tcW w:w="803" w:type="dxa"/>
            <w:tcBorders>
              <w:bottom w:val="single" w:sz="4" w:space="0" w:color="000000"/>
            </w:tcBorders>
          </w:tcPr>
          <w:p w:rsidR="00E30160" w:rsidRPr="003728B7" w:rsidRDefault="00E30160" w:rsidP="00377183">
            <w:pPr>
              <w:rPr>
                <w:sz w:val="18"/>
                <w:szCs w:val="18"/>
              </w:rPr>
            </w:pPr>
          </w:p>
        </w:tc>
      </w:tr>
      <w:tr w:rsidR="00E30160" w:rsidRPr="003728B7" w:rsidTr="003728B7">
        <w:trPr>
          <w:jc w:val="center"/>
        </w:trPr>
        <w:tc>
          <w:tcPr>
            <w:tcW w:w="6378" w:type="dxa"/>
            <w:shd w:val="clear" w:color="auto" w:fill="FF0000"/>
          </w:tcPr>
          <w:p w:rsidR="00E30160" w:rsidRPr="003728B7" w:rsidRDefault="00E30160" w:rsidP="00377183">
            <w:pPr>
              <w:rPr>
                <w:sz w:val="18"/>
                <w:szCs w:val="18"/>
              </w:rPr>
            </w:pPr>
            <w:r w:rsidRPr="003728B7">
              <w:rPr>
                <w:sz w:val="18"/>
                <w:szCs w:val="18"/>
              </w:rPr>
              <w:t>5.2.4.2 Announcing available channel list change by WSO procedure</w:t>
            </w:r>
          </w:p>
        </w:tc>
        <w:tc>
          <w:tcPr>
            <w:tcW w:w="709" w:type="dxa"/>
            <w:shd w:val="clear" w:color="auto" w:fill="FF0000"/>
          </w:tcPr>
          <w:p w:rsidR="00E30160" w:rsidRPr="003728B7" w:rsidRDefault="00E30160" w:rsidP="00377183">
            <w:pPr>
              <w:rPr>
                <w:sz w:val="18"/>
                <w:szCs w:val="18"/>
              </w:rPr>
            </w:pPr>
          </w:p>
        </w:tc>
        <w:tc>
          <w:tcPr>
            <w:tcW w:w="803" w:type="dxa"/>
            <w:shd w:val="clear" w:color="auto" w:fill="FF0000"/>
          </w:tcPr>
          <w:p w:rsidR="00E30160" w:rsidRPr="003728B7" w:rsidRDefault="00E30160" w:rsidP="00377183">
            <w:pPr>
              <w:rPr>
                <w:sz w:val="18"/>
                <w:szCs w:val="18"/>
              </w:rPr>
            </w:pPr>
          </w:p>
        </w:tc>
      </w:tr>
      <w:tr w:rsidR="00E30160" w:rsidRPr="003728B7" w:rsidTr="003728B7">
        <w:trPr>
          <w:jc w:val="center"/>
        </w:trPr>
        <w:tc>
          <w:tcPr>
            <w:tcW w:w="6378" w:type="dxa"/>
            <w:shd w:val="clear" w:color="auto" w:fill="FF0000"/>
          </w:tcPr>
          <w:p w:rsidR="00E30160" w:rsidRPr="003728B7" w:rsidRDefault="00E30160" w:rsidP="00377183">
            <w:pPr>
              <w:rPr>
                <w:sz w:val="18"/>
                <w:szCs w:val="18"/>
              </w:rPr>
            </w:pPr>
            <w:r w:rsidRPr="003728B7">
              <w:rPr>
                <w:sz w:val="18"/>
                <w:szCs w:val="18"/>
              </w:rPr>
              <w:t>5.2.4.3 Obtaining available channel list from TVWS database procedure</w:t>
            </w:r>
          </w:p>
        </w:tc>
        <w:tc>
          <w:tcPr>
            <w:tcW w:w="709" w:type="dxa"/>
            <w:shd w:val="clear" w:color="auto" w:fill="FF0000"/>
          </w:tcPr>
          <w:p w:rsidR="00E30160" w:rsidRPr="003728B7" w:rsidRDefault="00E30160" w:rsidP="00377183">
            <w:pPr>
              <w:rPr>
                <w:sz w:val="18"/>
                <w:szCs w:val="18"/>
              </w:rPr>
            </w:pPr>
          </w:p>
        </w:tc>
        <w:tc>
          <w:tcPr>
            <w:tcW w:w="803" w:type="dxa"/>
            <w:shd w:val="clear" w:color="auto" w:fill="FF0000"/>
          </w:tcPr>
          <w:p w:rsidR="00E30160" w:rsidRPr="003728B7" w:rsidRDefault="00E30160" w:rsidP="00377183">
            <w:pPr>
              <w:rPr>
                <w:sz w:val="18"/>
                <w:szCs w:val="18"/>
              </w:rPr>
            </w:pPr>
          </w:p>
        </w:tc>
      </w:tr>
      <w:tr w:rsidR="00E30160" w:rsidRPr="003728B7" w:rsidTr="003728B7">
        <w:trPr>
          <w:jc w:val="center"/>
        </w:trPr>
        <w:tc>
          <w:tcPr>
            <w:tcW w:w="6378" w:type="dxa"/>
            <w:tcBorders>
              <w:bottom w:val="single" w:sz="4" w:space="0" w:color="000000"/>
            </w:tcBorders>
            <w:shd w:val="clear" w:color="auto" w:fill="FF0000"/>
          </w:tcPr>
          <w:p w:rsidR="00E30160" w:rsidRPr="003728B7" w:rsidRDefault="00E30160" w:rsidP="00377183">
            <w:pPr>
              <w:rPr>
                <w:sz w:val="18"/>
                <w:szCs w:val="18"/>
              </w:rPr>
            </w:pPr>
            <w:r w:rsidRPr="003728B7">
              <w:rPr>
                <w:sz w:val="18"/>
                <w:szCs w:val="18"/>
              </w:rPr>
              <w:t>5.2.4.4 Announcing available channel list change by TVWS database procedure</w:t>
            </w:r>
          </w:p>
        </w:tc>
        <w:tc>
          <w:tcPr>
            <w:tcW w:w="709" w:type="dxa"/>
            <w:tcBorders>
              <w:bottom w:val="single" w:sz="4" w:space="0" w:color="000000"/>
            </w:tcBorders>
            <w:shd w:val="clear" w:color="auto" w:fill="FF0000"/>
          </w:tcPr>
          <w:p w:rsidR="00E30160" w:rsidRPr="003728B7" w:rsidRDefault="00E30160" w:rsidP="00377183">
            <w:pPr>
              <w:rPr>
                <w:sz w:val="18"/>
                <w:szCs w:val="18"/>
              </w:rPr>
            </w:pPr>
          </w:p>
        </w:tc>
        <w:tc>
          <w:tcPr>
            <w:tcW w:w="803" w:type="dxa"/>
            <w:tcBorders>
              <w:bottom w:val="single" w:sz="4" w:space="0" w:color="000000"/>
            </w:tcBorders>
            <w:shd w:val="clear" w:color="auto" w:fill="FF0000"/>
          </w:tcPr>
          <w:p w:rsidR="00E30160" w:rsidRPr="003728B7" w:rsidRDefault="00E30160" w:rsidP="00377183">
            <w:pPr>
              <w:rPr>
                <w:sz w:val="18"/>
                <w:szCs w:val="18"/>
              </w:rPr>
            </w:pPr>
          </w:p>
        </w:tc>
      </w:tr>
      <w:tr w:rsidR="00AF0AEF" w:rsidRPr="003728B7" w:rsidTr="003728B7">
        <w:trPr>
          <w:jc w:val="center"/>
        </w:trPr>
        <w:tc>
          <w:tcPr>
            <w:tcW w:w="7890" w:type="dxa"/>
            <w:gridSpan w:val="3"/>
            <w:shd w:val="clear" w:color="auto" w:fill="EAF1DD" w:themeFill="accent3" w:themeFillTint="33"/>
          </w:tcPr>
          <w:p w:rsidR="00AF0AEF" w:rsidRPr="003728B7" w:rsidRDefault="00AF0AEF" w:rsidP="00E231A2">
            <w:pPr>
              <w:rPr>
                <w:b/>
                <w:i/>
                <w:sz w:val="18"/>
                <w:szCs w:val="18"/>
                <w:lang w:eastAsia="ja-JP"/>
              </w:rPr>
            </w:pPr>
            <w:r w:rsidRPr="003728B7">
              <w:rPr>
                <w:b/>
                <w:i/>
                <w:sz w:val="18"/>
                <w:szCs w:val="18"/>
                <w:lang w:eastAsia="ja-JP"/>
              </w:rPr>
              <w:t>5.2.5 Obtaining channel classification information procedures</w:t>
            </w:r>
          </w:p>
        </w:tc>
      </w:tr>
      <w:tr w:rsidR="00AF0AEF" w:rsidRPr="003728B7" w:rsidTr="003728B7">
        <w:trPr>
          <w:jc w:val="center"/>
        </w:trPr>
        <w:tc>
          <w:tcPr>
            <w:tcW w:w="6378" w:type="dxa"/>
          </w:tcPr>
          <w:p w:rsidR="00AF0AEF" w:rsidRPr="003728B7" w:rsidRDefault="00AF0AEF" w:rsidP="0060382E">
            <w:pPr>
              <w:rPr>
                <w:sz w:val="18"/>
                <w:szCs w:val="18"/>
              </w:rPr>
            </w:pPr>
            <w:r w:rsidRPr="003728B7">
              <w:rPr>
                <w:sz w:val="18"/>
                <w:szCs w:val="18"/>
              </w:rPr>
              <w:t>5.2.5.1 Obtaining channel classification information by CM procedure</w:t>
            </w:r>
          </w:p>
        </w:tc>
        <w:tc>
          <w:tcPr>
            <w:tcW w:w="709" w:type="dxa"/>
          </w:tcPr>
          <w:p w:rsidR="00AF0AEF" w:rsidRPr="003728B7" w:rsidRDefault="00AF0AEF" w:rsidP="0060382E">
            <w:pPr>
              <w:rPr>
                <w:sz w:val="18"/>
                <w:szCs w:val="18"/>
              </w:rPr>
            </w:pPr>
            <w:r w:rsidRPr="003728B7">
              <w:rPr>
                <w:sz w:val="18"/>
                <w:szCs w:val="18"/>
              </w:rPr>
              <w:t>Yes</w:t>
            </w:r>
          </w:p>
        </w:tc>
        <w:tc>
          <w:tcPr>
            <w:tcW w:w="803" w:type="dxa"/>
          </w:tcPr>
          <w:p w:rsidR="00AF0AEF" w:rsidRPr="003728B7" w:rsidRDefault="00AF0AEF" w:rsidP="00E231A2">
            <w:pPr>
              <w:rPr>
                <w:sz w:val="18"/>
                <w:szCs w:val="18"/>
                <w:lang w:eastAsia="ja-JP"/>
              </w:rPr>
            </w:pPr>
          </w:p>
        </w:tc>
      </w:tr>
      <w:tr w:rsidR="00AF0AEF" w:rsidRPr="003728B7" w:rsidTr="003728B7">
        <w:trPr>
          <w:jc w:val="center"/>
        </w:trPr>
        <w:tc>
          <w:tcPr>
            <w:tcW w:w="6378" w:type="dxa"/>
          </w:tcPr>
          <w:p w:rsidR="00AF0AEF" w:rsidRPr="003728B7" w:rsidRDefault="00AF0AEF" w:rsidP="0060382E">
            <w:pPr>
              <w:rPr>
                <w:sz w:val="18"/>
                <w:szCs w:val="18"/>
              </w:rPr>
            </w:pPr>
            <w:r w:rsidRPr="003728B7">
              <w:rPr>
                <w:sz w:val="18"/>
                <w:szCs w:val="18"/>
              </w:rPr>
              <w:t>5.2.5.2 Obtaining channel classification information by CE procedure</w:t>
            </w:r>
          </w:p>
        </w:tc>
        <w:tc>
          <w:tcPr>
            <w:tcW w:w="709" w:type="dxa"/>
          </w:tcPr>
          <w:p w:rsidR="00AF0AEF" w:rsidRPr="003728B7" w:rsidRDefault="00AF0AEF" w:rsidP="0060382E">
            <w:pPr>
              <w:rPr>
                <w:sz w:val="18"/>
                <w:szCs w:val="18"/>
              </w:rPr>
            </w:pPr>
            <w:r w:rsidRPr="003728B7">
              <w:rPr>
                <w:sz w:val="18"/>
                <w:szCs w:val="18"/>
              </w:rPr>
              <w:t>Yes</w:t>
            </w:r>
          </w:p>
        </w:tc>
        <w:tc>
          <w:tcPr>
            <w:tcW w:w="803" w:type="dxa"/>
          </w:tcPr>
          <w:p w:rsidR="00AF0AEF" w:rsidRPr="003728B7" w:rsidRDefault="00AF0AEF" w:rsidP="00E231A2">
            <w:pPr>
              <w:rPr>
                <w:sz w:val="18"/>
                <w:szCs w:val="18"/>
                <w:lang w:eastAsia="ja-JP"/>
              </w:rPr>
            </w:pPr>
          </w:p>
        </w:tc>
      </w:tr>
      <w:tr w:rsidR="00AF0AEF" w:rsidRPr="003728B7" w:rsidTr="003728B7">
        <w:trPr>
          <w:jc w:val="center"/>
        </w:trPr>
        <w:tc>
          <w:tcPr>
            <w:tcW w:w="6378" w:type="dxa"/>
          </w:tcPr>
          <w:p w:rsidR="00AF0AEF" w:rsidRPr="003728B7" w:rsidRDefault="00AF0AEF" w:rsidP="0060382E">
            <w:pPr>
              <w:rPr>
                <w:sz w:val="18"/>
                <w:szCs w:val="18"/>
              </w:rPr>
            </w:pPr>
            <w:r w:rsidRPr="003728B7">
              <w:rPr>
                <w:sz w:val="18"/>
                <w:szCs w:val="18"/>
              </w:rPr>
              <w:t>5.2.5.3 Announcing channel classification information update to CM procedure</w:t>
            </w:r>
          </w:p>
        </w:tc>
        <w:tc>
          <w:tcPr>
            <w:tcW w:w="709" w:type="dxa"/>
          </w:tcPr>
          <w:p w:rsidR="00AF0AEF" w:rsidRPr="003728B7" w:rsidRDefault="00AF0AEF" w:rsidP="0060382E">
            <w:pPr>
              <w:rPr>
                <w:sz w:val="18"/>
                <w:szCs w:val="18"/>
              </w:rPr>
            </w:pPr>
            <w:r w:rsidRPr="003728B7">
              <w:rPr>
                <w:sz w:val="18"/>
                <w:szCs w:val="18"/>
              </w:rPr>
              <w:t>Yes</w:t>
            </w:r>
          </w:p>
        </w:tc>
        <w:tc>
          <w:tcPr>
            <w:tcW w:w="803" w:type="dxa"/>
          </w:tcPr>
          <w:p w:rsidR="00AF0AEF" w:rsidRPr="003728B7" w:rsidRDefault="00AF0AEF" w:rsidP="00E231A2">
            <w:pPr>
              <w:rPr>
                <w:sz w:val="18"/>
                <w:szCs w:val="18"/>
                <w:lang w:eastAsia="ja-JP"/>
              </w:rPr>
            </w:pPr>
          </w:p>
        </w:tc>
      </w:tr>
      <w:tr w:rsidR="00AF0AEF" w:rsidRPr="003728B7" w:rsidTr="003728B7">
        <w:trPr>
          <w:jc w:val="center"/>
        </w:trPr>
        <w:tc>
          <w:tcPr>
            <w:tcW w:w="6378" w:type="dxa"/>
            <w:tcBorders>
              <w:bottom w:val="single" w:sz="4" w:space="0" w:color="000000"/>
            </w:tcBorders>
          </w:tcPr>
          <w:p w:rsidR="00AF0AEF" w:rsidRPr="003728B7" w:rsidRDefault="00AF0AEF" w:rsidP="0060382E">
            <w:pPr>
              <w:rPr>
                <w:sz w:val="18"/>
                <w:szCs w:val="18"/>
              </w:rPr>
            </w:pPr>
            <w:r w:rsidRPr="003728B7">
              <w:rPr>
                <w:sz w:val="18"/>
                <w:szCs w:val="18"/>
              </w:rPr>
              <w:t>5.2.5.4 Announcing channel classification information update to CE procedure</w:t>
            </w:r>
          </w:p>
        </w:tc>
        <w:tc>
          <w:tcPr>
            <w:tcW w:w="709" w:type="dxa"/>
            <w:tcBorders>
              <w:bottom w:val="single" w:sz="4" w:space="0" w:color="000000"/>
            </w:tcBorders>
          </w:tcPr>
          <w:p w:rsidR="00AF0AEF" w:rsidRPr="003728B7" w:rsidRDefault="00AF0AEF" w:rsidP="0060382E">
            <w:pPr>
              <w:rPr>
                <w:sz w:val="18"/>
                <w:szCs w:val="18"/>
              </w:rPr>
            </w:pPr>
            <w:r w:rsidRPr="003728B7">
              <w:rPr>
                <w:sz w:val="18"/>
                <w:szCs w:val="18"/>
              </w:rPr>
              <w:t>Yes</w:t>
            </w:r>
          </w:p>
        </w:tc>
        <w:tc>
          <w:tcPr>
            <w:tcW w:w="803" w:type="dxa"/>
            <w:tcBorders>
              <w:bottom w:val="single" w:sz="4" w:space="0" w:color="000000"/>
            </w:tcBorders>
          </w:tcPr>
          <w:p w:rsidR="00AF0AEF" w:rsidRPr="003728B7" w:rsidRDefault="00AF0AEF" w:rsidP="00E231A2">
            <w:pPr>
              <w:rPr>
                <w:sz w:val="18"/>
                <w:szCs w:val="18"/>
                <w:lang w:eastAsia="ja-JP"/>
              </w:rPr>
            </w:pPr>
          </w:p>
        </w:tc>
      </w:tr>
      <w:tr w:rsidR="00AF0AEF" w:rsidRPr="003728B7" w:rsidTr="00E0221E">
        <w:trPr>
          <w:jc w:val="center"/>
        </w:trPr>
        <w:tc>
          <w:tcPr>
            <w:tcW w:w="7890" w:type="dxa"/>
            <w:gridSpan w:val="3"/>
            <w:tcBorders>
              <w:bottom w:val="single" w:sz="4" w:space="0" w:color="000000"/>
            </w:tcBorders>
            <w:shd w:val="clear" w:color="auto" w:fill="EAF1DD" w:themeFill="accent3" w:themeFillTint="33"/>
          </w:tcPr>
          <w:p w:rsidR="00AF0AEF" w:rsidRPr="003728B7" w:rsidRDefault="00AF0AEF" w:rsidP="00E231A2">
            <w:pPr>
              <w:rPr>
                <w:b/>
                <w:i/>
                <w:sz w:val="18"/>
                <w:szCs w:val="18"/>
                <w:lang w:eastAsia="ja-JP"/>
              </w:rPr>
            </w:pPr>
            <w:r w:rsidRPr="003728B7">
              <w:rPr>
                <w:b/>
                <w:i/>
                <w:sz w:val="18"/>
                <w:szCs w:val="18"/>
                <w:lang w:eastAsia="ja-JP"/>
              </w:rPr>
              <w:t>5.2.6 Obtaining information procedures</w:t>
            </w:r>
          </w:p>
        </w:tc>
      </w:tr>
      <w:tr w:rsidR="00AF0AEF" w:rsidRPr="003728B7" w:rsidTr="00E0221E">
        <w:trPr>
          <w:jc w:val="center"/>
        </w:trPr>
        <w:tc>
          <w:tcPr>
            <w:tcW w:w="6378" w:type="dxa"/>
            <w:shd w:val="clear" w:color="auto" w:fill="auto"/>
          </w:tcPr>
          <w:p w:rsidR="00AF0AEF" w:rsidRPr="00E0221E" w:rsidRDefault="00AF0AEF" w:rsidP="0083623A">
            <w:pPr>
              <w:rPr>
                <w:sz w:val="18"/>
                <w:szCs w:val="18"/>
              </w:rPr>
            </w:pPr>
            <w:r w:rsidRPr="00E0221E">
              <w:rPr>
                <w:sz w:val="18"/>
                <w:szCs w:val="18"/>
              </w:rPr>
              <w:t>5.2.6.1 Obtaining information from WSO procedure</w:t>
            </w:r>
          </w:p>
        </w:tc>
        <w:tc>
          <w:tcPr>
            <w:tcW w:w="709" w:type="dxa"/>
            <w:shd w:val="clear" w:color="auto" w:fill="auto"/>
          </w:tcPr>
          <w:p w:rsidR="00AF0AEF" w:rsidRPr="003728B7" w:rsidRDefault="00E0221E" w:rsidP="0083623A">
            <w:pPr>
              <w:rPr>
                <w:rFonts w:hint="eastAsia"/>
                <w:sz w:val="18"/>
                <w:szCs w:val="18"/>
                <w:lang w:eastAsia="ja-JP"/>
              </w:rPr>
            </w:pPr>
            <w:r w:rsidRPr="00E0221E">
              <w:rPr>
                <w:rFonts w:hint="eastAsia"/>
                <w:sz w:val="18"/>
                <w:szCs w:val="18"/>
                <w:lang w:eastAsia="ja-JP"/>
              </w:rPr>
              <w:t>Yes</w:t>
            </w:r>
          </w:p>
        </w:tc>
        <w:tc>
          <w:tcPr>
            <w:tcW w:w="803" w:type="dxa"/>
            <w:shd w:val="clear" w:color="auto" w:fill="auto"/>
          </w:tcPr>
          <w:p w:rsidR="00AF0AEF" w:rsidRPr="003728B7" w:rsidRDefault="00AF0AEF" w:rsidP="00E231A2">
            <w:pPr>
              <w:rPr>
                <w:sz w:val="18"/>
                <w:szCs w:val="18"/>
                <w:lang w:eastAsia="ja-JP"/>
              </w:rPr>
            </w:pPr>
          </w:p>
        </w:tc>
      </w:tr>
      <w:tr w:rsidR="00AF0AEF" w:rsidRPr="003728B7" w:rsidTr="003728B7">
        <w:trPr>
          <w:jc w:val="center"/>
        </w:trPr>
        <w:tc>
          <w:tcPr>
            <w:tcW w:w="6378" w:type="dxa"/>
            <w:tcBorders>
              <w:bottom w:val="single" w:sz="4" w:space="0" w:color="000000"/>
            </w:tcBorders>
          </w:tcPr>
          <w:p w:rsidR="00AF0AEF" w:rsidRPr="003728B7" w:rsidRDefault="00AF0AEF" w:rsidP="0083623A">
            <w:pPr>
              <w:rPr>
                <w:sz w:val="18"/>
                <w:szCs w:val="18"/>
              </w:rPr>
            </w:pPr>
            <w:r w:rsidRPr="003728B7">
              <w:rPr>
                <w:sz w:val="18"/>
                <w:szCs w:val="18"/>
              </w:rPr>
              <w:t>5.2.6.2 Obtaining information from another CM procedure</w:t>
            </w:r>
          </w:p>
        </w:tc>
        <w:tc>
          <w:tcPr>
            <w:tcW w:w="709" w:type="dxa"/>
            <w:tcBorders>
              <w:bottom w:val="single" w:sz="4" w:space="0" w:color="000000"/>
            </w:tcBorders>
          </w:tcPr>
          <w:p w:rsidR="00AF0AEF" w:rsidRPr="003728B7" w:rsidRDefault="00AF0AEF" w:rsidP="0083623A">
            <w:pPr>
              <w:rPr>
                <w:sz w:val="18"/>
                <w:szCs w:val="18"/>
              </w:rPr>
            </w:pPr>
            <w:r w:rsidRPr="003728B7">
              <w:rPr>
                <w:sz w:val="18"/>
                <w:szCs w:val="18"/>
              </w:rPr>
              <w:t>Yes</w:t>
            </w:r>
          </w:p>
        </w:tc>
        <w:tc>
          <w:tcPr>
            <w:tcW w:w="803" w:type="dxa"/>
            <w:tcBorders>
              <w:bottom w:val="single" w:sz="4" w:space="0" w:color="000000"/>
            </w:tcBorders>
          </w:tcPr>
          <w:p w:rsidR="00AF0AEF" w:rsidRPr="003728B7" w:rsidRDefault="00AF0AEF" w:rsidP="00E231A2">
            <w:pPr>
              <w:rPr>
                <w:sz w:val="18"/>
                <w:szCs w:val="18"/>
                <w:lang w:eastAsia="ja-JP"/>
              </w:rPr>
            </w:pPr>
          </w:p>
        </w:tc>
      </w:tr>
      <w:tr w:rsidR="003140DF" w:rsidRPr="003728B7" w:rsidTr="003728B7">
        <w:trPr>
          <w:jc w:val="center"/>
        </w:trPr>
        <w:tc>
          <w:tcPr>
            <w:tcW w:w="7890" w:type="dxa"/>
            <w:gridSpan w:val="3"/>
            <w:shd w:val="clear" w:color="auto" w:fill="EAF1DD" w:themeFill="accent3" w:themeFillTint="33"/>
          </w:tcPr>
          <w:p w:rsidR="003140DF" w:rsidRPr="003728B7" w:rsidRDefault="003140DF" w:rsidP="00E231A2">
            <w:pPr>
              <w:rPr>
                <w:b/>
                <w:i/>
                <w:sz w:val="18"/>
                <w:szCs w:val="18"/>
                <w:lang w:eastAsia="ja-JP"/>
              </w:rPr>
            </w:pPr>
            <w:r w:rsidRPr="003728B7">
              <w:rPr>
                <w:b/>
                <w:i/>
                <w:sz w:val="18"/>
                <w:szCs w:val="18"/>
                <w:lang w:eastAsia="ja-JP"/>
              </w:rPr>
              <w:t>5.2.7 Requesting and obtaining measurements procedures</w:t>
            </w:r>
          </w:p>
        </w:tc>
      </w:tr>
      <w:tr w:rsidR="003140DF" w:rsidRPr="003728B7" w:rsidTr="003728B7">
        <w:trPr>
          <w:jc w:val="center"/>
        </w:trPr>
        <w:tc>
          <w:tcPr>
            <w:tcW w:w="6378" w:type="dxa"/>
          </w:tcPr>
          <w:p w:rsidR="003140DF" w:rsidRPr="003728B7" w:rsidRDefault="003140DF" w:rsidP="00717325">
            <w:pPr>
              <w:rPr>
                <w:sz w:val="18"/>
                <w:szCs w:val="18"/>
              </w:rPr>
            </w:pPr>
            <w:r w:rsidRPr="003728B7">
              <w:rPr>
                <w:sz w:val="18"/>
                <w:szCs w:val="18"/>
              </w:rPr>
              <w:t>5.2.7.1 Requesting measurements procedure</w:t>
            </w:r>
          </w:p>
        </w:tc>
        <w:tc>
          <w:tcPr>
            <w:tcW w:w="709" w:type="dxa"/>
          </w:tcPr>
          <w:p w:rsidR="003140DF" w:rsidRPr="003728B7" w:rsidRDefault="003140DF" w:rsidP="00717325">
            <w:pPr>
              <w:rPr>
                <w:sz w:val="18"/>
                <w:szCs w:val="18"/>
              </w:rPr>
            </w:pPr>
            <w:r w:rsidRPr="003728B7">
              <w:rPr>
                <w:sz w:val="18"/>
                <w:szCs w:val="18"/>
              </w:rPr>
              <w:t>Yes</w:t>
            </w:r>
          </w:p>
        </w:tc>
        <w:tc>
          <w:tcPr>
            <w:tcW w:w="803" w:type="dxa"/>
          </w:tcPr>
          <w:p w:rsidR="003140DF" w:rsidRPr="003728B7" w:rsidRDefault="003140DF" w:rsidP="00E231A2">
            <w:pPr>
              <w:rPr>
                <w:sz w:val="18"/>
                <w:szCs w:val="18"/>
                <w:lang w:eastAsia="ja-JP"/>
              </w:rPr>
            </w:pPr>
          </w:p>
        </w:tc>
      </w:tr>
      <w:tr w:rsidR="003140DF" w:rsidRPr="003728B7" w:rsidTr="003728B7">
        <w:trPr>
          <w:jc w:val="center"/>
        </w:trPr>
        <w:tc>
          <w:tcPr>
            <w:tcW w:w="6378" w:type="dxa"/>
          </w:tcPr>
          <w:p w:rsidR="003140DF" w:rsidRPr="003728B7" w:rsidRDefault="003140DF" w:rsidP="00717325">
            <w:pPr>
              <w:rPr>
                <w:sz w:val="18"/>
                <w:szCs w:val="18"/>
              </w:rPr>
            </w:pPr>
            <w:r w:rsidRPr="003728B7">
              <w:rPr>
                <w:sz w:val="18"/>
                <w:szCs w:val="18"/>
              </w:rPr>
              <w:t>5.2.7.2 Providing one-time measurement procedure</w:t>
            </w:r>
          </w:p>
        </w:tc>
        <w:tc>
          <w:tcPr>
            <w:tcW w:w="709" w:type="dxa"/>
          </w:tcPr>
          <w:p w:rsidR="003140DF" w:rsidRPr="003728B7" w:rsidRDefault="003140DF" w:rsidP="00717325">
            <w:pPr>
              <w:rPr>
                <w:sz w:val="18"/>
                <w:szCs w:val="18"/>
              </w:rPr>
            </w:pPr>
            <w:r w:rsidRPr="003728B7">
              <w:rPr>
                <w:sz w:val="18"/>
                <w:szCs w:val="18"/>
              </w:rPr>
              <w:t>Yes</w:t>
            </w:r>
          </w:p>
        </w:tc>
        <w:tc>
          <w:tcPr>
            <w:tcW w:w="803" w:type="dxa"/>
          </w:tcPr>
          <w:p w:rsidR="003140DF" w:rsidRPr="003728B7" w:rsidRDefault="003140DF" w:rsidP="00E231A2">
            <w:pPr>
              <w:rPr>
                <w:sz w:val="18"/>
                <w:szCs w:val="18"/>
                <w:lang w:eastAsia="ja-JP"/>
              </w:rPr>
            </w:pPr>
          </w:p>
        </w:tc>
      </w:tr>
      <w:tr w:rsidR="003140DF" w:rsidRPr="003728B7" w:rsidTr="003728B7">
        <w:trPr>
          <w:jc w:val="center"/>
        </w:trPr>
        <w:tc>
          <w:tcPr>
            <w:tcW w:w="6378" w:type="dxa"/>
            <w:tcBorders>
              <w:bottom w:val="single" w:sz="4" w:space="0" w:color="000000"/>
            </w:tcBorders>
          </w:tcPr>
          <w:p w:rsidR="003140DF" w:rsidRPr="003728B7" w:rsidRDefault="003140DF" w:rsidP="00717325">
            <w:pPr>
              <w:rPr>
                <w:sz w:val="18"/>
                <w:szCs w:val="18"/>
              </w:rPr>
            </w:pPr>
            <w:r w:rsidRPr="003728B7">
              <w:rPr>
                <w:sz w:val="18"/>
                <w:szCs w:val="18"/>
              </w:rPr>
              <w:t>5.2.7.3 Providing scheduled measurements procedure</w:t>
            </w:r>
          </w:p>
        </w:tc>
        <w:tc>
          <w:tcPr>
            <w:tcW w:w="709" w:type="dxa"/>
            <w:tcBorders>
              <w:bottom w:val="single" w:sz="4" w:space="0" w:color="000000"/>
            </w:tcBorders>
          </w:tcPr>
          <w:p w:rsidR="003140DF" w:rsidRPr="003728B7" w:rsidRDefault="003140DF" w:rsidP="00717325">
            <w:pPr>
              <w:rPr>
                <w:sz w:val="18"/>
                <w:szCs w:val="18"/>
              </w:rPr>
            </w:pPr>
            <w:r w:rsidRPr="003728B7">
              <w:rPr>
                <w:sz w:val="18"/>
                <w:szCs w:val="18"/>
              </w:rPr>
              <w:t>Yes</w:t>
            </w:r>
          </w:p>
        </w:tc>
        <w:tc>
          <w:tcPr>
            <w:tcW w:w="803" w:type="dxa"/>
            <w:tcBorders>
              <w:bottom w:val="single" w:sz="4" w:space="0" w:color="000000"/>
            </w:tcBorders>
          </w:tcPr>
          <w:p w:rsidR="003140DF" w:rsidRPr="003728B7" w:rsidRDefault="003140DF" w:rsidP="00E231A2">
            <w:pPr>
              <w:rPr>
                <w:sz w:val="18"/>
                <w:szCs w:val="18"/>
                <w:lang w:eastAsia="ja-JP"/>
              </w:rPr>
            </w:pPr>
          </w:p>
        </w:tc>
      </w:tr>
      <w:tr w:rsidR="003140DF" w:rsidRPr="003728B7" w:rsidTr="003728B7">
        <w:trPr>
          <w:jc w:val="center"/>
        </w:trPr>
        <w:tc>
          <w:tcPr>
            <w:tcW w:w="7890" w:type="dxa"/>
            <w:gridSpan w:val="3"/>
            <w:shd w:val="clear" w:color="auto" w:fill="EAF1DD" w:themeFill="accent3" w:themeFillTint="33"/>
          </w:tcPr>
          <w:p w:rsidR="003140DF" w:rsidRPr="003728B7" w:rsidRDefault="003140DF" w:rsidP="00E231A2">
            <w:pPr>
              <w:rPr>
                <w:b/>
                <w:i/>
                <w:sz w:val="18"/>
                <w:szCs w:val="18"/>
                <w:lang w:eastAsia="ja-JP"/>
              </w:rPr>
            </w:pPr>
            <w:r w:rsidRPr="003728B7">
              <w:rPr>
                <w:b/>
                <w:i/>
                <w:sz w:val="18"/>
                <w:szCs w:val="18"/>
                <w:lang w:eastAsia="ja-JP"/>
              </w:rPr>
              <w:t>5.2.8 Negotiation between CMs procedure</w:t>
            </w:r>
            <w:r w:rsidRPr="003728B7">
              <w:rPr>
                <w:rFonts w:hint="eastAsia"/>
                <w:b/>
                <w:i/>
                <w:sz w:val="18"/>
                <w:szCs w:val="18"/>
                <w:lang w:eastAsia="ja-JP"/>
              </w:rPr>
              <w:t>s</w:t>
            </w:r>
          </w:p>
        </w:tc>
      </w:tr>
      <w:tr w:rsidR="003140DF" w:rsidRPr="003728B7" w:rsidTr="003728B7">
        <w:trPr>
          <w:jc w:val="center"/>
        </w:trPr>
        <w:tc>
          <w:tcPr>
            <w:tcW w:w="6378" w:type="dxa"/>
          </w:tcPr>
          <w:p w:rsidR="003140DF" w:rsidRPr="003728B7" w:rsidRDefault="003140DF" w:rsidP="000879CE">
            <w:pPr>
              <w:rPr>
                <w:sz w:val="18"/>
                <w:szCs w:val="18"/>
              </w:rPr>
            </w:pPr>
            <w:r w:rsidRPr="003728B7">
              <w:rPr>
                <w:sz w:val="18"/>
                <w:szCs w:val="18"/>
              </w:rPr>
              <w:t>5.2.8.1 Negotiation between CMs without announcement</w:t>
            </w:r>
          </w:p>
        </w:tc>
        <w:tc>
          <w:tcPr>
            <w:tcW w:w="709" w:type="dxa"/>
          </w:tcPr>
          <w:p w:rsidR="003140DF" w:rsidRPr="003728B7" w:rsidRDefault="003140DF" w:rsidP="000879CE">
            <w:pPr>
              <w:rPr>
                <w:sz w:val="18"/>
                <w:szCs w:val="18"/>
              </w:rPr>
            </w:pPr>
            <w:r w:rsidRPr="003728B7">
              <w:rPr>
                <w:sz w:val="18"/>
                <w:szCs w:val="18"/>
              </w:rPr>
              <w:t>Yes</w:t>
            </w:r>
          </w:p>
        </w:tc>
        <w:tc>
          <w:tcPr>
            <w:tcW w:w="803" w:type="dxa"/>
          </w:tcPr>
          <w:p w:rsidR="003140DF" w:rsidRPr="003728B7" w:rsidRDefault="003140DF" w:rsidP="00E231A2">
            <w:pPr>
              <w:rPr>
                <w:sz w:val="18"/>
                <w:szCs w:val="18"/>
                <w:lang w:eastAsia="ja-JP"/>
              </w:rPr>
            </w:pPr>
          </w:p>
        </w:tc>
      </w:tr>
      <w:tr w:rsidR="003140DF" w:rsidRPr="003728B7" w:rsidTr="003728B7">
        <w:trPr>
          <w:jc w:val="center"/>
        </w:trPr>
        <w:tc>
          <w:tcPr>
            <w:tcW w:w="6378" w:type="dxa"/>
            <w:tcBorders>
              <w:bottom w:val="single" w:sz="4" w:space="0" w:color="000000"/>
            </w:tcBorders>
          </w:tcPr>
          <w:p w:rsidR="003140DF" w:rsidRPr="003728B7" w:rsidRDefault="003140DF" w:rsidP="000879CE">
            <w:pPr>
              <w:rPr>
                <w:sz w:val="18"/>
                <w:szCs w:val="18"/>
              </w:rPr>
            </w:pPr>
            <w:r w:rsidRPr="003728B7">
              <w:rPr>
                <w:sz w:val="18"/>
                <w:szCs w:val="18"/>
              </w:rPr>
              <w:t>5.2.8.2 Negotiation between CMs with announcement</w:t>
            </w:r>
          </w:p>
        </w:tc>
        <w:tc>
          <w:tcPr>
            <w:tcW w:w="709" w:type="dxa"/>
            <w:tcBorders>
              <w:bottom w:val="single" w:sz="4" w:space="0" w:color="000000"/>
            </w:tcBorders>
          </w:tcPr>
          <w:p w:rsidR="003140DF" w:rsidRPr="003728B7" w:rsidRDefault="003140DF" w:rsidP="000879CE">
            <w:pPr>
              <w:rPr>
                <w:sz w:val="18"/>
                <w:szCs w:val="18"/>
              </w:rPr>
            </w:pPr>
            <w:r w:rsidRPr="003728B7">
              <w:rPr>
                <w:sz w:val="18"/>
                <w:szCs w:val="18"/>
              </w:rPr>
              <w:t>Yes</w:t>
            </w:r>
          </w:p>
        </w:tc>
        <w:tc>
          <w:tcPr>
            <w:tcW w:w="803" w:type="dxa"/>
            <w:tcBorders>
              <w:bottom w:val="single" w:sz="4" w:space="0" w:color="000000"/>
            </w:tcBorders>
          </w:tcPr>
          <w:p w:rsidR="003140DF" w:rsidRPr="003728B7" w:rsidRDefault="003140DF" w:rsidP="00E231A2">
            <w:pPr>
              <w:rPr>
                <w:sz w:val="18"/>
                <w:szCs w:val="18"/>
                <w:lang w:eastAsia="ja-JP"/>
              </w:rPr>
            </w:pPr>
          </w:p>
        </w:tc>
      </w:tr>
      <w:tr w:rsidR="003140DF" w:rsidRPr="003728B7" w:rsidTr="003728B7">
        <w:trPr>
          <w:jc w:val="center"/>
        </w:trPr>
        <w:tc>
          <w:tcPr>
            <w:tcW w:w="7890" w:type="dxa"/>
            <w:gridSpan w:val="3"/>
            <w:shd w:val="clear" w:color="auto" w:fill="EAF1DD" w:themeFill="accent3" w:themeFillTint="33"/>
          </w:tcPr>
          <w:p w:rsidR="003140DF" w:rsidRPr="003728B7" w:rsidRDefault="003140DF" w:rsidP="00E231A2">
            <w:pPr>
              <w:rPr>
                <w:b/>
                <w:i/>
                <w:sz w:val="18"/>
                <w:szCs w:val="18"/>
                <w:lang w:eastAsia="ja-JP"/>
              </w:rPr>
            </w:pPr>
            <w:r w:rsidRPr="003728B7">
              <w:rPr>
                <w:b/>
                <w:i/>
                <w:sz w:val="18"/>
                <w:szCs w:val="18"/>
                <w:lang w:eastAsia="ja-JP"/>
              </w:rPr>
              <w:t>5.2.9 Master CM selection procedures</w:t>
            </w:r>
          </w:p>
        </w:tc>
      </w:tr>
      <w:tr w:rsidR="003140DF" w:rsidRPr="003728B7" w:rsidTr="003728B7">
        <w:trPr>
          <w:jc w:val="center"/>
        </w:trPr>
        <w:tc>
          <w:tcPr>
            <w:tcW w:w="6378" w:type="dxa"/>
          </w:tcPr>
          <w:p w:rsidR="003140DF" w:rsidRPr="003728B7" w:rsidRDefault="003140DF" w:rsidP="00BA2D69">
            <w:pPr>
              <w:rPr>
                <w:sz w:val="18"/>
                <w:szCs w:val="18"/>
              </w:rPr>
            </w:pPr>
            <w:r w:rsidRPr="003728B7">
              <w:rPr>
                <w:sz w:val="18"/>
                <w:szCs w:val="18"/>
              </w:rPr>
              <w:t>5.2.9.1 Master/slave CM selection procedure</w:t>
            </w:r>
          </w:p>
        </w:tc>
        <w:tc>
          <w:tcPr>
            <w:tcW w:w="709" w:type="dxa"/>
          </w:tcPr>
          <w:p w:rsidR="003140DF" w:rsidRPr="003728B7" w:rsidRDefault="003140DF" w:rsidP="00BA2D69">
            <w:pPr>
              <w:rPr>
                <w:sz w:val="18"/>
                <w:szCs w:val="18"/>
              </w:rPr>
            </w:pPr>
            <w:r w:rsidRPr="003728B7">
              <w:rPr>
                <w:sz w:val="18"/>
                <w:szCs w:val="18"/>
              </w:rPr>
              <w:t>Yes</w:t>
            </w:r>
          </w:p>
        </w:tc>
        <w:tc>
          <w:tcPr>
            <w:tcW w:w="803" w:type="dxa"/>
          </w:tcPr>
          <w:p w:rsidR="003140DF" w:rsidRPr="003728B7" w:rsidRDefault="003140DF" w:rsidP="00E231A2">
            <w:pPr>
              <w:rPr>
                <w:sz w:val="18"/>
                <w:szCs w:val="18"/>
                <w:lang w:eastAsia="ja-JP"/>
              </w:rPr>
            </w:pPr>
          </w:p>
        </w:tc>
      </w:tr>
      <w:tr w:rsidR="003140DF" w:rsidRPr="003728B7" w:rsidTr="003728B7">
        <w:trPr>
          <w:jc w:val="center"/>
        </w:trPr>
        <w:tc>
          <w:tcPr>
            <w:tcW w:w="6378" w:type="dxa"/>
            <w:tcBorders>
              <w:bottom w:val="single" w:sz="4" w:space="0" w:color="000000"/>
            </w:tcBorders>
          </w:tcPr>
          <w:p w:rsidR="003140DF" w:rsidRPr="003728B7" w:rsidRDefault="003140DF" w:rsidP="00BA2D69">
            <w:pPr>
              <w:rPr>
                <w:sz w:val="18"/>
                <w:szCs w:val="18"/>
              </w:rPr>
            </w:pPr>
            <w:r w:rsidRPr="003728B7">
              <w:rPr>
                <w:sz w:val="18"/>
                <w:szCs w:val="18"/>
              </w:rPr>
              <w:t>5.2.9.2 Master/slave CM configuration procedure</w:t>
            </w:r>
          </w:p>
        </w:tc>
        <w:tc>
          <w:tcPr>
            <w:tcW w:w="709" w:type="dxa"/>
            <w:tcBorders>
              <w:bottom w:val="single" w:sz="4" w:space="0" w:color="000000"/>
            </w:tcBorders>
          </w:tcPr>
          <w:p w:rsidR="003140DF" w:rsidRPr="003728B7" w:rsidRDefault="003140DF" w:rsidP="00BA2D69">
            <w:pPr>
              <w:rPr>
                <w:sz w:val="18"/>
                <w:szCs w:val="18"/>
              </w:rPr>
            </w:pPr>
            <w:r w:rsidRPr="003728B7">
              <w:rPr>
                <w:sz w:val="18"/>
                <w:szCs w:val="18"/>
              </w:rPr>
              <w:t>Yes</w:t>
            </w:r>
          </w:p>
        </w:tc>
        <w:tc>
          <w:tcPr>
            <w:tcW w:w="803" w:type="dxa"/>
            <w:tcBorders>
              <w:bottom w:val="single" w:sz="4" w:space="0" w:color="000000"/>
            </w:tcBorders>
          </w:tcPr>
          <w:p w:rsidR="003140DF" w:rsidRPr="003728B7" w:rsidRDefault="003140DF" w:rsidP="00E231A2">
            <w:pPr>
              <w:rPr>
                <w:sz w:val="18"/>
                <w:szCs w:val="18"/>
                <w:lang w:eastAsia="ja-JP"/>
              </w:rPr>
            </w:pPr>
          </w:p>
        </w:tc>
      </w:tr>
      <w:tr w:rsidR="003140DF" w:rsidRPr="003728B7" w:rsidTr="003728B7">
        <w:trPr>
          <w:jc w:val="center"/>
        </w:trPr>
        <w:tc>
          <w:tcPr>
            <w:tcW w:w="7890" w:type="dxa"/>
            <w:gridSpan w:val="3"/>
            <w:shd w:val="clear" w:color="auto" w:fill="EAF1DD" w:themeFill="accent3" w:themeFillTint="33"/>
          </w:tcPr>
          <w:p w:rsidR="003140DF" w:rsidRPr="003728B7" w:rsidRDefault="003140DF" w:rsidP="00E231A2">
            <w:pPr>
              <w:rPr>
                <w:b/>
                <w:i/>
                <w:sz w:val="18"/>
                <w:szCs w:val="18"/>
                <w:lang w:eastAsia="ja-JP"/>
              </w:rPr>
            </w:pPr>
            <w:r w:rsidRPr="003728B7">
              <w:rPr>
                <w:b/>
                <w:i/>
                <w:sz w:val="18"/>
                <w:szCs w:val="18"/>
                <w:lang w:eastAsia="ja-JP"/>
              </w:rPr>
              <w:t>5.2.10 Reconfiguration procedures</w:t>
            </w:r>
          </w:p>
        </w:tc>
      </w:tr>
      <w:tr w:rsidR="003140DF" w:rsidRPr="003728B7" w:rsidTr="003728B7">
        <w:trPr>
          <w:jc w:val="center"/>
        </w:trPr>
        <w:tc>
          <w:tcPr>
            <w:tcW w:w="6378" w:type="dxa"/>
          </w:tcPr>
          <w:p w:rsidR="003140DF" w:rsidRPr="003728B7" w:rsidRDefault="003140DF" w:rsidP="00B67AFC">
            <w:pPr>
              <w:rPr>
                <w:sz w:val="18"/>
                <w:szCs w:val="18"/>
              </w:rPr>
            </w:pPr>
            <w:r w:rsidRPr="003728B7">
              <w:rPr>
                <w:sz w:val="18"/>
                <w:szCs w:val="18"/>
              </w:rPr>
              <w:t>5.2.10.1 WSO reconfiguration procedure</w:t>
            </w:r>
          </w:p>
        </w:tc>
        <w:tc>
          <w:tcPr>
            <w:tcW w:w="709" w:type="dxa"/>
          </w:tcPr>
          <w:p w:rsidR="003140DF" w:rsidRPr="003728B7" w:rsidRDefault="003140DF" w:rsidP="00B67AFC">
            <w:pPr>
              <w:rPr>
                <w:sz w:val="18"/>
                <w:szCs w:val="18"/>
              </w:rPr>
            </w:pPr>
            <w:r w:rsidRPr="003728B7">
              <w:rPr>
                <w:sz w:val="18"/>
                <w:szCs w:val="18"/>
              </w:rPr>
              <w:t>Yes</w:t>
            </w:r>
          </w:p>
        </w:tc>
        <w:tc>
          <w:tcPr>
            <w:tcW w:w="803" w:type="dxa"/>
          </w:tcPr>
          <w:p w:rsidR="003140DF" w:rsidRPr="003728B7" w:rsidRDefault="003140DF" w:rsidP="00B67AFC">
            <w:pPr>
              <w:rPr>
                <w:sz w:val="18"/>
                <w:szCs w:val="18"/>
              </w:rPr>
            </w:pPr>
            <w:r w:rsidRPr="003728B7">
              <w:rPr>
                <w:sz w:val="18"/>
                <w:szCs w:val="18"/>
              </w:rPr>
              <w:t>Yes</w:t>
            </w:r>
          </w:p>
        </w:tc>
      </w:tr>
      <w:tr w:rsidR="003140DF" w:rsidRPr="003728B7" w:rsidTr="003728B7">
        <w:trPr>
          <w:jc w:val="center"/>
        </w:trPr>
        <w:tc>
          <w:tcPr>
            <w:tcW w:w="6378" w:type="dxa"/>
            <w:tcBorders>
              <w:bottom w:val="single" w:sz="4" w:space="0" w:color="000000"/>
            </w:tcBorders>
          </w:tcPr>
          <w:p w:rsidR="003140DF" w:rsidRPr="003728B7" w:rsidRDefault="003140DF" w:rsidP="00B67AFC">
            <w:pPr>
              <w:rPr>
                <w:sz w:val="18"/>
                <w:szCs w:val="18"/>
              </w:rPr>
            </w:pPr>
            <w:r w:rsidRPr="003728B7">
              <w:rPr>
                <w:sz w:val="18"/>
                <w:szCs w:val="18"/>
              </w:rPr>
              <w:t>5.2.10.2 Sending reconfiguration request from CM to another CM</w:t>
            </w:r>
          </w:p>
        </w:tc>
        <w:tc>
          <w:tcPr>
            <w:tcW w:w="709" w:type="dxa"/>
            <w:tcBorders>
              <w:bottom w:val="single" w:sz="4" w:space="0" w:color="000000"/>
            </w:tcBorders>
          </w:tcPr>
          <w:p w:rsidR="003140DF" w:rsidRPr="003728B7" w:rsidRDefault="003140DF" w:rsidP="00B67AFC">
            <w:pPr>
              <w:rPr>
                <w:sz w:val="18"/>
                <w:szCs w:val="18"/>
              </w:rPr>
            </w:pPr>
            <w:r w:rsidRPr="003728B7">
              <w:rPr>
                <w:sz w:val="18"/>
                <w:szCs w:val="18"/>
              </w:rPr>
              <w:t>Yes</w:t>
            </w:r>
          </w:p>
        </w:tc>
        <w:tc>
          <w:tcPr>
            <w:tcW w:w="803" w:type="dxa"/>
            <w:tcBorders>
              <w:bottom w:val="single" w:sz="4" w:space="0" w:color="000000"/>
            </w:tcBorders>
          </w:tcPr>
          <w:p w:rsidR="003140DF" w:rsidRPr="003728B7" w:rsidRDefault="003140DF" w:rsidP="00B67AFC">
            <w:pPr>
              <w:rPr>
                <w:sz w:val="18"/>
                <w:szCs w:val="18"/>
              </w:rPr>
            </w:pPr>
          </w:p>
        </w:tc>
      </w:tr>
      <w:tr w:rsidR="003140DF" w:rsidRPr="003728B7" w:rsidTr="003728B7">
        <w:trPr>
          <w:jc w:val="center"/>
        </w:trPr>
        <w:tc>
          <w:tcPr>
            <w:tcW w:w="6378" w:type="dxa"/>
            <w:tcBorders>
              <w:bottom w:val="single" w:sz="4" w:space="0" w:color="000000"/>
            </w:tcBorders>
            <w:shd w:val="clear" w:color="auto" w:fill="FF0000"/>
          </w:tcPr>
          <w:p w:rsidR="003140DF" w:rsidRPr="003728B7" w:rsidRDefault="003140DF" w:rsidP="00B67AFC">
            <w:pPr>
              <w:rPr>
                <w:sz w:val="18"/>
                <w:szCs w:val="18"/>
              </w:rPr>
            </w:pPr>
            <w:r w:rsidRPr="003728B7">
              <w:rPr>
                <w:sz w:val="18"/>
                <w:szCs w:val="18"/>
              </w:rPr>
              <w:t>5.2.10.3 Sending resource reconfiguration request from CE to CM</w:t>
            </w:r>
          </w:p>
        </w:tc>
        <w:tc>
          <w:tcPr>
            <w:tcW w:w="709" w:type="dxa"/>
            <w:tcBorders>
              <w:bottom w:val="single" w:sz="4" w:space="0" w:color="000000"/>
            </w:tcBorders>
            <w:shd w:val="clear" w:color="auto" w:fill="FF0000"/>
          </w:tcPr>
          <w:p w:rsidR="003140DF" w:rsidRPr="003728B7" w:rsidRDefault="003140DF" w:rsidP="00B67AFC">
            <w:pPr>
              <w:rPr>
                <w:sz w:val="18"/>
                <w:szCs w:val="18"/>
              </w:rPr>
            </w:pPr>
          </w:p>
        </w:tc>
        <w:tc>
          <w:tcPr>
            <w:tcW w:w="803" w:type="dxa"/>
            <w:tcBorders>
              <w:bottom w:val="single" w:sz="4" w:space="0" w:color="000000"/>
            </w:tcBorders>
            <w:shd w:val="clear" w:color="auto" w:fill="FF0000"/>
          </w:tcPr>
          <w:p w:rsidR="003140DF" w:rsidRPr="003728B7" w:rsidRDefault="003140DF" w:rsidP="00B67AFC">
            <w:pPr>
              <w:rPr>
                <w:sz w:val="18"/>
                <w:szCs w:val="18"/>
              </w:rPr>
            </w:pPr>
          </w:p>
        </w:tc>
      </w:tr>
      <w:tr w:rsidR="0010345A" w:rsidRPr="003728B7" w:rsidTr="003728B7">
        <w:trPr>
          <w:jc w:val="center"/>
        </w:trPr>
        <w:tc>
          <w:tcPr>
            <w:tcW w:w="7890" w:type="dxa"/>
            <w:gridSpan w:val="3"/>
            <w:shd w:val="clear" w:color="auto" w:fill="EAF1DD" w:themeFill="accent3" w:themeFillTint="33"/>
          </w:tcPr>
          <w:p w:rsidR="0010345A" w:rsidRPr="003728B7" w:rsidRDefault="0010345A" w:rsidP="00E231A2">
            <w:pPr>
              <w:rPr>
                <w:b/>
                <w:i/>
                <w:sz w:val="18"/>
                <w:szCs w:val="18"/>
                <w:lang w:eastAsia="ja-JP"/>
              </w:rPr>
            </w:pPr>
            <w:r w:rsidRPr="003728B7">
              <w:rPr>
                <w:b/>
                <w:i/>
                <w:sz w:val="18"/>
                <w:szCs w:val="18"/>
                <w:lang w:eastAsia="ja-JP"/>
              </w:rPr>
              <w:t>5.2.11 Event procedures</w:t>
            </w:r>
          </w:p>
        </w:tc>
      </w:tr>
      <w:tr w:rsidR="0010345A" w:rsidRPr="003728B7" w:rsidTr="003728B7">
        <w:trPr>
          <w:jc w:val="center"/>
        </w:trPr>
        <w:tc>
          <w:tcPr>
            <w:tcW w:w="6378" w:type="dxa"/>
          </w:tcPr>
          <w:p w:rsidR="0010345A" w:rsidRPr="003728B7" w:rsidRDefault="0010345A" w:rsidP="00233B81">
            <w:pPr>
              <w:rPr>
                <w:sz w:val="18"/>
                <w:szCs w:val="18"/>
              </w:rPr>
            </w:pPr>
            <w:r w:rsidRPr="003728B7">
              <w:rPr>
                <w:sz w:val="18"/>
                <w:szCs w:val="18"/>
              </w:rPr>
              <w:t>5.2.11.1 Sending event indication from CE to CM</w:t>
            </w:r>
          </w:p>
        </w:tc>
        <w:tc>
          <w:tcPr>
            <w:tcW w:w="709" w:type="dxa"/>
          </w:tcPr>
          <w:p w:rsidR="0010345A" w:rsidRPr="003728B7" w:rsidRDefault="0010345A" w:rsidP="00233B81">
            <w:pPr>
              <w:rPr>
                <w:sz w:val="18"/>
                <w:szCs w:val="18"/>
              </w:rPr>
            </w:pPr>
            <w:r w:rsidRPr="003728B7">
              <w:rPr>
                <w:sz w:val="18"/>
                <w:szCs w:val="18"/>
              </w:rPr>
              <w:t>Yes</w:t>
            </w:r>
          </w:p>
        </w:tc>
        <w:tc>
          <w:tcPr>
            <w:tcW w:w="803" w:type="dxa"/>
          </w:tcPr>
          <w:p w:rsidR="0010345A" w:rsidRPr="003728B7" w:rsidRDefault="0010345A" w:rsidP="00E231A2">
            <w:pPr>
              <w:rPr>
                <w:sz w:val="18"/>
                <w:szCs w:val="18"/>
                <w:lang w:eastAsia="ja-JP"/>
              </w:rPr>
            </w:pPr>
          </w:p>
        </w:tc>
      </w:tr>
      <w:tr w:rsidR="0010345A" w:rsidRPr="003728B7" w:rsidTr="003728B7">
        <w:trPr>
          <w:jc w:val="center"/>
        </w:trPr>
        <w:tc>
          <w:tcPr>
            <w:tcW w:w="6378" w:type="dxa"/>
            <w:tcBorders>
              <w:bottom w:val="single" w:sz="4" w:space="0" w:color="000000"/>
            </w:tcBorders>
          </w:tcPr>
          <w:p w:rsidR="0010345A" w:rsidRPr="003728B7" w:rsidRDefault="0010345A" w:rsidP="00233B81">
            <w:pPr>
              <w:rPr>
                <w:sz w:val="18"/>
                <w:szCs w:val="18"/>
              </w:rPr>
            </w:pPr>
            <w:r w:rsidRPr="003728B7">
              <w:rPr>
                <w:sz w:val="18"/>
                <w:szCs w:val="18"/>
              </w:rPr>
              <w:t>5.2.11.2 Sending event indication from CM to another CM</w:t>
            </w:r>
          </w:p>
        </w:tc>
        <w:tc>
          <w:tcPr>
            <w:tcW w:w="709" w:type="dxa"/>
            <w:tcBorders>
              <w:bottom w:val="single" w:sz="4" w:space="0" w:color="000000"/>
            </w:tcBorders>
          </w:tcPr>
          <w:p w:rsidR="0010345A" w:rsidRPr="003728B7" w:rsidRDefault="0010345A" w:rsidP="00233B81">
            <w:pPr>
              <w:rPr>
                <w:sz w:val="18"/>
                <w:szCs w:val="18"/>
              </w:rPr>
            </w:pPr>
            <w:r w:rsidRPr="003728B7">
              <w:rPr>
                <w:sz w:val="18"/>
                <w:szCs w:val="18"/>
              </w:rPr>
              <w:t>Yes</w:t>
            </w:r>
          </w:p>
        </w:tc>
        <w:tc>
          <w:tcPr>
            <w:tcW w:w="803" w:type="dxa"/>
            <w:tcBorders>
              <w:bottom w:val="single" w:sz="4" w:space="0" w:color="000000"/>
            </w:tcBorders>
          </w:tcPr>
          <w:p w:rsidR="0010345A" w:rsidRPr="003728B7" w:rsidRDefault="0010345A" w:rsidP="00E231A2">
            <w:pPr>
              <w:rPr>
                <w:sz w:val="18"/>
                <w:szCs w:val="18"/>
                <w:lang w:eastAsia="ja-JP"/>
              </w:rPr>
            </w:pPr>
          </w:p>
        </w:tc>
      </w:tr>
      <w:tr w:rsidR="0010345A" w:rsidRPr="003728B7" w:rsidTr="003728B7">
        <w:trPr>
          <w:jc w:val="center"/>
        </w:trPr>
        <w:tc>
          <w:tcPr>
            <w:tcW w:w="7890" w:type="dxa"/>
            <w:gridSpan w:val="3"/>
            <w:shd w:val="clear" w:color="auto" w:fill="EAF1DD" w:themeFill="accent3" w:themeFillTint="33"/>
          </w:tcPr>
          <w:p w:rsidR="0010345A" w:rsidRPr="003728B7" w:rsidRDefault="0010345A" w:rsidP="00E231A2">
            <w:pPr>
              <w:rPr>
                <w:b/>
                <w:i/>
                <w:sz w:val="18"/>
                <w:szCs w:val="18"/>
                <w:lang w:eastAsia="ja-JP"/>
              </w:rPr>
            </w:pPr>
            <w:r w:rsidRPr="003728B7">
              <w:rPr>
                <w:b/>
                <w:i/>
                <w:sz w:val="18"/>
                <w:szCs w:val="18"/>
                <w:lang w:eastAsia="ja-JP"/>
              </w:rPr>
              <w:t>5.2.12 Coexistence set element reconfiguration procedure</w:t>
            </w:r>
          </w:p>
        </w:tc>
      </w:tr>
      <w:tr w:rsidR="00D66ECE" w:rsidRPr="003728B7" w:rsidTr="003728B7">
        <w:trPr>
          <w:jc w:val="center"/>
        </w:trPr>
        <w:tc>
          <w:tcPr>
            <w:tcW w:w="6378" w:type="dxa"/>
            <w:tcBorders>
              <w:bottom w:val="single" w:sz="4" w:space="0" w:color="000000"/>
            </w:tcBorders>
          </w:tcPr>
          <w:p w:rsidR="00D66ECE" w:rsidRPr="003728B7" w:rsidRDefault="00D66ECE" w:rsidP="009E54E2">
            <w:pPr>
              <w:rPr>
                <w:sz w:val="18"/>
                <w:szCs w:val="18"/>
              </w:rPr>
            </w:pPr>
            <w:r w:rsidRPr="003728B7">
              <w:rPr>
                <w:sz w:val="18"/>
                <w:szCs w:val="18"/>
              </w:rPr>
              <w:t>5.2.12 Coexistence set element reconfiguration procedure</w:t>
            </w:r>
          </w:p>
        </w:tc>
        <w:tc>
          <w:tcPr>
            <w:tcW w:w="709" w:type="dxa"/>
            <w:tcBorders>
              <w:bottom w:val="single" w:sz="4" w:space="0" w:color="000000"/>
            </w:tcBorders>
          </w:tcPr>
          <w:p w:rsidR="00D66ECE" w:rsidRPr="003728B7" w:rsidRDefault="00D66ECE" w:rsidP="009E54E2">
            <w:pPr>
              <w:rPr>
                <w:sz w:val="18"/>
                <w:szCs w:val="18"/>
              </w:rPr>
            </w:pPr>
          </w:p>
        </w:tc>
        <w:tc>
          <w:tcPr>
            <w:tcW w:w="803" w:type="dxa"/>
            <w:tcBorders>
              <w:bottom w:val="single" w:sz="4" w:space="0" w:color="000000"/>
            </w:tcBorders>
          </w:tcPr>
          <w:p w:rsidR="00D66ECE" w:rsidRPr="003728B7" w:rsidRDefault="00D66ECE" w:rsidP="009E54E2">
            <w:pPr>
              <w:rPr>
                <w:sz w:val="18"/>
                <w:szCs w:val="18"/>
              </w:rPr>
            </w:pPr>
            <w:r w:rsidRPr="003728B7">
              <w:rPr>
                <w:sz w:val="18"/>
                <w:szCs w:val="18"/>
              </w:rPr>
              <w:t>Yes</w:t>
            </w:r>
          </w:p>
        </w:tc>
      </w:tr>
      <w:tr w:rsidR="00D66ECE" w:rsidRPr="003728B7" w:rsidTr="003728B7">
        <w:trPr>
          <w:jc w:val="center"/>
        </w:trPr>
        <w:tc>
          <w:tcPr>
            <w:tcW w:w="7890" w:type="dxa"/>
            <w:gridSpan w:val="3"/>
            <w:shd w:val="clear" w:color="auto" w:fill="EAF1DD" w:themeFill="accent3" w:themeFillTint="33"/>
          </w:tcPr>
          <w:p w:rsidR="00D66ECE" w:rsidRPr="003728B7" w:rsidRDefault="00D66ECE" w:rsidP="00E231A2">
            <w:pPr>
              <w:rPr>
                <w:b/>
                <w:i/>
                <w:sz w:val="18"/>
                <w:szCs w:val="18"/>
                <w:lang w:eastAsia="ja-JP"/>
              </w:rPr>
            </w:pPr>
            <w:r w:rsidRPr="003728B7">
              <w:rPr>
                <w:b/>
                <w:i/>
                <w:sz w:val="18"/>
                <w:szCs w:val="18"/>
                <w:lang w:eastAsia="ja-JP"/>
              </w:rPr>
              <w:t>5.2.13 Stop operation procedures</w:t>
            </w:r>
          </w:p>
        </w:tc>
      </w:tr>
      <w:tr w:rsidR="003728B7" w:rsidRPr="003728B7" w:rsidTr="003728B7">
        <w:trPr>
          <w:jc w:val="center"/>
        </w:trPr>
        <w:tc>
          <w:tcPr>
            <w:tcW w:w="6378" w:type="dxa"/>
          </w:tcPr>
          <w:p w:rsidR="003728B7" w:rsidRPr="003728B7" w:rsidRDefault="003728B7" w:rsidP="006E0190">
            <w:pPr>
              <w:rPr>
                <w:sz w:val="18"/>
                <w:szCs w:val="18"/>
              </w:rPr>
            </w:pPr>
            <w:r w:rsidRPr="003728B7">
              <w:rPr>
                <w:sz w:val="18"/>
                <w:szCs w:val="18"/>
              </w:rPr>
              <w:t>5.2.13.1 CE stop operation procedure</w:t>
            </w:r>
          </w:p>
        </w:tc>
        <w:tc>
          <w:tcPr>
            <w:tcW w:w="709" w:type="dxa"/>
          </w:tcPr>
          <w:p w:rsidR="003728B7" w:rsidRPr="003728B7" w:rsidRDefault="003728B7" w:rsidP="006E0190">
            <w:pPr>
              <w:rPr>
                <w:sz w:val="18"/>
                <w:szCs w:val="18"/>
              </w:rPr>
            </w:pPr>
          </w:p>
        </w:tc>
        <w:tc>
          <w:tcPr>
            <w:tcW w:w="803" w:type="dxa"/>
          </w:tcPr>
          <w:p w:rsidR="003728B7" w:rsidRPr="003728B7" w:rsidRDefault="003728B7" w:rsidP="006E0190">
            <w:pPr>
              <w:rPr>
                <w:sz w:val="18"/>
                <w:szCs w:val="18"/>
              </w:rPr>
            </w:pPr>
            <w:r w:rsidRPr="003728B7">
              <w:rPr>
                <w:sz w:val="18"/>
                <w:szCs w:val="18"/>
              </w:rPr>
              <w:t>Yes</w:t>
            </w:r>
          </w:p>
        </w:tc>
      </w:tr>
      <w:tr w:rsidR="003728B7" w:rsidRPr="003728B7" w:rsidTr="003728B7">
        <w:trPr>
          <w:jc w:val="center"/>
        </w:trPr>
        <w:tc>
          <w:tcPr>
            <w:tcW w:w="6378" w:type="dxa"/>
          </w:tcPr>
          <w:p w:rsidR="003728B7" w:rsidRPr="003728B7" w:rsidRDefault="003728B7" w:rsidP="006E0190">
            <w:pPr>
              <w:rPr>
                <w:sz w:val="18"/>
                <w:szCs w:val="18"/>
              </w:rPr>
            </w:pPr>
            <w:r w:rsidRPr="003728B7">
              <w:rPr>
                <w:sz w:val="18"/>
                <w:szCs w:val="18"/>
              </w:rPr>
              <w:t>5.2.13.2 CM stop operation procedure</w:t>
            </w:r>
          </w:p>
        </w:tc>
        <w:tc>
          <w:tcPr>
            <w:tcW w:w="709" w:type="dxa"/>
          </w:tcPr>
          <w:p w:rsidR="003728B7" w:rsidRPr="003728B7" w:rsidRDefault="003728B7" w:rsidP="006E0190">
            <w:pPr>
              <w:rPr>
                <w:sz w:val="18"/>
                <w:szCs w:val="18"/>
              </w:rPr>
            </w:pPr>
          </w:p>
        </w:tc>
        <w:tc>
          <w:tcPr>
            <w:tcW w:w="803" w:type="dxa"/>
          </w:tcPr>
          <w:p w:rsidR="003728B7" w:rsidRPr="003728B7" w:rsidRDefault="003728B7" w:rsidP="006E0190">
            <w:pPr>
              <w:rPr>
                <w:sz w:val="18"/>
                <w:szCs w:val="18"/>
              </w:rPr>
            </w:pPr>
            <w:r w:rsidRPr="003728B7">
              <w:rPr>
                <w:sz w:val="18"/>
                <w:szCs w:val="18"/>
              </w:rPr>
              <w:t>Yes</w:t>
            </w:r>
          </w:p>
        </w:tc>
      </w:tr>
      <w:tr w:rsidR="003728B7" w:rsidRPr="003728B7" w:rsidTr="003728B7">
        <w:trPr>
          <w:jc w:val="center"/>
        </w:trPr>
        <w:tc>
          <w:tcPr>
            <w:tcW w:w="6378" w:type="dxa"/>
            <w:tcBorders>
              <w:bottom w:val="single" w:sz="4" w:space="0" w:color="000000"/>
            </w:tcBorders>
          </w:tcPr>
          <w:p w:rsidR="003728B7" w:rsidRPr="003728B7" w:rsidRDefault="003728B7" w:rsidP="006E0190">
            <w:pPr>
              <w:rPr>
                <w:sz w:val="18"/>
                <w:szCs w:val="18"/>
              </w:rPr>
            </w:pPr>
            <w:r w:rsidRPr="003728B7">
              <w:rPr>
                <w:sz w:val="18"/>
                <w:szCs w:val="18"/>
              </w:rPr>
              <w:t>5.2.13.3 CDIS stop operation procedure</w:t>
            </w:r>
          </w:p>
        </w:tc>
        <w:tc>
          <w:tcPr>
            <w:tcW w:w="709" w:type="dxa"/>
            <w:tcBorders>
              <w:bottom w:val="single" w:sz="4" w:space="0" w:color="000000"/>
            </w:tcBorders>
          </w:tcPr>
          <w:p w:rsidR="003728B7" w:rsidRPr="003728B7" w:rsidRDefault="003728B7" w:rsidP="006E0190">
            <w:pPr>
              <w:rPr>
                <w:sz w:val="18"/>
                <w:szCs w:val="18"/>
              </w:rPr>
            </w:pPr>
          </w:p>
        </w:tc>
        <w:tc>
          <w:tcPr>
            <w:tcW w:w="803" w:type="dxa"/>
            <w:tcBorders>
              <w:bottom w:val="single" w:sz="4" w:space="0" w:color="000000"/>
            </w:tcBorders>
          </w:tcPr>
          <w:p w:rsidR="003728B7" w:rsidRPr="003728B7" w:rsidRDefault="003728B7" w:rsidP="006E0190">
            <w:pPr>
              <w:rPr>
                <w:sz w:val="18"/>
                <w:szCs w:val="18"/>
              </w:rPr>
            </w:pPr>
            <w:r w:rsidRPr="003728B7">
              <w:rPr>
                <w:sz w:val="18"/>
                <w:szCs w:val="18"/>
              </w:rPr>
              <w:t>Yes</w:t>
            </w:r>
          </w:p>
        </w:tc>
      </w:tr>
      <w:tr w:rsidR="003728B7" w:rsidRPr="003728B7" w:rsidTr="003728B7">
        <w:trPr>
          <w:jc w:val="center"/>
        </w:trPr>
        <w:tc>
          <w:tcPr>
            <w:tcW w:w="7890" w:type="dxa"/>
            <w:gridSpan w:val="3"/>
            <w:tcBorders>
              <w:bottom w:val="single" w:sz="4" w:space="0" w:color="000000"/>
            </w:tcBorders>
            <w:shd w:val="clear" w:color="auto" w:fill="EAF1DD" w:themeFill="accent3" w:themeFillTint="33"/>
          </w:tcPr>
          <w:p w:rsidR="003728B7" w:rsidRPr="003728B7" w:rsidRDefault="003728B7" w:rsidP="00E231A2">
            <w:pPr>
              <w:rPr>
                <w:b/>
                <w:i/>
                <w:sz w:val="18"/>
                <w:szCs w:val="18"/>
                <w:lang w:eastAsia="ja-JP"/>
              </w:rPr>
            </w:pPr>
            <w:r w:rsidRPr="003728B7">
              <w:rPr>
                <w:b/>
                <w:i/>
                <w:sz w:val="18"/>
                <w:szCs w:val="18"/>
                <w:lang w:eastAsia="ja-JP"/>
              </w:rPr>
              <w:t>5.2.14 Keep alive procedure</w:t>
            </w:r>
          </w:p>
        </w:tc>
      </w:tr>
      <w:tr w:rsidR="003728B7" w:rsidRPr="003728B7" w:rsidTr="003728B7">
        <w:trPr>
          <w:jc w:val="center"/>
        </w:trPr>
        <w:tc>
          <w:tcPr>
            <w:tcW w:w="6378" w:type="dxa"/>
            <w:shd w:val="clear" w:color="auto" w:fill="FF0000"/>
          </w:tcPr>
          <w:p w:rsidR="003728B7" w:rsidRPr="003728B7" w:rsidRDefault="003728B7" w:rsidP="00E0221E">
            <w:pPr>
              <w:rPr>
                <w:sz w:val="18"/>
                <w:szCs w:val="18"/>
                <w:lang w:eastAsia="ja-JP"/>
              </w:rPr>
            </w:pPr>
            <w:r w:rsidRPr="003728B7">
              <w:rPr>
                <w:sz w:val="18"/>
                <w:szCs w:val="18"/>
                <w:lang w:eastAsia="ja-JP"/>
              </w:rPr>
              <w:t>5.</w:t>
            </w:r>
            <w:r w:rsidR="00E0221E">
              <w:rPr>
                <w:rFonts w:hint="eastAsia"/>
                <w:sz w:val="18"/>
                <w:szCs w:val="18"/>
                <w:lang w:eastAsia="ja-JP"/>
              </w:rPr>
              <w:t>2</w:t>
            </w:r>
            <w:r w:rsidRPr="003728B7">
              <w:rPr>
                <w:sz w:val="18"/>
                <w:szCs w:val="18"/>
                <w:lang w:eastAsia="ja-JP"/>
              </w:rPr>
              <w:t>.14 Keep alive procedure</w:t>
            </w:r>
          </w:p>
        </w:tc>
        <w:tc>
          <w:tcPr>
            <w:tcW w:w="709" w:type="dxa"/>
            <w:shd w:val="clear" w:color="auto" w:fill="FF0000"/>
          </w:tcPr>
          <w:p w:rsidR="003728B7" w:rsidRPr="003728B7" w:rsidRDefault="003728B7" w:rsidP="00E231A2">
            <w:pPr>
              <w:rPr>
                <w:sz w:val="18"/>
                <w:szCs w:val="18"/>
                <w:lang w:eastAsia="ja-JP"/>
              </w:rPr>
            </w:pPr>
          </w:p>
        </w:tc>
        <w:tc>
          <w:tcPr>
            <w:tcW w:w="803" w:type="dxa"/>
            <w:shd w:val="clear" w:color="auto" w:fill="FF0000"/>
          </w:tcPr>
          <w:p w:rsidR="003728B7" w:rsidRPr="003728B7" w:rsidRDefault="003728B7" w:rsidP="00E231A2">
            <w:pPr>
              <w:rPr>
                <w:sz w:val="18"/>
                <w:szCs w:val="18"/>
                <w:lang w:eastAsia="ja-JP"/>
              </w:rPr>
            </w:pPr>
          </w:p>
        </w:tc>
      </w:tr>
      <w:tr w:rsidR="00E0221E" w:rsidRPr="003728B7" w:rsidTr="003728B7">
        <w:trPr>
          <w:jc w:val="center"/>
        </w:trPr>
        <w:tc>
          <w:tcPr>
            <w:tcW w:w="6378" w:type="dxa"/>
            <w:shd w:val="clear" w:color="auto" w:fill="FF0000"/>
          </w:tcPr>
          <w:p w:rsidR="00E0221E" w:rsidRPr="003728B7" w:rsidRDefault="00E0221E" w:rsidP="00E0221E">
            <w:pPr>
              <w:rPr>
                <w:sz w:val="18"/>
                <w:szCs w:val="18"/>
                <w:lang w:eastAsia="ja-JP"/>
              </w:rPr>
            </w:pPr>
            <w:r w:rsidRPr="003728B7">
              <w:rPr>
                <w:sz w:val="18"/>
                <w:szCs w:val="18"/>
                <w:lang w:eastAsia="ja-JP"/>
              </w:rPr>
              <w:t>5.</w:t>
            </w:r>
            <w:r>
              <w:rPr>
                <w:rFonts w:hint="eastAsia"/>
                <w:sz w:val="18"/>
                <w:szCs w:val="18"/>
                <w:lang w:eastAsia="ja-JP"/>
              </w:rPr>
              <w:t>1</w:t>
            </w:r>
            <w:r w:rsidRPr="003728B7">
              <w:rPr>
                <w:sz w:val="18"/>
                <w:szCs w:val="18"/>
                <w:lang w:eastAsia="ja-JP"/>
              </w:rPr>
              <w:t xml:space="preserve">.1 Keep alive </w:t>
            </w:r>
            <w:r>
              <w:rPr>
                <w:rFonts w:hint="eastAsia"/>
                <w:sz w:val="18"/>
                <w:szCs w:val="18"/>
                <w:lang w:eastAsia="ja-JP"/>
              </w:rPr>
              <w:t>mechanism</w:t>
            </w:r>
          </w:p>
        </w:tc>
        <w:tc>
          <w:tcPr>
            <w:tcW w:w="709" w:type="dxa"/>
            <w:shd w:val="clear" w:color="auto" w:fill="FF0000"/>
          </w:tcPr>
          <w:p w:rsidR="00E0221E" w:rsidRPr="003728B7" w:rsidRDefault="00E0221E" w:rsidP="00E231A2">
            <w:pPr>
              <w:rPr>
                <w:sz w:val="18"/>
                <w:szCs w:val="18"/>
                <w:lang w:eastAsia="ja-JP"/>
              </w:rPr>
            </w:pPr>
          </w:p>
        </w:tc>
        <w:tc>
          <w:tcPr>
            <w:tcW w:w="803" w:type="dxa"/>
            <w:shd w:val="clear" w:color="auto" w:fill="FF0000"/>
          </w:tcPr>
          <w:p w:rsidR="00E0221E" w:rsidRPr="003728B7" w:rsidRDefault="00E0221E" w:rsidP="00E231A2">
            <w:pPr>
              <w:rPr>
                <w:sz w:val="18"/>
                <w:szCs w:val="18"/>
                <w:lang w:eastAsia="ja-JP"/>
              </w:rPr>
            </w:pPr>
          </w:p>
        </w:tc>
      </w:tr>
    </w:tbl>
    <w:p w:rsidR="000C132D" w:rsidRPr="0052368A" w:rsidRDefault="000C132D" w:rsidP="00E231A2">
      <w:pPr>
        <w:rPr>
          <w:sz w:val="20"/>
          <w:lang w:eastAsia="ja-JP"/>
        </w:rPr>
      </w:pPr>
    </w:p>
    <w:sectPr w:rsidR="000C132D" w:rsidRPr="0052368A"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3A2" w:rsidRDefault="006C33A2">
      <w:r>
        <w:separator/>
      </w:r>
    </w:p>
  </w:endnote>
  <w:endnote w:type="continuationSeparator" w:id="0">
    <w:p w:rsidR="006C33A2" w:rsidRDefault="006C33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8A" w:rsidRPr="00F53F59" w:rsidRDefault="004A12F9">
    <w:pPr>
      <w:pStyle w:val="Footer"/>
      <w:tabs>
        <w:tab w:val="clear" w:pos="6480"/>
        <w:tab w:val="center" w:pos="4680"/>
        <w:tab w:val="right" w:pos="9360"/>
      </w:tabs>
      <w:rPr>
        <w:lang w:val="fi-FI" w:eastAsia="ja-JP"/>
      </w:rPr>
    </w:pPr>
    <w:fldSimple w:instr=" SUBJECT  \* MERGEFORMAT ">
      <w:r w:rsidR="0052368A" w:rsidRPr="00535F36">
        <w:rPr>
          <w:lang w:val="fi-FI"/>
        </w:rPr>
        <w:t>Submission</w:t>
      </w:r>
    </w:fldSimple>
    <w:r w:rsidR="0052368A" w:rsidRPr="00F53F59">
      <w:rPr>
        <w:lang w:val="fi-FI"/>
      </w:rPr>
      <w:tab/>
      <w:t xml:space="preserve">page </w:t>
    </w:r>
    <w:r>
      <w:fldChar w:fldCharType="begin"/>
    </w:r>
    <w:r w:rsidR="0052368A" w:rsidRPr="00F53F59">
      <w:rPr>
        <w:lang w:val="fi-FI"/>
      </w:rPr>
      <w:instrText xml:space="preserve">page </w:instrText>
    </w:r>
    <w:r>
      <w:fldChar w:fldCharType="separate"/>
    </w:r>
    <w:r w:rsidR="00E0221E">
      <w:rPr>
        <w:noProof/>
        <w:lang w:val="fi-FI"/>
      </w:rPr>
      <w:t>2</w:t>
    </w:r>
    <w:r>
      <w:fldChar w:fldCharType="end"/>
    </w:r>
    <w:r w:rsidR="0052368A" w:rsidRPr="00F53F59">
      <w:rPr>
        <w:lang w:val="fi-FI"/>
      </w:rPr>
      <w:tab/>
    </w:r>
    <w:r w:rsidR="0052368A">
      <w:rPr>
        <w:rFonts w:hint="eastAsia"/>
        <w:lang w:eastAsia="ja-JP"/>
      </w:rPr>
      <w:t>NICT</w:t>
    </w:r>
  </w:p>
  <w:p w:rsidR="0052368A" w:rsidRPr="00F53F59" w:rsidRDefault="0052368A">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3A2" w:rsidRDefault="006C33A2">
      <w:r>
        <w:separator/>
      </w:r>
    </w:p>
  </w:footnote>
  <w:footnote w:type="continuationSeparator" w:id="0">
    <w:p w:rsidR="006C33A2" w:rsidRDefault="006C3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8A" w:rsidRDefault="0052368A">
    <w:pPr>
      <w:pStyle w:val="Header"/>
      <w:tabs>
        <w:tab w:val="clear" w:pos="6480"/>
        <w:tab w:val="center" w:pos="4680"/>
        <w:tab w:val="right" w:pos="9360"/>
      </w:tabs>
      <w:rPr>
        <w:lang w:eastAsia="ja-JP"/>
      </w:rPr>
    </w:pPr>
    <w:r>
      <w:rPr>
        <w:rFonts w:hint="eastAsia"/>
        <w:lang w:eastAsia="ja-JP"/>
      </w:rPr>
      <w:t>September 2013</w:t>
    </w:r>
    <w:r>
      <w:tab/>
    </w:r>
    <w:r>
      <w:tab/>
    </w:r>
    <w:r>
      <w:rPr>
        <w:rFonts w:hint="eastAsia"/>
        <w:lang w:eastAsia="ja-JP"/>
      </w:rPr>
      <w:t>doc.: IEEE 802.19-13/0</w:t>
    </w:r>
    <w:r w:rsidR="008C2199">
      <w:rPr>
        <w:rFonts w:hint="eastAsia"/>
        <w:lang w:eastAsia="ja-JP"/>
      </w:rPr>
      <w:t>11</w:t>
    </w:r>
    <w:r w:rsidR="00566F44">
      <w:rPr>
        <w:rFonts w:hint="eastAsia"/>
        <w:lang w:eastAsia="ja-JP"/>
      </w:rPr>
      <w:t>9</w:t>
    </w:r>
    <w:r>
      <w:rPr>
        <w:rFonts w:hint="eastAsia"/>
        <w:lang w:eastAsia="ja-JP"/>
      </w:rPr>
      <w:t>r</w:t>
    </w:r>
    <w:r w:rsidR="000F4238">
      <w:rPr>
        <w:rFonts w:hint="eastAsia"/>
        <w:lang w:eastAsia="ja-JP"/>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tplc="F5764E14">
      <w:start w:val="1"/>
      <w:numFmt w:val="bullet"/>
      <w:lvlText w:val=""/>
      <w:lvlJc w:val="left"/>
      <w:pPr>
        <w:ind w:left="420" w:hanging="420"/>
      </w:pPr>
      <w:rPr>
        <w:rFonts w:ascii="Wingdings" w:hAnsi="Wingdings" w:hint="default"/>
      </w:rPr>
    </w:lvl>
    <w:lvl w:ilvl="1" w:tplc="B2C247FE">
      <w:start w:val="1"/>
      <w:numFmt w:val="bullet"/>
      <w:lvlText w:val=""/>
      <w:lvlJc w:val="left"/>
      <w:pPr>
        <w:ind w:left="840" w:hanging="420"/>
      </w:pPr>
      <w:rPr>
        <w:rFonts w:ascii="Wingdings" w:hAnsi="Wingdings" w:hint="default"/>
      </w:rPr>
    </w:lvl>
    <w:lvl w:ilvl="2" w:tplc="48D6CAA0" w:tentative="1">
      <w:start w:val="1"/>
      <w:numFmt w:val="bullet"/>
      <w:lvlText w:val=""/>
      <w:lvlJc w:val="left"/>
      <w:pPr>
        <w:ind w:left="1260" w:hanging="420"/>
      </w:pPr>
      <w:rPr>
        <w:rFonts w:ascii="Wingdings" w:hAnsi="Wingdings" w:hint="default"/>
      </w:rPr>
    </w:lvl>
    <w:lvl w:ilvl="3" w:tplc="DD640040" w:tentative="1">
      <w:start w:val="1"/>
      <w:numFmt w:val="bullet"/>
      <w:lvlText w:val=""/>
      <w:lvlJc w:val="left"/>
      <w:pPr>
        <w:ind w:left="1680" w:hanging="420"/>
      </w:pPr>
      <w:rPr>
        <w:rFonts w:ascii="Wingdings" w:hAnsi="Wingdings" w:hint="default"/>
      </w:rPr>
    </w:lvl>
    <w:lvl w:ilvl="4" w:tplc="0C92802C" w:tentative="1">
      <w:start w:val="1"/>
      <w:numFmt w:val="bullet"/>
      <w:lvlText w:val=""/>
      <w:lvlJc w:val="left"/>
      <w:pPr>
        <w:ind w:left="2100" w:hanging="420"/>
      </w:pPr>
      <w:rPr>
        <w:rFonts w:ascii="Wingdings" w:hAnsi="Wingdings" w:hint="default"/>
      </w:rPr>
    </w:lvl>
    <w:lvl w:ilvl="5" w:tplc="9FD40A72" w:tentative="1">
      <w:start w:val="1"/>
      <w:numFmt w:val="bullet"/>
      <w:lvlText w:val=""/>
      <w:lvlJc w:val="left"/>
      <w:pPr>
        <w:ind w:left="2520" w:hanging="420"/>
      </w:pPr>
      <w:rPr>
        <w:rFonts w:ascii="Wingdings" w:hAnsi="Wingdings" w:hint="default"/>
      </w:rPr>
    </w:lvl>
    <w:lvl w:ilvl="6" w:tplc="153E5AC4" w:tentative="1">
      <w:start w:val="1"/>
      <w:numFmt w:val="bullet"/>
      <w:lvlText w:val=""/>
      <w:lvlJc w:val="left"/>
      <w:pPr>
        <w:ind w:left="2940" w:hanging="420"/>
      </w:pPr>
      <w:rPr>
        <w:rFonts w:ascii="Wingdings" w:hAnsi="Wingdings" w:hint="default"/>
      </w:rPr>
    </w:lvl>
    <w:lvl w:ilvl="7" w:tplc="A8706688" w:tentative="1">
      <w:start w:val="1"/>
      <w:numFmt w:val="bullet"/>
      <w:lvlText w:val=""/>
      <w:lvlJc w:val="left"/>
      <w:pPr>
        <w:ind w:left="3360" w:hanging="420"/>
      </w:pPr>
      <w:rPr>
        <w:rFonts w:ascii="Wingdings" w:hAnsi="Wingdings" w:hint="default"/>
      </w:rPr>
    </w:lvl>
    <w:lvl w:ilvl="8" w:tplc="CE7E43A8"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tplc="EF9E0300">
      <w:start w:val="1"/>
      <w:numFmt w:val="bullet"/>
      <w:lvlText w:val=""/>
      <w:lvlJc w:val="left"/>
      <w:pPr>
        <w:ind w:left="420" w:hanging="420"/>
      </w:pPr>
      <w:rPr>
        <w:rFonts w:ascii="Wingdings" w:hAnsi="Wingdings" w:hint="default"/>
      </w:rPr>
    </w:lvl>
    <w:lvl w:ilvl="1" w:tplc="8E16615E" w:tentative="1">
      <w:start w:val="1"/>
      <w:numFmt w:val="bullet"/>
      <w:lvlText w:val=""/>
      <w:lvlJc w:val="left"/>
      <w:pPr>
        <w:ind w:left="840" w:hanging="420"/>
      </w:pPr>
      <w:rPr>
        <w:rFonts w:ascii="Wingdings" w:hAnsi="Wingdings" w:hint="default"/>
      </w:rPr>
    </w:lvl>
    <w:lvl w:ilvl="2" w:tplc="A6D2367E" w:tentative="1">
      <w:start w:val="1"/>
      <w:numFmt w:val="bullet"/>
      <w:lvlText w:val=""/>
      <w:lvlJc w:val="left"/>
      <w:pPr>
        <w:ind w:left="1260" w:hanging="420"/>
      </w:pPr>
      <w:rPr>
        <w:rFonts w:ascii="Wingdings" w:hAnsi="Wingdings" w:hint="default"/>
      </w:rPr>
    </w:lvl>
    <w:lvl w:ilvl="3" w:tplc="CC02E2EE" w:tentative="1">
      <w:start w:val="1"/>
      <w:numFmt w:val="bullet"/>
      <w:lvlText w:val=""/>
      <w:lvlJc w:val="left"/>
      <w:pPr>
        <w:ind w:left="1680" w:hanging="420"/>
      </w:pPr>
      <w:rPr>
        <w:rFonts w:ascii="Wingdings" w:hAnsi="Wingdings" w:hint="default"/>
      </w:rPr>
    </w:lvl>
    <w:lvl w:ilvl="4" w:tplc="444A5D48" w:tentative="1">
      <w:start w:val="1"/>
      <w:numFmt w:val="bullet"/>
      <w:lvlText w:val=""/>
      <w:lvlJc w:val="left"/>
      <w:pPr>
        <w:ind w:left="2100" w:hanging="420"/>
      </w:pPr>
      <w:rPr>
        <w:rFonts w:ascii="Wingdings" w:hAnsi="Wingdings" w:hint="default"/>
      </w:rPr>
    </w:lvl>
    <w:lvl w:ilvl="5" w:tplc="FE7A11AC" w:tentative="1">
      <w:start w:val="1"/>
      <w:numFmt w:val="bullet"/>
      <w:lvlText w:val=""/>
      <w:lvlJc w:val="left"/>
      <w:pPr>
        <w:ind w:left="2520" w:hanging="420"/>
      </w:pPr>
      <w:rPr>
        <w:rFonts w:ascii="Wingdings" w:hAnsi="Wingdings" w:hint="default"/>
      </w:rPr>
    </w:lvl>
    <w:lvl w:ilvl="6" w:tplc="517A0448" w:tentative="1">
      <w:start w:val="1"/>
      <w:numFmt w:val="bullet"/>
      <w:lvlText w:val=""/>
      <w:lvlJc w:val="left"/>
      <w:pPr>
        <w:ind w:left="2940" w:hanging="420"/>
      </w:pPr>
      <w:rPr>
        <w:rFonts w:ascii="Wingdings" w:hAnsi="Wingdings" w:hint="default"/>
      </w:rPr>
    </w:lvl>
    <w:lvl w:ilvl="7" w:tplc="B71C4C22" w:tentative="1">
      <w:start w:val="1"/>
      <w:numFmt w:val="bullet"/>
      <w:lvlText w:val=""/>
      <w:lvlJc w:val="left"/>
      <w:pPr>
        <w:ind w:left="3360" w:hanging="420"/>
      </w:pPr>
      <w:rPr>
        <w:rFonts w:ascii="Wingdings" w:hAnsi="Wingdings" w:hint="default"/>
      </w:rPr>
    </w:lvl>
    <w:lvl w:ilvl="8" w:tplc="0A107BDC"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0409000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D35AB16C">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BCE2D0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A6221570"/>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tplc="1FFC5CDE">
      <w:start w:val="1"/>
      <w:numFmt w:val="bullet"/>
      <w:lvlText w:val=""/>
      <w:lvlJc w:val="left"/>
      <w:pPr>
        <w:ind w:left="420" w:hanging="420"/>
      </w:pPr>
      <w:rPr>
        <w:rFonts w:ascii="Wingdings" w:hAnsi="Wingdings" w:hint="default"/>
      </w:rPr>
    </w:lvl>
    <w:lvl w:ilvl="1" w:tplc="359631A0" w:tentative="1">
      <w:start w:val="1"/>
      <w:numFmt w:val="bullet"/>
      <w:lvlText w:val=""/>
      <w:lvlJc w:val="left"/>
      <w:pPr>
        <w:ind w:left="840" w:hanging="420"/>
      </w:pPr>
      <w:rPr>
        <w:rFonts w:ascii="Wingdings" w:hAnsi="Wingdings" w:hint="default"/>
      </w:rPr>
    </w:lvl>
    <w:lvl w:ilvl="2" w:tplc="38F6A5E2" w:tentative="1">
      <w:start w:val="1"/>
      <w:numFmt w:val="bullet"/>
      <w:lvlText w:val=""/>
      <w:lvlJc w:val="left"/>
      <w:pPr>
        <w:ind w:left="1260" w:hanging="420"/>
      </w:pPr>
      <w:rPr>
        <w:rFonts w:ascii="Wingdings" w:hAnsi="Wingdings" w:hint="default"/>
      </w:rPr>
    </w:lvl>
    <w:lvl w:ilvl="3" w:tplc="3BF21826" w:tentative="1">
      <w:start w:val="1"/>
      <w:numFmt w:val="bullet"/>
      <w:lvlText w:val=""/>
      <w:lvlJc w:val="left"/>
      <w:pPr>
        <w:ind w:left="1680" w:hanging="420"/>
      </w:pPr>
      <w:rPr>
        <w:rFonts w:ascii="Wingdings" w:hAnsi="Wingdings" w:hint="default"/>
      </w:rPr>
    </w:lvl>
    <w:lvl w:ilvl="4" w:tplc="D01C3962" w:tentative="1">
      <w:start w:val="1"/>
      <w:numFmt w:val="bullet"/>
      <w:lvlText w:val=""/>
      <w:lvlJc w:val="left"/>
      <w:pPr>
        <w:ind w:left="2100" w:hanging="420"/>
      </w:pPr>
      <w:rPr>
        <w:rFonts w:ascii="Wingdings" w:hAnsi="Wingdings" w:hint="default"/>
      </w:rPr>
    </w:lvl>
    <w:lvl w:ilvl="5" w:tplc="CB30792C" w:tentative="1">
      <w:start w:val="1"/>
      <w:numFmt w:val="bullet"/>
      <w:lvlText w:val=""/>
      <w:lvlJc w:val="left"/>
      <w:pPr>
        <w:ind w:left="2520" w:hanging="420"/>
      </w:pPr>
      <w:rPr>
        <w:rFonts w:ascii="Wingdings" w:hAnsi="Wingdings" w:hint="default"/>
      </w:rPr>
    </w:lvl>
    <w:lvl w:ilvl="6" w:tplc="04740F4E" w:tentative="1">
      <w:start w:val="1"/>
      <w:numFmt w:val="bullet"/>
      <w:lvlText w:val=""/>
      <w:lvlJc w:val="left"/>
      <w:pPr>
        <w:ind w:left="2940" w:hanging="420"/>
      </w:pPr>
      <w:rPr>
        <w:rFonts w:ascii="Wingdings" w:hAnsi="Wingdings" w:hint="default"/>
      </w:rPr>
    </w:lvl>
    <w:lvl w:ilvl="7" w:tplc="8108767C" w:tentative="1">
      <w:start w:val="1"/>
      <w:numFmt w:val="bullet"/>
      <w:lvlText w:val=""/>
      <w:lvlJc w:val="left"/>
      <w:pPr>
        <w:ind w:left="3360" w:hanging="420"/>
      </w:pPr>
      <w:rPr>
        <w:rFonts w:ascii="Wingdings" w:hAnsi="Wingdings" w:hint="default"/>
      </w:rPr>
    </w:lvl>
    <w:lvl w:ilvl="8" w:tplc="1400C0F6"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tplc="52C26BA2">
      <w:start w:val="1"/>
      <w:numFmt w:val="bullet"/>
      <w:lvlText w:val=""/>
      <w:lvlJc w:val="left"/>
      <w:pPr>
        <w:ind w:left="420" w:hanging="420"/>
      </w:pPr>
      <w:rPr>
        <w:rFonts w:ascii="Wingdings" w:hAnsi="Wingdings" w:hint="default"/>
      </w:rPr>
    </w:lvl>
    <w:lvl w:ilvl="1" w:tplc="A5A89DB8" w:tentative="1">
      <w:start w:val="1"/>
      <w:numFmt w:val="bullet"/>
      <w:lvlText w:val=""/>
      <w:lvlJc w:val="left"/>
      <w:pPr>
        <w:ind w:left="840" w:hanging="420"/>
      </w:pPr>
      <w:rPr>
        <w:rFonts w:ascii="Wingdings" w:hAnsi="Wingdings" w:hint="default"/>
      </w:rPr>
    </w:lvl>
    <w:lvl w:ilvl="2" w:tplc="052A86F6" w:tentative="1">
      <w:start w:val="1"/>
      <w:numFmt w:val="bullet"/>
      <w:lvlText w:val=""/>
      <w:lvlJc w:val="left"/>
      <w:pPr>
        <w:ind w:left="1260" w:hanging="420"/>
      </w:pPr>
      <w:rPr>
        <w:rFonts w:ascii="Wingdings" w:hAnsi="Wingdings" w:hint="default"/>
      </w:rPr>
    </w:lvl>
    <w:lvl w:ilvl="3" w:tplc="2586D770" w:tentative="1">
      <w:start w:val="1"/>
      <w:numFmt w:val="bullet"/>
      <w:lvlText w:val=""/>
      <w:lvlJc w:val="left"/>
      <w:pPr>
        <w:ind w:left="1680" w:hanging="420"/>
      </w:pPr>
      <w:rPr>
        <w:rFonts w:ascii="Wingdings" w:hAnsi="Wingdings" w:hint="default"/>
      </w:rPr>
    </w:lvl>
    <w:lvl w:ilvl="4" w:tplc="8D825C58" w:tentative="1">
      <w:start w:val="1"/>
      <w:numFmt w:val="bullet"/>
      <w:lvlText w:val=""/>
      <w:lvlJc w:val="left"/>
      <w:pPr>
        <w:ind w:left="2100" w:hanging="420"/>
      </w:pPr>
      <w:rPr>
        <w:rFonts w:ascii="Wingdings" w:hAnsi="Wingdings" w:hint="default"/>
      </w:rPr>
    </w:lvl>
    <w:lvl w:ilvl="5" w:tplc="0A269762" w:tentative="1">
      <w:start w:val="1"/>
      <w:numFmt w:val="bullet"/>
      <w:lvlText w:val=""/>
      <w:lvlJc w:val="left"/>
      <w:pPr>
        <w:ind w:left="2520" w:hanging="420"/>
      </w:pPr>
      <w:rPr>
        <w:rFonts w:ascii="Wingdings" w:hAnsi="Wingdings" w:hint="default"/>
      </w:rPr>
    </w:lvl>
    <w:lvl w:ilvl="6" w:tplc="F97CC5E6" w:tentative="1">
      <w:start w:val="1"/>
      <w:numFmt w:val="bullet"/>
      <w:lvlText w:val=""/>
      <w:lvlJc w:val="left"/>
      <w:pPr>
        <w:ind w:left="2940" w:hanging="420"/>
      </w:pPr>
      <w:rPr>
        <w:rFonts w:ascii="Wingdings" w:hAnsi="Wingdings" w:hint="default"/>
      </w:rPr>
    </w:lvl>
    <w:lvl w:ilvl="7" w:tplc="AD820382" w:tentative="1">
      <w:start w:val="1"/>
      <w:numFmt w:val="bullet"/>
      <w:lvlText w:val=""/>
      <w:lvlJc w:val="left"/>
      <w:pPr>
        <w:ind w:left="3360" w:hanging="420"/>
      </w:pPr>
      <w:rPr>
        <w:rFonts w:ascii="Wingdings" w:hAnsi="Wingdings" w:hint="default"/>
      </w:rPr>
    </w:lvl>
    <w:lvl w:ilvl="8" w:tplc="010C6330"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B">
      <w:start w:val="1"/>
      <w:numFmt w:val="bullet"/>
      <w:lvlText w:val="o"/>
      <w:lvlJc w:val="left"/>
      <w:pPr>
        <w:ind w:left="1545" w:hanging="360"/>
      </w:pPr>
      <w:rPr>
        <w:rFonts w:ascii="Courier New" w:hAnsi="Courier New" w:cs="Courier New" w:hint="default"/>
      </w:rPr>
    </w:lvl>
    <w:lvl w:ilvl="2" w:tplc="0409000D"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B" w:tentative="1">
      <w:start w:val="1"/>
      <w:numFmt w:val="bullet"/>
      <w:lvlText w:val="o"/>
      <w:lvlJc w:val="left"/>
      <w:pPr>
        <w:ind w:left="3705" w:hanging="360"/>
      </w:pPr>
      <w:rPr>
        <w:rFonts w:ascii="Courier New" w:hAnsi="Courier New" w:cs="Courier New" w:hint="default"/>
      </w:rPr>
    </w:lvl>
    <w:lvl w:ilvl="5" w:tplc="0409000D"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B" w:tentative="1">
      <w:start w:val="1"/>
      <w:numFmt w:val="bullet"/>
      <w:lvlText w:val="o"/>
      <w:lvlJc w:val="left"/>
      <w:pPr>
        <w:ind w:left="5865" w:hanging="360"/>
      </w:pPr>
      <w:rPr>
        <w:rFonts w:ascii="Courier New" w:hAnsi="Courier New" w:cs="Courier New" w:hint="default"/>
      </w:rPr>
    </w:lvl>
    <w:lvl w:ilvl="8" w:tplc="0409000D"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3"/>
  </w:num>
  <w:num w:numId="9">
    <w:abstractNumId w:val="21"/>
  </w:num>
  <w:num w:numId="10">
    <w:abstractNumId w:val="14"/>
  </w:num>
  <w:num w:numId="11">
    <w:abstractNumId w:val="17"/>
  </w:num>
  <w:num w:numId="12">
    <w:abstractNumId w:val="15"/>
  </w:num>
  <w:num w:numId="13">
    <w:abstractNumId w:val="26"/>
  </w:num>
  <w:num w:numId="14">
    <w:abstractNumId w:val="19"/>
  </w:num>
  <w:num w:numId="15">
    <w:abstractNumId w:val="31"/>
  </w:num>
  <w:num w:numId="16">
    <w:abstractNumId w:val="22"/>
  </w:num>
  <w:num w:numId="17">
    <w:abstractNumId w:val="6"/>
  </w:num>
  <w:num w:numId="18">
    <w:abstractNumId w:val="35"/>
  </w:num>
  <w:num w:numId="19">
    <w:abstractNumId w:val="38"/>
  </w:num>
  <w:num w:numId="20">
    <w:abstractNumId w:val="13"/>
  </w:num>
  <w:num w:numId="21">
    <w:abstractNumId w:val="36"/>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intFractionalCharacterWidth/>
  <w:mirrorMargins/>
  <w:bordersDoNotSurroundHeader/>
  <w:bordersDoNotSurroundFooter/>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6914">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16A"/>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132D"/>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238"/>
    <w:rsid w:val="000F4F44"/>
    <w:rsid w:val="000F5ED6"/>
    <w:rsid w:val="000F7A5E"/>
    <w:rsid w:val="001000FC"/>
    <w:rsid w:val="001007E4"/>
    <w:rsid w:val="0010104D"/>
    <w:rsid w:val="00101C4A"/>
    <w:rsid w:val="0010345A"/>
    <w:rsid w:val="00103BDA"/>
    <w:rsid w:val="00104FA1"/>
    <w:rsid w:val="0010545E"/>
    <w:rsid w:val="00106122"/>
    <w:rsid w:val="0011034E"/>
    <w:rsid w:val="00110FED"/>
    <w:rsid w:val="00112ECE"/>
    <w:rsid w:val="00113A4B"/>
    <w:rsid w:val="00114126"/>
    <w:rsid w:val="001141F8"/>
    <w:rsid w:val="0011622D"/>
    <w:rsid w:val="0012005A"/>
    <w:rsid w:val="00121BBF"/>
    <w:rsid w:val="0012243B"/>
    <w:rsid w:val="00130287"/>
    <w:rsid w:val="00130657"/>
    <w:rsid w:val="00131953"/>
    <w:rsid w:val="00135772"/>
    <w:rsid w:val="001359AA"/>
    <w:rsid w:val="001377DD"/>
    <w:rsid w:val="00140A7A"/>
    <w:rsid w:val="001437FA"/>
    <w:rsid w:val="001459CC"/>
    <w:rsid w:val="001467DA"/>
    <w:rsid w:val="00146FB1"/>
    <w:rsid w:val="00147FE9"/>
    <w:rsid w:val="00150964"/>
    <w:rsid w:val="001510D6"/>
    <w:rsid w:val="001513BB"/>
    <w:rsid w:val="001513E4"/>
    <w:rsid w:val="00152100"/>
    <w:rsid w:val="001521C2"/>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975CB"/>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10D6"/>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2F02"/>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1B51"/>
    <w:rsid w:val="00292092"/>
    <w:rsid w:val="0029248F"/>
    <w:rsid w:val="00296022"/>
    <w:rsid w:val="002A0A51"/>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247A"/>
    <w:rsid w:val="002E62C2"/>
    <w:rsid w:val="002E6556"/>
    <w:rsid w:val="002E7F71"/>
    <w:rsid w:val="002F06E4"/>
    <w:rsid w:val="002F2B0C"/>
    <w:rsid w:val="002F5F8A"/>
    <w:rsid w:val="002F6349"/>
    <w:rsid w:val="002F6AC5"/>
    <w:rsid w:val="003004F0"/>
    <w:rsid w:val="00300E65"/>
    <w:rsid w:val="003015AE"/>
    <w:rsid w:val="00302809"/>
    <w:rsid w:val="00303D4C"/>
    <w:rsid w:val="00303E10"/>
    <w:rsid w:val="00304B34"/>
    <w:rsid w:val="00305771"/>
    <w:rsid w:val="0030662E"/>
    <w:rsid w:val="00306EA1"/>
    <w:rsid w:val="00307836"/>
    <w:rsid w:val="00307930"/>
    <w:rsid w:val="003107CB"/>
    <w:rsid w:val="00310962"/>
    <w:rsid w:val="00312099"/>
    <w:rsid w:val="00312890"/>
    <w:rsid w:val="0031385C"/>
    <w:rsid w:val="00313FE4"/>
    <w:rsid w:val="003140DF"/>
    <w:rsid w:val="00314EC1"/>
    <w:rsid w:val="00315FE4"/>
    <w:rsid w:val="00317466"/>
    <w:rsid w:val="00317F2F"/>
    <w:rsid w:val="003212D9"/>
    <w:rsid w:val="00322346"/>
    <w:rsid w:val="0032374C"/>
    <w:rsid w:val="00324312"/>
    <w:rsid w:val="00324880"/>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57476"/>
    <w:rsid w:val="003601B5"/>
    <w:rsid w:val="00360D3D"/>
    <w:rsid w:val="0036147B"/>
    <w:rsid w:val="00363C4E"/>
    <w:rsid w:val="00365BD7"/>
    <w:rsid w:val="00370EE7"/>
    <w:rsid w:val="00371CFE"/>
    <w:rsid w:val="003728B7"/>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3D51"/>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236C"/>
    <w:rsid w:val="003F466F"/>
    <w:rsid w:val="003F53A5"/>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2F9"/>
    <w:rsid w:val="004A163D"/>
    <w:rsid w:val="004A205E"/>
    <w:rsid w:val="004A2A6C"/>
    <w:rsid w:val="004A413A"/>
    <w:rsid w:val="004A4E42"/>
    <w:rsid w:val="004A55B0"/>
    <w:rsid w:val="004B0710"/>
    <w:rsid w:val="004B3AD5"/>
    <w:rsid w:val="004B3D8D"/>
    <w:rsid w:val="004B54A0"/>
    <w:rsid w:val="004B7E97"/>
    <w:rsid w:val="004C22A9"/>
    <w:rsid w:val="004C2304"/>
    <w:rsid w:val="004C3CBB"/>
    <w:rsid w:val="004C5681"/>
    <w:rsid w:val="004C581C"/>
    <w:rsid w:val="004C5908"/>
    <w:rsid w:val="004C5D82"/>
    <w:rsid w:val="004C6313"/>
    <w:rsid w:val="004C6BBE"/>
    <w:rsid w:val="004D2052"/>
    <w:rsid w:val="004D2057"/>
    <w:rsid w:val="004D2108"/>
    <w:rsid w:val="004D76DB"/>
    <w:rsid w:val="004D7C26"/>
    <w:rsid w:val="004E0F10"/>
    <w:rsid w:val="004E394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368A"/>
    <w:rsid w:val="00524456"/>
    <w:rsid w:val="00525BF2"/>
    <w:rsid w:val="00526B2A"/>
    <w:rsid w:val="0053041C"/>
    <w:rsid w:val="00530981"/>
    <w:rsid w:val="0053388E"/>
    <w:rsid w:val="0053547A"/>
    <w:rsid w:val="00535BF4"/>
    <w:rsid w:val="00535F36"/>
    <w:rsid w:val="0053784D"/>
    <w:rsid w:val="0054345E"/>
    <w:rsid w:val="00543906"/>
    <w:rsid w:val="00547016"/>
    <w:rsid w:val="00550857"/>
    <w:rsid w:val="005513BE"/>
    <w:rsid w:val="0055152D"/>
    <w:rsid w:val="00552B63"/>
    <w:rsid w:val="00552E28"/>
    <w:rsid w:val="00553229"/>
    <w:rsid w:val="00556229"/>
    <w:rsid w:val="00556236"/>
    <w:rsid w:val="005568C1"/>
    <w:rsid w:val="005604BE"/>
    <w:rsid w:val="005639B4"/>
    <w:rsid w:val="00565953"/>
    <w:rsid w:val="00566F44"/>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14A5"/>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314DC"/>
    <w:rsid w:val="006355AB"/>
    <w:rsid w:val="006358B9"/>
    <w:rsid w:val="00635B17"/>
    <w:rsid w:val="006362F7"/>
    <w:rsid w:val="00643C3C"/>
    <w:rsid w:val="00643D76"/>
    <w:rsid w:val="00643F2E"/>
    <w:rsid w:val="006516AE"/>
    <w:rsid w:val="00653057"/>
    <w:rsid w:val="006535D2"/>
    <w:rsid w:val="0065781E"/>
    <w:rsid w:val="006615C6"/>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841"/>
    <w:rsid w:val="006A2B15"/>
    <w:rsid w:val="006A2C22"/>
    <w:rsid w:val="006A3F5A"/>
    <w:rsid w:val="006A67EA"/>
    <w:rsid w:val="006A684C"/>
    <w:rsid w:val="006A720A"/>
    <w:rsid w:val="006B0DC5"/>
    <w:rsid w:val="006C1A98"/>
    <w:rsid w:val="006C3328"/>
    <w:rsid w:val="006C33A2"/>
    <w:rsid w:val="006C50E6"/>
    <w:rsid w:val="006C51F4"/>
    <w:rsid w:val="006C55F3"/>
    <w:rsid w:val="006C5EDE"/>
    <w:rsid w:val="006C714B"/>
    <w:rsid w:val="006C73EE"/>
    <w:rsid w:val="006D250E"/>
    <w:rsid w:val="006D6E89"/>
    <w:rsid w:val="006E06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2F85"/>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6C07"/>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56C"/>
    <w:rsid w:val="008358BA"/>
    <w:rsid w:val="00840649"/>
    <w:rsid w:val="0084144C"/>
    <w:rsid w:val="00841E15"/>
    <w:rsid w:val="0084276A"/>
    <w:rsid w:val="00844CC2"/>
    <w:rsid w:val="00845657"/>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462E"/>
    <w:rsid w:val="00875F87"/>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219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1F36"/>
    <w:rsid w:val="00913CE1"/>
    <w:rsid w:val="00914416"/>
    <w:rsid w:val="00914B29"/>
    <w:rsid w:val="009156B8"/>
    <w:rsid w:val="009168CF"/>
    <w:rsid w:val="009174D1"/>
    <w:rsid w:val="00917914"/>
    <w:rsid w:val="00917B4E"/>
    <w:rsid w:val="00917F54"/>
    <w:rsid w:val="009201A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0BFC"/>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268B5"/>
    <w:rsid w:val="00A3137E"/>
    <w:rsid w:val="00A332B2"/>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983"/>
    <w:rsid w:val="00A50F05"/>
    <w:rsid w:val="00A51710"/>
    <w:rsid w:val="00A53960"/>
    <w:rsid w:val="00A55CBF"/>
    <w:rsid w:val="00A574D9"/>
    <w:rsid w:val="00A574EA"/>
    <w:rsid w:val="00A6100C"/>
    <w:rsid w:val="00A618A0"/>
    <w:rsid w:val="00A63503"/>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5A6C"/>
    <w:rsid w:val="00AB64E9"/>
    <w:rsid w:val="00AB7B33"/>
    <w:rsid w:val="00AC0717"/>
    <w:rsid w:val="00AC1DAD"/>
    <w:rsid w:val="00AC267D"/>
    <w:rsid w:val="00AC38DB"/>
    <w:rsid w:val="00AC4E22"/>
    <w:rsid w:val="00AC5789"/>
    <w:rsid w:val="00AC7804"/>
    <w:rsid w:val="00AD2A30"/>
    <w:rsid w:val="00AD635D"/>
    <w:rsid w:val="00AE1B85"/>
    <w:rsid w:val="00AE1FD0"/>
    <w:rsid w:val="00AE34B0"/>
    <w:rsid w:val="00AE3858"/>
    <w:rsid w:val="00AE49EB"/>
    <w:rsid w:val="00AE6BE9"/>
    <w:rsid w:val="00AE730D"/>
    <w:rsid w:val="00AF0AEF"/>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34C5"/>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372"/>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CBE"/>
    <w:rsid w:val="00BB1EE6"/>
    <w:rsid w:val="00BB75D7"/>
    <w:rsid w:val="00BB7AEB"/>
    <w:rsid w:val="00BC127C"/>
    <w:rsid w:val="00BC19C9"/>
    <w:rsid w:val="00BC35B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4E8A"/>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488"/>
    <w:rsid w:val="00C62A2D"/>
    <w:rsid w:val="00C64339"/>
    <w:rsid w:val="00C649E6"/>
    <w:rsid w:val="00C652C5"/>
    <w:rsid w:val="00C71BD5"/>
    <w:rsid w:val="00C7332B"/>
    <w:rsid w:val="00C76E56"/>
    <w:rsid w:val="00C76F00"/>
    <w:rsid w:val="00C80AC4"/>
    <w:rsid w:val="00C80CEE"/>
    <w:rsid w:val="00C81FDC"/>
    <w:rsid w:val="00C82016"/>
    <w:rsid w:val="00C822FE"/>
    <w:rsid w:val="00C85FD4"/>
    <w:rsid w:val="00C87222"/>
    <w:rsid w:val="00C931A4"/>
    <w:rsid w:val="00C941AE"/>
    <w:rsid w:val="00C9640D"/>
    <w:rsid w:val="00C964A0"/>
    <w:rsid w:val="00CA106A"/>
    <w:rsid w:val="00CA146F"/>
    <w:rsid w:val="00CA3164"/>
    <w:rsid w:val="00CA63B8"/>
    <w:rsid w:val="00CB1BC0"/>
    <w:rsid w:val="00CB2024"/>
    <w:rsid w:val="00CB21FB"/>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42AC"/>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65B40"/>
    <w:rsid w:val="00D66ECE"/>
    <w:rsid w:val="00D71947"/>
    <w:rsid w:val="00D71FFD"/>
    <w:rsid w:val="00D72BFD"/>
    <w:rsid w:val="00D752C8"/>
    <w:rsid w:val="00D7704F"/>
    <w:rsid w:val="00D80C0A"/>
    <w:rsid w:val="00D811CD"/>
    <w:rsid w:val="00D81453"/>
    <w:rsid w:val="00D82D08"/>
    <w:rsid w:val="00D91D92"/>
    <w:rsid w:val="00D921FF"/>
    <w:rsid w:val="00D9652D"/>
    <w:rsid w:val="00D96F47"/>
    <w:rsid w:val="00D97ECD"/>
    <w:rsid w:val="00DA0A46"/>
    <w:rsid w:val="00DA3D51"/>
    <w:rsid w:val="00DA6E65"/>
    <w:rsid w:val="00DA77AE"/>
    <w:rsid w:val="00DA7D29"/>
    <w:rsid w:val="00DB1415"/>
    <w:rsid w:val="00DB1550"/>
    <w:rsid w:val="00DB338E"/>
    <w:rsid w:val="00DB466A"/>
    <w:rsid w:val="00DB47A4"/>
    <w:rsid w:val="00DC022B"/>
    <w:rsid w:val="00DC154B"/>
    <w:rsid w:val="00DC2DC7"/>
    <w:rsid w:val="00DC73ED"/>
    <w:rsid w:val="00DD088A"/>
    <w:rsid w:val="00DD36F6"/>
    <w:rsid w:val="00DD7FD3"/>
    <w:rsid w:val="00DE0443"/>
    <w:rsid w:val="00DE15C2"/>
    <w:rsid w:val="00DE18BB"/>
    <w:rsid w:val="00DE2485"/>
    <w:rsid w:val="00DE3692"/>
    <w:rsid w:val="00DF0D81"/>
    <w:rsid w:val="00DF15B9"/>
    <w:rsid w:val="00DF2732"/>
    <w:rsid w:val="00DF70CE"/>
    <w:rsid w:val="00E02165"/>
    <w:rsid w:val="00E0221E"/>
    <w:rsid w:val="00E02C7A"/>
    <w:rsid w:val="00E038E4"/>
    <w:rsid w:val="00E05D2C"/>
    <w:rsid w:val="00E06BFA"/>
    <w:rsid w:val="00E06C6C"/>
    <w:rsid w:val="00E070D9"/>
    <w:rsid w:val="00E10618"/>
    <w:rsid w:val="00E106F6"/>
    <w:rsid w:val="00E1131D"/>
    <w:rsid w:val="00E13AC7"/>
    <w:rsid w:val="00E149A1"/>
    <w:rsid w:val="00E14C9F"/>
    <w:rsid w:val="00E16911"/>
    <w:rsid w:val="00E2067B"/>
    <w:rsid w:val="00E231A2"/>
    <w:rsid w:val="00E234C9"/>
    <w:rsid w:val="00E23C5D"/>
    <w:rsid w:val="00E24ABA"/>
    <w:rsid w:val="00E25659"/>
    <w:rsid w:val="00E25D29"/>
    <w:rsid w:val="00E26CB7"/>
    <w:rsid w:val="00E30160"/>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29F3"/>
    <w:rsid w:val="00E731E6"/>
    <w:rsid w:val="00E80133"/>
    <w:rsid w:val="00E80424"/>
    <w:rsid w:val="00E8167B"/>
    <w:rsid w:val="00E8245B"/>
    <w:rsid w:val="00E82B99"/>
    <w:rsid w:val="00E83DB7"/>
    <w:rsid w:val="00E83F86"/>
    <w:rsid w:val="00E853AA"/>
    <w:rsid w:val="00E86D1E"/>
    <w:rsid w:val="00E92083"/>
    <w:rsid w:val="00E93831"/>
    <w:rsid w:val="00E96860"/>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AF0"/>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1C6B"/>
    <w:rsid w:val="00FC3CAF"/>
    <w:rsid w:val="00FC4331"/>
    <w:rsid w:val="00FC607B"/>
    <w:rsid w:val="00FC728E"/>
    <w:rsid w:val="00FC7C65"/>
    <w:rsid w:val="00FD176C"/>
    <w:rsid w:val="00FD2582"/>
    <w:rsid w:val="00FD3F2F"/>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 w:type="paragraph" w:customStyle="1" w:styleId="Default">
    <w:name w:val="Default"/>
    <w:rsid w:val="0012243B"/>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styleId="NormalWeb">
    <w:name w:val="Normal (Web)"/>
    <w:basedOn w:val="Normal"/>
    <w:uiPriority w:val="99"/>
    <w:rsid w:val="000F4238"/>
    <w:pPr>
      <w:spacing w:before="100" w:beforeAutospacing="1" w:after="100" w:afterAutospacing="1"/>
    </w:pPr>
    <w:rPr>
      <w:rFonts w:ascii="Gulim" w:eastAsia="Gulim" w:hAnsi="Gulim" w:cs="Gulim"/>
      <w:sz w:val="24"/>
      <w:szCs w:val="24"/>
      <w:lang w:eastAsia="ko-KR"/>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58703-FBCC-4B92-91CD-1CFD2D67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4099</TotalTime>
  <Pages>2</Pages>
  <Words>474</Words>
  <Characters>2708</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3176</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91</cp:revision>
  <cp:lastPrinted>2012-11-14T13:58:00Z</cp:lastPrinted>
  <dcterms:created xsi:type="dcterms:W3CDTF">2011-11-09T18:36:00Z</dcterms:created>
  <dcterms:modified xsi:type="dcterms:W3CDTF">2013-09-18T01:31:00Z</dcterms:modified>
</cp:coreProperties>
</file>