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CFD09" w14:textId="77777777"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14:paraId="096CFD0B" w14:textId="77777777" w:rsidTr="00203476">
        <w:trPr>
          <w:trHeight w:val="485"/>
          <w:jc w:val="center"/>
        </w:trPr>
        <w:tc>
          <w:tcPr>
            <w:tcW w:w="9900" w:type="dxa"/>
            <w:gridSpan w:val="5"/>
            <w:vAlign w:val="center"/>
          </w:tcPr>
          <w:p w14:paraId="096CFD0A" w14:textId="09A7D6A3" w:rsidR="00B129C7" w:rsidRPr="005A301C" w:rsidRDefault="00E71E2A" w:rsidP="00317466">
            <w:pPr>
              <w:pStyle w:val="T2"/>
              <w:rPr>
                <w:lang w:eastAsia="ja-JP"/>
              </w:rPr>
            </w:pPr>
            <w:r>
              <w:rPr>
                <w:lang w:eastAsia="ja-JP"/>
              </w:rPr>
              <w:t>Entity specific information storage model</w:t>
            </w:r>
            <w:bookmarkStart w:id="0" w:name="_GoBack"/>
            <w:bookmarkEnd w:id="0"/>
          </w:p>
        </w:tc>
      </w:tr>
      <w:tr w:rsidR="00B129C7" w:rsidRPr="005A301C" w14:paraId="096CFD0D" w14:textId="77777777" w:rsidTr="00203476">
        <w:trPr>
          <w:trHeight w:val="359"/>
          <w:jc w:val="center"/>
        </w:trPr>
        <w:tc>
          <w:tcPr>
            <w:tcW w:w="9900" w:type="dxa"/>
            <w:gridSpan w:val="5"/>
            <w:vAlign w:val="center"/>
          </w:tcPr>
          <w:p w14:paraId="096CFD0C" w14:textId="5DC3F7F3" w:rsidR="00B129C7" w:rsidRPr="005A301C" w:rsidRDefault="00B129C7" w:rsidP="00DB4A2B">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DB4A2B">
              <w:rPr>
                <w:b w:val="0"/>
                <w:sz w:val="20"/>
                <w:lang w:eastAsia="ja-JP"/>
              </w:rPr>
              <w:t>3</w:t>
            </w:r>
            <w:r w:rsidRPr="005A301C">
              <w:rPr>
                <w:b w:val="0"/>
                <w:sz w:val="20"/>
              </w:rPr>
              <w:t>-</w:t>
            </w:r>
            <w:r w:rsidR="00FC134B">
              <w:rPr>
                <w:b w:val="0"/>
                <w:sz w:val="20"/>
                <w:lang w:eastAsia="ja-JP"/>
              </w:rPr>
              <w:t>21</w:t>
            </w:r>
          </w:p>
        </w:tc>
      </w:tr>
      <w:tr w:rsidR="00B129C7" w:rsidRPr="005A301C" w14:paraId="096CFD0F" w14:textId="77777777" w:rsidTr="00203476">
        <w:trPr>
          <w:cantSplit/>
          <w:jc w:val="center"/>
        </w:trPr>
        <w:tc>
          <w:tcPr>
            <w:tcW w:w="9900" w:type="dxa"/>
            <w:gridSpan w:val="5"/>
            <w:vAlign w:val="center"/>
          </w:tcPr>
          <w:p w14:paraId="096CFD0E" w14:textId="77777777" w:rsidR="00B129C7" w:rsidRPr="005A301C" w:rsidRDefault="00B129C7">
            <w:pPr>
              <w:pStyle w:val="T2"/>
              <w:spacing w:after="0"/>
              <w:ind w:left="0" w:right="0"/>
              <w:jc w:val="left"/>
              <w:rPr>
                <w:sz w:val="20"/>
              </w:rPr>
            </w:pPr>
            <w:r w:rsidRPr="005A301C">
              <w:rPr>
                <w:sz w:val="20"/>
              </w:rPr>
              <w:t>Author(s):</w:t>
            </w:r>
          </w:p>
        </w:tc>
      </w:tr>
      <w:tr w:rsidR="00B129C7" w:rsidRPr="005A301C" w14:paraId="096CFD15" w14:textId="77777777" w:rsidTr="009C015E">
        <w:trPr>
          <w:jc w:val="center"/>
        </w:trPr>
        <w:tc>
          <w:tcPr>
            <w:tcW w:w="1572" w:type="dxa"/>
            <w:vAlign w:val="center"/>
          </w:tcPr>
          <w:p w14:paraId="096CFD10" w14:textId="77777777" w:rsidR="00B129C7" w:rsidRPr="005A301C" w:rsidRDefault="00B129C7">
            <w:pPr>
              <w:pStyle w:val="T2"/>
              <w:spacing w:after="0"/>
              <w:ind w:left="0" w:right="0"/>
              <w:jc w:val="left"/>
              <w:rPr>
                <w:sz w:val="20"/>
              </w:rPr>
            </w:pPr>
            <w:r w:rsidRPr="005A301C">
              <w:rPr>
                <w:sz w:val="20"/>
              </w:rPr>
              <w:t>Name</w:t>
            </w:r>
          </w:p>
        </w:tc>
        <w:tc>
          <w:tcPr>
            <w:tcW w:w="1533" w:type="dxa"/>
            <w:vAlign w:val="center"/>
          </w:tcPr>
          <w:p w14:paraId="096CFD11" w14:textId="77777777" w:rsidR="00B129C7" w:rsidRPr="005A301C" w:rsidRDefault="00B129C7">
            <w:pPr>
              <w:pStyle w:val="T2"/>
              <w:spacing w:after="0"/>
              <w:ind w:left="0" w:right="0"/>
              <w:jc w:val="left"/>
              <w:rPr>
                <w:sz w:val="20"/>
              </w:rPr>
            </w:pPr>
            <w:r w:rsidRPr="005A301C">
              <w:rPr>
                <w:sz w:val="20"/>
              </w:rPr>
              <w:t>Company</w:t>
            </w:r>
          </w:p>
        </w:tc>
        <w:tc>
          <w:tcPr>
            <w:tcW w:w="2835" w:type="dxa"/>
            <w:vAlign w:val="center"/>
          </w:tcPr>
          <w:p w14:paraId="096CFD12" w14:textId="77777777" w:rsidR="00B129C7" w:rsidRPr="005A301C" w:rsidRDefault="00B129C7">
            <w:pPr>
              <w:pStyle w:val="T2"/>
              <w:spacing w:after="0"/>
              <w:ind w:left="0" w:right="0"/>
              <w:jc w:val="left"/>
              <w:rPr>
                <w:sz w:val="20"/>
              </w:rPr>
            </w:pPr>
            <w:r w:rsidRPr="005A301C">
              <w:rPr>
                <w:sz w:val="20"/>
              </w:rPr>
              <w:t>Address</w:t>
            </w:r>
          </w:p>
        </w:tc>
        <w:tc>
          <w:tcPr>
            <w:tcW w:w="1843" w:type="dxa"/>
            <w:vAlign w:val="center"/>
          </w:tcPr>
          <w:p w14:paraId="096CFD13" w14:textId="77777777" w:rsidR="00B129C7" w:rsidRPr="005A301C" w:rsidRDefault="00B129C7">
            <w:pPr>
              <w:pStyle w:val="T2"/>
              <w:spacing w:after="0"/>
              <w:ind w:left="0" w:right="0"/>
              <w:jc w:val="left"/>
              <w:rPr>
                <w:sz w:val="20"/>
              </w:rPr>
            </w:pPr>
            <w:r w:rsidRPr="005A301C">
              <w:rPr>
                <w:sz w:val="20"/>
              </w:rPr>
              <w:t>Phone</w:t>
            </w:r>
          </w:p>
        </w:tc>
        <w:tc>
          <w:tcPr>
            <w:tcW w:w="2117" w:type="dxa"/>
            <w:vAlign w:val="center"/>
          </w:tcPr>
          <w:p w14:paraId="096CFD14" w14:textId="77777777" w:rsidR="00B129C7" w:rsidRPr="005A301C" w:rsidRDefault="00B129C7">
            <w:pPr>
              <w:pStyle w:val="T2"/>
              <w:spacing w:after="0"/>
              <w:ind w:left="0" w:right="0"/>
              <w:jc w:val="left"/>
              <w:rPr>
                <w:sz w:val="20"/>
              </w:rPr>
            </w:pPr>
            <w:r w:rsidRPr="005A301C">
              <w:rPr>
                <w:sz w:val="20"/>
              </w:rPr>
              <w:t>email</w:t>
            </w:r>
          </w:p>
        </w:tc>
      </w:tr>
      <w:tr w:rsidR="00B129C7" w:rsidRPr="005A301C" w14:paraId="096CFD1B" w14:textId="77777777" w:rsidTr="009C015E">
        <w:trPr>
          <w:jc w:val="center"/>
        </w:trPr>
        <w:tc>
          <w:tcPr>
            <w:tcW w:w="1572" w:type="dxa"/>
            <w:vAlign w:val="center"/>
          </w:tcPr>
          <w:p w14:paraId="096CFD16" w14:textId="77777777"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14:paraId="096CFD17" w14:textId="77777777"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14:paraId="096CFD18" w14:textId="77777777" w:rsidR="00B129C7" w:rsidRPr="005A301C" w:rsidRDefault="00B129C7">
            <w:pPr>
              <w:pStyle w:val="T2"/>
              <w:spacing w:after="0"/>
              <w:ind w:left="0" w:right="0"/>
              <w:rPr>
                <w:b w:val="0"/>
                <w:sz w:val="20"/>
              </w:rPr>
            </w:pPr>
          </w:p>
        </w:tc>
        <w:tc>
          <w:tcPr>
            <w:tcW w:w="1843" w:type="dxa"/>
            <w:vAlign w:val="center"/>
          </w:tcPr>
          <w:p w14:paraId="096CFD19" w14:textId="77777777" w:rsidR="00B129C7" w:rsidRPr="005A301C" w:rsidRDefault="00B129C7">
            <w:pPr>
              <w:pStyle w:val="T2"/>
              <w:spacing w:after="0"/>
              <w:ind w:left="0" w:right="0"/>
              <w:rPr>
                <w:b w:val="0"/>
                <w:sz w:val="20"/>
              </w:rPr>
            </w:pPr>
          </w:p>
        </w:tc>
        <w:tc>
          <w:tcPr>
            <w:tcW w:w="2117" w:type="dxa"/>
            <w:vAlign w:val="center"/>
          </w:tcPr>
          <w:p w14:paraId="096CFD1A" w14:textId="77777777" w:rsidR="00B129C7" w:rsidRPr="005A301C" w:rsidRDefault="005018B7">
            <w:pPr>
              <w:pStyle w:val="T2"/>
              <w:spacing w:after="0"/>
              <w:ind w:left="0" w:right="0"/>
              <w:rPr>
                <w:b w:val="0"/>
                <w:sz w:val="16"/>
                <w:lang w:eastAsia="ja-JP"/>
              </w:rPr>
            </w:pPr>
            <w:r>
              <w:rPr>
                <w:b w:val="0"/>
                <w:sz w:val="16"/>
                <w:lang w:eastAsia="ja-JP"/>
              </w:rPr>
              <w:t>mika.kasslin@nokia.com</w:t>
            </w:r>
          </w:p>
        </w:tc>
      </w:tr>
      <w:tr w:rsidR="001C28AF" w:rsidRPr="005A301C" w14:paraId="096CFD21" w14:textId="77777777" w:rsidTr="009C015E">
        <w:trPr>
          <w:jc w:val="center"/>
        </w:trPr>
        <w:tc>
          <w:tcPr>
            <w:tcW w:w="1572" w:type="dxa"/>
            <w:vAlign w:val="center"/>
          </w:tcPr>
          <w:p w14:paraId="096CFD1C" w14:textId="77777777" w:rsidR="001C28AF" w:rsidRDefault="005018B7" w:rsidP="001C28AF">
            <w:pPr>
              <w:pStyle w:val="T2"/>
              <w:spacing w:after="0"/>
              <w:ind w:left="0" w:right="0"/>
              <w:rPr>
                <w:b w:val="0"/>
                <w:sz w:val="20"/>
                <w:lang w:eastAsia="ja-JP"/>
              </w:rPr>
            </w:pPr>
            <w:r>
              <w:rPr>
                <w:b w:val="0"/>
                <w:sz w:val="20"/>
                <w:lang w:eastAsia="ja-JP"/>
              </w:rPr>
              <w:t>Jari Junell</w:t>
            </w:r>
          </w:p>
        </w:tc>
        <w:tc>
          <w:tcPr>
            <w:tcW w:w="1533" w:type="dxa"/>
            <w:vAlign w:val="center"/>
          </w:tcPr>
          <w:p w14:paraId="096CFD1D" w14:textId="77777777" w:rsidR="001C28AF"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14:paraId="096CFD1E" w14:textId="77777777" w:rsidR="001C28AF" w:rsidRPr="005A301C" w:rsidRDefault="001C28AF" w:rsidP="00667992">
            <w:pPr>
              <w:pStyle w:val="T2"/>
              <w:spacing w:after="0"/>
              <w:ind w:left="0" w:right="0"/>
              <w:rPr>
                <w:b w:val="0"/>
                <w:sz w:val="20"/>
              </w:rPr>
            </w:pPr>
          </w:p>
        </w:tc>
        <w:tc>
          <w:tcPr>
            <w:tcW w:w="1843" w:type="dxa"/>
            <w:vAlign w:val="center"/>
          </w:tcPr>
          <w:p w14:paraId="096CFD1F" w14:textId="77777777" w:rsidR="001C28AF" w:rsidRPr="005A301C" w:rsidRDefault="001C28AF">
            <w:pPr>
              <w:pStyle w:val="T2"/>
              <w:spacing w:after="0"/>
              <w:ind w:left="0" w:right="0"/>
              <w:rPr>
                <w:b w:val="0"/>
                <w:sz w:val="20"/>
              </w:rPr>
            </w:pPr>
          </w:p>
        </w:tc>
        <w:tc>
          <w:tcPr>
            <w:tcW w:w="2117" w:type="dxa"/>
            <w:vAlign w:val="center"/>
          </w:tcPr>
          <w:p w14:paraId="096CFD20" w14:textId="77777777" w:rsidR="001C28AF" w:rsidRPr="005A301C" w:rsidRDefault="005018B7">
            <w:pPr>
              <w:pStyle w:val="T2"/>
              <w:spacing w:after="0"/>
              <w:ind w:left="0" w:right="0"/>
              <w:rPr>
                <w:b w:val="0"/>
                <w:sz w:val="16"/>
              </w:rPr>
            </w:pPr>
            <w:r>
              <w:rPr>
                <w:b w:val="0"/>
                <w:sz w:val="16"/>
              </w:rPr>
              <w:t>jari.junell@nokia.com</w:t>
            </w:r>
          </w:p>
        </w:tc>
      </w:tr>
      <w:tr w:rsidR="006D218D" w:rsidRPr="005A301C" w14:paraId="134BFEB5" w14:textId="77777777" w:rsidTr="009C015E">
        <w:trPr>
          <w:jc w:val="center"/>
        </w:trPr>
        <w:tc>
          <w:tcPr>
            <w:tcW w:w="1572" w:type="dxa"/>
            <w:vAlign w:val="center"/>
          </w:tcPr>
          <w:p w14:paraId="5A3FB509" w14:textId="2593F829" w:rsidR="006D218D" w:rsidRDefault="006D218D" w:rsidP="001C28AF">
            <w:pPr>
              <w:pStyle w:val="T2"/>
              <w:spacing w:after="0"/>
              <w:ind w:left="0" w:right="0"/>
              <w:rPr>
                <w:b w:val="0"/>
                <w:sz w:val="20"/>
                <w:lang w:eastAsia="ja-JP"/>
              </w:rPr>
            </w:pPr>
            <w:r>
              <w:rPr>
                <w:b w:val="0"/>
                <w:sz w:val="20"/>
                <w:lang w:eastAsia="ja-JP"/>
              </w:rPr>
              <w:t>Lauri Laitinen</w:t>
            </w:r>
          </w:p>
        </w:tc>
        <w:tc>
          <w:tcPr>
            <w:tcW w:w="1533" w:type="dxa"/>
            <w:vAlign w:val="center"/>
          </w:tcPr>
          <w:p w14:paraId="59110052" w14:textId="38A3F22B" w:rsidR="006D218D" w:rsidRDefault="006D218D">
            <w:pPr>
              <w:pStyle w:val="T2"/>
              <w:spacing w:after="0"/>
              <w:ind w:left="0" w:right="0"/>
              <w:rPr>
                <w:b w:val="0"/>
                <w:sz w:val="20"/>
                <w:lang w:eastAsia="ja-JP"/>
              </w:rPr>
            </w:pPr>
            <w:r>
              <w:rPr>
                <w:b w:val="0"/>
                <w:sz w:val="20"/>
                <w:lang w:eastAsia="ja-JP"/>
              </w:rPr>
              <w:t>Nokia</w:t>
            </w:r>
          </w:p>
        </w:tc>
        <w:tc>
          <w:tcPr>
            <w:tcW w:w="2835" w:type="dxa"/>
            <w:vAlign w:val="center"/>
          </w:tcPr>
          <w:p w14:paraId="7C4632C3" w14:textId="77777777" w:rsidR="006D218D" w:rsidRPr="005A301C" w:rsidRDefault="006D218D" w:rsidP="00667992">
            <w:pPr>
              <w:pStyle w:val="T2"/>
              <w:spacing w:after="0"/>
              <w:ind w:left="0" w:right="0"/>
              <w:rPr>
                <w:b w:val="0"/>
                <w:sz w:val="20"/>
              </w:rPr>
            </w:pPr>
          </w:p>
        </w:tc>
        <w:tc>
          <w:tcPr>
            <w:tcW w:w="1843" w:type="dxa"/>
            <w:vAlign w:val="center"/>
          </w:tcPr>
          <w:p w14:paraId="2C164F0A" w14:textId="77777777" w:rsidR="006D218D" w:rsidRPr="005A301C" w:rsidRDefault="006D218D">
            <w:pPr>
              <w:pStyle w:val="T2"/>
              <w:spacing w:after="0"/>
              <w:ind w:left="0" w:right="0"/>
              <w:rPr>
                <w:b w:val="0"/>
                <w:sz w:val="20"/>
              </w:rPr>
            </w:pPr>
          </w:p>
        </w:tc>
        <w:tc>
          <w:tcPr>
            <w:tcW w:w="2117" w:type="dxa"/>
            <w:vAlign w:val="center"/>
          </w:tcPr>
          <w:p w14:paraId="6EE2F132" w14:textId="068FB728" w:rsidR="006D218D" w:rsidRDefault="006D218D">
            <w:pPr>
              <w:pStyle w:val="T2"/>
              <w:spacing w:after="0"/>
              <w:ind w:left="0" w:right="0"/>
              <w:rPr>
                <w:b w:val="0"/>
                <w:sz w:val="16"/>
              </w:rPr>
            </w:pPr>
            <w:r>
              <w:rPr>
                <w:b w:val="0"/>
                <w:sz w:val="16"/>
              </w:rPr>
              <w:t>lauri.laitinen@nokia.com</w:t>
            </w:r>
          </w:p>
        </w:tc>
      </w:tr>
    </w:tbl>
    <w:p w14:paraId="096CFD22" w14:textId="77777777"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14:anchorId="096CFD89" wp14:editId="2D9C34AA">
                <wp:simplePos x="0" y="0"/>
                <wp:positionH relativeFrom="column">
                  <wp:posOffset>-66675</wp:posOffset>
                </wp:positionH>
                <wp:positionV relativeFrom="paragraph">
                  <wp:posOffset>202564</wp:posOffset>
                </wp:positionV>
                <wp:extent cx="5943600" cy="1323975"/>
                <wp:effectExtent l="0" t="0" r="0" b="952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CFD9C" w14:textId="77777777" w:rsidR="00C46BF4" w:rsidRDefault="00C46BF4">
                            <w:pPr>
                              <w:pStyle w:val="T1"/>
                              <w:spacing w:after="120"/>
                            </w:pPr>
                            <w:r>
                              <w:t>Abstract</w:t>
                            </w:r>
                          </w:p>
                          <w:p w14:paraId="096CFD9D" w14:textId="605875FF" w:rsidR="00C46BF4" w:rsidRDefault="00C46BF4">
                            <w:pPr>
                              <w:jc w:val="both"/>
                              <w:rPr>
                                <w:lang w:eastAsia="ja-JP"/>
                              </w:rPr>
                            </w:pPr>
                            <w:r>
                              <w:t>This document is a</w:t>
                            </w:r>
                            <w:r w:rsidR="00E71E2A">
                              <w:t>n</w:t>
                            </w:r>
                            <w:r>
                              <w:t xml:space="preserve"> IEEE 802.19 TG1 </w:t>
                            </w:r>
                            <w:r w:rsidR="00E71E2A">
                              <w:t xml:space="preserve">contribution </w:t>
                            </w:r>
                            <w:r>
                              <w:rPr>
                                <w:lang w:eastAsia="ja-JP"/>
                              </w:rPr>
                              <w:t>that contains</w:t>
                            </w:r>
                            <w:r w:rsidR="00DB4A2B">
                              <w:rPr>
                                <w:rFonts w:hint="eastAsia"/>
                                <w:lang w:eastAsia="ja-JP"/>
                              </w:rPr>
                              <w:t xml:space="preserve"> </w:t>
                            </w:r>
                            <w:r w:rsidR="00E71E2A">
                              <w:rPr>
                                <w:lang w:eastAsia="ja-JP"/>
                              </w:rPr>
                              <w:t xml:space="preserve">summary description of </w:t>
                            </w:r>
                            <w:r w:rsidR="00E71E2A">
                              <w:rPr>
                                <w:rFonts w:hint="eastAsia"/>
                                <w:lang w:eastAsia="ja-JP"/>
                              </w:rPr>
                              <w:t xml:space="preserve">information </w:t>
                            </w:r>
                            <w:r w:rsidR="00F042B6">
                              <w:rPr>
                                <w:lang w:eastAsia="ja-JP"/>
                              </w:rPr>
                              <w:t xml:space="preserve">entities </w:t>
                            </w:r>
                            <w:r w:rsidR="00F042B6">
                              <w:rPr>
                                <w:rFonts w:hint="eastAsia"/>
                                <w:lang w:eastAsia="ja-JP"/>
                              </w:rPr>
                              <w:t>need</w:t>
                            </w:r>
                            <w:r w:rsidR="00E71E2A">
                              <w:rPr>
                                <w:rFonts w:hint="eastAsia"/>
                                <w:lang w:eastAsia="ja-JP"/>
                              </w:rPr>
                              <w:t xml:space="preserve"> to store and maintain</w:t>
                            </w:r>
                            <w:r w:rsidR="00E71E2A">
                              <w:rPr>
                                <w:lang w:eastAsia="ja-JP"/>
                              </w:rPr>
                              <w:t xml:space="preserve"> in order to be operable part of a coexistence system</w:t>
                            </w:r>
                            <w:r w:rsidR="00F042B6">
                              <w:rPr>
                                <w:lang w:eastAsia="ja-JP"/>
                              </w:rPr>
                              <w:t>. Description has been prepared based on certain profiles and especially based on profile O based CE entity description in 19-13/0024r2</w:t>
                            </w:r>
                            <w:proofErr w:type="gramStart"/>
                            <w:r w:rsidR="00F042B6">
                              <w:rPr>
                                <w:lang w:eastAsia="ja-JP"/>
                              </w:rPr>
                              <w:t>.</w:t>
                            </w:r>
                            <w:r w:rsidR="00E71E2A">
                              <w:rPr>
                                <w:lang w:eastAsia="ja-JP"/>
                              </w:rPr>
                              <w:t>.</w:t>
                            </w:r>
                            <w:proofErr w:type="gramEnd"/>
                            <w:r w:rsidR="00E71E2A">
                              <w:rPr>
                                <w:lang w:eastAsia="ja-JP"/>
                              </w:rPr>
                              <w:t xml:space="preserve"> The proposal is to have the description </w:t>
                            </w:r>
                            <w:proofErr w:type="gramStart"/>
                            <w:r w:rsidR="00E71E2A">
                              <w:rPr>
                                <w:rFonts w:hint="eastAsia"/>
                                <w:lang w:eastAsia="ja-JP"/>
                              </w:rPr>
                              <w:t>adopted</w:t>
                            </w:r>
                            <w:proofErr w:type="gramEnd"/>
                            <w:r w:rsidR="00E71E2A">
                              <w:rPr>
                                <w:rFonts w:hint="eastAsia"/>
                                <w:lang w:eastAsia="ja-JP"/>
                              </w:rPr>
                              <w:t xml:space="preserve"> to the 802.19.1 draft</w:t>
                            </w:r>
                            <w:r w:rsidR="00E71E2A">
                              <w:rPr>
                                <w:lang w:eastAsia="ja-JP"/>
                              </w:rPr>
                              <w:t xml:space="preserve"> as an informative annex.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5.25pt;margin-top:15.95pt;width:468pt;height:10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5hAIAABE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" o:allowincell="f" stroked="f">
                <v:textbox>
                  <w:txbxContent>
                    <w:p w14:paraId="096CFD9C" w14:textId="77777777" w:rsidR="00C46BF4" w:rsidRDefault="00C46BF4">
                      <w:pPr>
                        <w:pStyle w:val="T1"/>
                        <w:spacing w:after="120"/>
                      </w:pPr>
                      <w:r>
                        <w:t>Abstract</w:t>
                      </w:r>
                    </w:p>
                    <w:p w14:paraId="096CFD9D" w14:textId="605875FF" w:rsidR="00C46BF4" w:rsidRDefault="00C46BF4">
                      <w:pPr>
                        <w:jc w:val="both"/>
                        <w:rPr>
                          <w:lang w:eastAsia="ja-JP"/>
                        </w:rPr>
                      </w:pPr>
                      <w:r>
                        <w:t>This document is a</w:t>
                      </w:r>
                      <w:r w:rsidR="00E71E2A">
                        <w:t>n</w:t>
                      </w:r>
                      <w:r>
                        <w:t xml:space="preserve"> IEEE 802.19 TG1 </w:t>
                      </w:r>
                      <w:r w:rsidR="00E71E2A">
                        <w:t xml:space="preserve">contribution </w:t>
                      </w:r>
                      <w:r>
                        <w:rPr>
                          <w:lang w:eastAsia="ja-JP"/>
                        </w:rPr>
                        <w:t>that contains</w:t>
                      </w:r>
                      <w:r w:rsidR="00DB4A2B">
                        <w:rPr>
                          <w:rFonts w:hint="eastAsia"/>
                          <w:lang w:eastAsia="ja-JP"/>
                        </w:rPr>
                        <w:t xml:space="preserve"> </w:t>
                      </w:r>
                      <w:r w:rsidR="00E71E2A">
                        <w:rPr>
                          <w:lang w:eastAsia="ja-JP"/>
                        </w:rPr>
                        <w:t xml:space="preserve">summary description of </w:t>
                      </w:r>
                      <w:r w:rsidR="00E71E2A">
                        <w:rPr>
                          <w:rFonts w:hint="eastAsia"/>
                          <w:lang w:eastAsia="ja-JP"/>
                        </w:rPr>
                        <w:t xml:space="preserve">information </w:t>
                      </w:r>
                      <w:r w:rsidR="00F042B6">
                        <w:rPr>
                          <w:lang w:eastAsia="ja-JP"/>
                        </w:rPr>
                        <w:t xml:space="preserve">entities </w:t>
                      </w:r>
                      <w:r w:rsidR="00F042B6">
                        <w:rPr>
                          <w:rFonts w:hint="eastAsia"/>
                          <w:lang w:eastAsia="ja-JP"/>
                        </w:rPr>
                        <w:t>need</w:t>
                      </w:r>
                      <w:r w:rsidR="00E71E2A">
                        <w:rPr>
                          <w:rFonts w:hint="eastAsia"/>
                          <w:lang w:eastAsia="ja-JP"/>
                        </w:rPr>
                        <w:t xml:space="preserve"> to store and maintain</w:t>
                      </w:r>
                      <w:r w:rsidR="00E71E2A">
                        <w:rPr>
                          <w:lang w:eastAsia="ja-JP"/>
                        </w:rPr>
                        <w:t xml:space="preserve"> in order to be operable part of a coexistence system</w:t>
                      </w:r>
                      <w:r w:rsidR="00F042B6">
                        <w:rPr>
                          <w:lang w:eastAsia="ja-JP"/>
                        </w:rPr>
                        <w:t>. Description has been prepared based on certain profiles and especially based on profile O based CE entity description in 19-13/0024r2</w:t>
                      </w:r>
                      <w:proofErr w:type="gramStart"/>
                      <w:r w:rsidR="00F042B6">
                        <w:rPr>
                          <w:lang w:eastAsia="ja-JP"/>
                        </w:rPr>
                        <w:t>.</w:t>
                      </w:r>
                      <w:r w:rsidR="00E71E2A">
                        <w:rPr>
                          <w:lang w:eastAsia="ja-JP"/>
                        </w:rPr>
                        <w:t>.</w:t>
                      </w:r>
                      <w:proofErr w:type="gramEnd"/>
                      <w:r w:rsidR="00E71E2A">
                        <w:rPr>
                          <w:lang w:eastAsia="ja-JP"/>
                        </w:rPr>
                        <w:t xml:space="preserve"> The proposal is to have the description </w:t>
                      </w:r>
                      <w:proofErr w:type="gramStart"/>
                      <w:r w:rsidR="00E71E2A">
                        <w:rPr>
                          <w:rFonts w:hint="eastAsia"/>
                          <w:lang w:eastAsia="ja-JP"/>
                        </w:rPr>
                        <w:t>adopted</w:t>
                      </w:r>
                      <w:proofErr w:type="gramEnd"/>
                      <w:r w:rsidR="00E71E2A">
                        <w:rPr>
                          <w:rFonts w:hint="eastAsia"/>
                          <w:lang w:eastAsia="ja-JP"/>
                        </w:rPr>
                        <w:t xml:space="preserve"> to the 802.19.1 draft</w:t>
                      </w:r>
                      <w:r w:rsidR="00E71E2A">
                        <w:rPr>
                          <w:lang w:eastAsia="ja-JP"/>
                        </w:rPr>
                        <w:t xml:space="preserve"> as an informative annex.</w:t>
                      </w:r>
                    </w:p>
                  </w:txbxContent>
                </v:textbox>
              </v:shape>
            </w:pict>
          </mc:Fallback>
        </mc:AlternateContent>
      </w:r>
    </w:p>
    <w:p w14:paraId="096CFD23" w14:textId="77777777" w:rsidR="00FF57B4" w:rsidRDefault="001B1999" w:rsidP="00FF57B4">
      <w:pPr>
        <w:pStyle w:val="Heading1"/>
      </w:pPr>
      <w:r>
        <w:rPr>
          <w:noProof/>
        </w:rPr>
        <mc:AlternateContent>
          <mc:Choice Requires="wps">
            <w:drawing>
              <wp:anchor distT="0" distB="0" distL="114300" distR="114300" simplePos="0" relativeHeight="251657728" behindDoc="0" locked="0" layoutInCell="0" allowOverlap="1" wp14:anchorId="096CFD8B" wp14:editId="096CFD8C">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96CFD9E" w14:textId="77777777" w:rsidR="00C46BF4" w:rsidRDefault="00C46BF4">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96CFD9F" w14:textId="77777777" w:rsidR="00C46BF4" w:rsidRDefault="00C46BF4">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14:paraId="096CFD9E" w14:textId="77777777" w:rsidR="00C46BF4" w:rsidRDefault="00C46BF4">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96CFD9F" w14:textId="77777777" w:rsidR="00C46BF4" w:rsidRDefault="00C46BF4">
                      <w:pPr>
                        <w:jc w:val="both"/>
                        <w:rPr>
                          <w:rFonts w:ascii="Arial Unicode MS" w:eastAsia="Arial Unicode MS" w:hAnsi="Arial Unicode MS"/>
                          <w:color w:val="000000"/>
                          <w:sz w:val="18"/>
                        </w:rPr>
                      </w:pPr>
                    </w:p>
                  </w:txbxContent>
                </v:textbox>
              </v:shape>
            </w:pict>
          </mc:Fallback>
        </mc:AlternateContent>
      </w:r>
      <w:r w:rsidR="00B129C7" w:rsidRPr="005A301C">
        <w:br w:type="page"/>
      </w:r>
      <w:r w:rsidR="00DB4A2B">
        <w:lastRenderedPageBreak/>
        <w:t>Annex C</w:t>
      </w:r>
    </w:p>
    <w:p w14:paraId="096CFD24" w14:textId="77777777" w:rsidR="00DB4A2B" w:rsidRDefault="00DB4A2B" w:rsidP="00DB4A2B"/>
    <w:p w14:paraId="096CFD25" w14:textId="77777777" w:rsidR="00DB4A2B" w:rsidRDefault="00DB4A2B" w:rsidP="00DB4A2B">
      <w:r>
        <w:t>(informative)</w:t>
      </w:r>
    </w:p>
    <w:p w14:paraId="096CFD26" w14:textId="77777777" w:rsidR="00DB4A2B" w:rsidRDefault="00DB4A2B" w:rsidP="00DB4A2B"/>
    <w:p w14:paraId="096CFD27" w14:textId="11B93051" w:rsidR="009165B9" w:rsidRDefault="009165B9" w:rsidP="00DB4A2B">
      <w:r>
        <w:t xml:space="preserve">This informal annex describes </w:t>
      </w:r>
      <w:r w:rsidR="008E1295">
        <w:t xml:space="preserve">stored </w:t>
      </w:r>
      <w:r>
        <w:t xml:space="preserve">logical </w:t>
      </w:r>
      <w:r w:rsidR="00486CE6">
        <w:t xml:space="preserve">steady </w:t>
      </w:r>
      <w:r>
        <w:t xml:space="preserve">information content of </w:t>
      </w:r>
      <w:r w:rsidR="00E71E2A">
        <w:t>IEEE 802.19.1 coexistence system</w:t>
      </w:r>
      <w:r w:rsidR="00F042B6">
        <w:t xml:space="preserve"> entities assuming profile O based entity implementations</w:t>
      </w:r>
      <w:r w:rsidR="008E1295">
        <w:t>.</w:t>
      </w:r>
      <w:r w:rsidR="00486CE6">
        <w:t xml:space="preserve"> The steady information can be seen as database like information which does not disappear even if the network element is out of order awhile (e.g. temporary power failure).</w:t>
      </w:r>
    </w:p>
    <w:p w14:paraId="096CFD28" w14:textId="3754D5B0" w:rsidR="00DB4A2B" w:rsidRPr="00E71E2A" w:rsidRDefault="00E71E2A" w:rsidP="00DB4A2B">
      <w:pPr>
        <w:pStyle w:val="Heading2"/>
      </w:pPr>
      <w:r w:rsidRPr="00E71E2A">
        <w:t>Introduction</w:t>
      </w:r>
    </w:p>
    <w:p w14:paraId="096CFD29" w14:textId="77777777" w:rsidR="00DB4A2B" w:rsidRPr="00E71E2A" w:rsidRDefault="00DB4A2B" w:rsidP="00DB4A2B"/>
    <w:p w14:paraId="681FE405" w14:textId="1A5C4A01" w:rsidR="00000838" w:rsidRDefault="000E396D" w:rsidP="00DB4A2B">
      <w:r w:rsidRPr="000E396D">
        <w:t>For each element</w:t>
      </w:r>
      <w:r>
        <w:t xml:space="preserve"> </w:t>
      </w:r>
      <w:r w:rsidR="000948DC">
        <w:t xml:space="preserve">the information content </w:t>
      </w:r>
      <w:r>
        <w:t>is presented by</w:t>
      </w:r>
      <w:r w:rsidRPr="000E396D">
        <w:t xml:space="preserve"> </w:t>
      </w:r>
      <w:r w:rsidR="00B37E62" w:rsidRPr="000E396D">
        <w:t>hierarchical</w:t>
      </w:r>
      <w:r w:rsidRPr="000E396D">
        <w:t xml:space="preserve"> graph.</w:t>
      </w:r>
      <w:r>
        <w:t xml:space="preserve"> Special color coding is used to indicate origin of information element</w:t>
      </w:r>
      <w:r w:rsidR="00000838">
        <w:t xml:space="preserve"> as shown in </w:t>
      </w:r>
      <w:r w:rsidR="00E71E2A">
        <w:t>Figure 1</w:t>
      </w:r>
      <w:r w:rsidR="00000838">
        <w:t xml:space="preserve"> as follows:</w:t>
      </w:r>
    </w:p>
    <w:p w14:paraId="79B3F44A" w14:textId="579E379E" w:rsidR="0068776A" w:rsidRDefault="00000838" w:rsidP="00DB4A2B">
      <w:r>
        <w:br/>
      </w:r>
      <w:r w:rsidR="0068776A" w:rsidRPr="00000838">
        <w:rPr>
          <w:b/>
          <w:color w:val="00B050"/>
        </w:rPr>
        <w:t>Green</w:t>
      </w:r>
      <w:r w:rsidR="0068776A">
        <w:t xml:space="preserve"> indicates information that is original produced in WSO. </w:t>
      </w:r>
      <w:r>
        <w:br/>
      </w:r>
      <w:r w:rsidR="0068776A" w:rsidRPr="00000838">
        <w:rPr>
          <w:b/>
          <w:color w:val="FF0000"/>
        </w:rPr>
        <w:t>Red</w:t>
      </w:r>
      <w:r w:rsidR="0068776A">
        <w:t xml:space="preserve"> indicates information that is originally produced in CE.  </w:t>
      </w:r>
      <w:r>
        <w:br/>
      </w:r>
      <w:r w:rsidR="0068776A" w:rsidRPr="00000838">
        <w:rPr>
          <w:b/>
          <w:color w:val="0070C0"/>
        </w:rPr>
        <w:t>Blue</w:t>
      </w:r>
      <w:r w:rsidR="0068776A">
        <w:t xml:space="preserve"> indicates information that is originally produced in C</w:t>
      </w:r>
      <w:r>
        <w:t>M</w:t>
      </w:r>
      <w:r w:rsidR="0068776A">
        <w:t>.</w:t>
      </w:r>
      <w:r>
        <w:t xml:space="preserve">  </w:t>
      </w:r>
      <w:r>
        <w:br/>
      </w:r>
      <w:r>
        <w:rPr>
          <w:b/>
          <w:color w:val="FFC000"/>
        </w:rPr>
        <w:t>Orange</w:t>
      </w:r>
      <w:r>
        <w:t xml:space="preserve"> indicates information that is originally produced in CDIS.</w:t>
      </w:r>
    </w:p>
    <w:p w14:paraId="784AB389" w14:textId="77777777" w:rsidR="0068776A" w:rsidRDefault="0068776A" w:rsidP="00DB4A2B"/>
    <w:p w14:paraId="57253F7A" w14:textId="60D398DB" w:rsidR="00CC0B50" w:rsidRDefault="00BD6C71" w:rsidP="00DB4A2B">
      <w:r>
        <w:t xml:space="preserve">Black indicates grouping of information or information that </w:t>
      </w:r>
      <w:r w:rsidR="00E71E2A">
        <w:t>an entity generates by itself</w:t>
      </w:r>
      <w:r>
        <w:t xml:space="preserve">. </w:t>
      </w:r>
      <w:r w:rsidR="00CC0B50">
        <w:br/>
        <w:t xml:space="preserve">Violet </w:t>
      </w:r>
      <w:r w:rsidR="00CF53E0">
        <w:t xml:space="preserve">indicates </w:t>
      </w:r>
      <w:r w:rsidR="00476736">
        <w:t xml:space="preserve">selection of </w:t>
      </w:r>
      <w:r w:rsidR="00E71E2A">
        <w:t>conditional</w:t>
      </w:r>
      <w:r w:rsidR="00476736">
        <w:t xml:space="preserve"> sub-types.</w:t>
      </w:r>
    </w:p>
    <w:p w14:paraId="096CFD2D" w14:textId="77777777" w:rsidR="00BD6C71" w:rsidRDefault="00BD6C71" w:rsidP="00DB4A2B"/>
    <w:p w14:paraId="096CFD2E" w14:textId="77777777" w:rsidR="009E0AF4" w:rsidRPr="000E396D" w:rsidRDefault="009E0AF4" w:rsidP="00DB4A2B"/>
    <w:p w14:paraId="096CFD2F" w14:textId="77777777" w:rsidR="009E0AF4" w:rsidRPr="000E396D" w:rsidRDefault="009E0AF4" w:rsidP="00DB4A2B"/>
    <w:p w14:paraId="096CFD30" w14:textId="76F0F4F7" w:rsidR="009E0AF4" w:rsidRPr="000E396D" w:rsidRDefault="007239D1" w:rsidP="0060347E">
      <w:pPr>
        <w:jc w:val="center"/>
      </w:pPr>
      <w:r>
        <w:object w:dxaOrig="4053" w:dyaOrig="4089" w14:anchorId="58169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4.75pt" o:ole="">
            <v:imagedata r:id="rId9" o:title=""/>
          </v:shape>
          <o:OLEObject Type="Embed" ProgID="Visio.Drawing.11" ShapeID="_x0000_i1025" DrawAspect="Content" ObjectID="_1425369767" r:id="rId10"/>
        </w:object>
      </w:r>
    </w:p>
    <w:p w14:paraId="096CFD31" w14:textId="77777777" w:rsidR="009E0AF4" w:rsidRPr="000E396D" w:rsidRDefault="009E0AF4" w:rsidP="00DB4A2B"/>
    <w:p w14:paraId="096CFD32" w14:textId="11D589AB" w:rsidR="009E0AF4" w:rsidRPr="0016516E" w:rsidRDefault="0060347E" w:rsidP="00DB4A2B">
      <w:r w:rsidRPr="0016516E">
        <w:t>Fig</w:t>
      </w:r>
      <w:r w:rsidR="006E0BD1">
        <w:t>ure</w:t>
      </w:r>
      <w:r w:rsidRPr="0016516E">
        <w:t xml:space="preserve"> 1: Color coding </w:t>
      </w:r>
      <w:r w:rsidR="006E0BD1">
        <w:t>used in the entity information storage illustrations</w:t>
      </w:r>
      <w:r w:rsidR="00D53CA3">
        <w:t>. Also cardinality relationships are indicated.</w:t>
      </w:r>
    </w:p>
    <w:p w14:paraId="096CFD33" w14:textId="087F42B6" w:rsidR="00DB4A2B" w:rsidRPr="00AB0303" w:rsidRDefault="00F042B6" w:rsidP="00E71E2A">
      <w:pPr>
        <w:pStyle w:val="Heading2"/>
      </w:pPr>
      <w:r>
        <w:t xml:space="preserve">Profile O </w:t>
      </w:r>
      <w:r w:rsidR="00E71E2A">
        <w:t>CE information storage</w:t>
      </w:r>
    </w:p>
    <w:p w14:paraId="096CFD34" w14:textId="77777777" w:rsidR="00DB4A2B" w:rsidRDefault="00DB4A2B" w:rsidP="00DB4A2B"/>
    <w:p w14:paraId="096CFD35" w14:textId="5173B015" w:rsidR="00D24BCB" w:rsidRDefault="00E71E2A" w:rsidP="00DB4A2B">
      <w:r>
        <w:t>Structure and content of CE</w:t>
      </w:r>
      <w:r w:rsidR="00C215BC">
        <w:t xml:space="preserve"> </w:t>
      </w:r>
      <w:r>
        <w:t xml:space="preserve">information storage is </w:t>
      </w:r>
      <w:r w:rsidR="00430697">
        <w:t xml:space="preserve">illustrated </w:t>
      </w:r>
      <w:r>
        <w:t>in Figure 2</w:t>
      </w:r>
      <w:r w:rsidR="00C215BC">
        <w:t>.</w:t>
      </w:r>
      <w:r w:rsidR="00C80431">
        <w:t xml:space="preserve"> </w:t>
      </w:r>
      <w:r w:rsidR="001A0112">
        <w:t xml:space="preserve">A CE </w:t>
      </w:r>
      <w:r>
        <w:t>maintains</w:t>
      </w:r>
      <w:r w:rsidR="001A0112">
        <w:t xml:space="preserve"> information about every </w:t>
      </w:r>
      <w:r>
        <w:t>WSO it represents. Additionally, it maintains information about its relationship with the CM to which it is connected</w:t>
      </w:r>
      <w:r w:rsidR="004B0C31">
        <w:t xml:space="preserve"> and coexistence service information it has exchanged with the CM</w:t>
      </w:r>
      <w:r w:rsidR="001A0112">
        <w:t>.</w:t>
      </w:r>
    </w:p>
    <w:p w14:paraId="096CFD38" w14:textId="428BA5C9" w:rsidR="00EB01C5" w:rsidRDefault="00365F8D" w:rsidP="006E0BD1">
      <w:pPr>
        <w:jc w:val="center"/>
      </w:pPr>
      <w:r>
        <w:object w:dxaOrig="9920" w:dyaOrig="12389" w14:anchorId="287368AE">
          <v:shape id="_x0000_i1026" type="#_x0000_t75" style="width:468pt;height:584.25pt" o:ole="">
            <v:imagedata r:id="rId11" o:title=""/>
          </v:shape>
          <o:OLEObject Type="Embed" ProgID="Visio.Drawing.11" ShapeID="_x0000_i1026" DrawAspect="Content" ObjectID="_1425369768" r:id="rId12"/>
        </w:object>
      </w:r>
    </w:p>
    <w:p w14:paraId="096CFD39" w14:textId="1AA7A4C6" w:rsidR="00EB01C5" w:rsidRDefault="004B0C31" w:rsidP="00DB4A2B">
      <w:r>
        <w:t>Fig</w:t>
      </w:r>
      <w:r w:rsidR="006E0BD1">
        <w:t>ure</w:t>
      </w:r>
      <w:r>
        <w:t xml:space="preserve"> 2: CE information</w:t>
      </w:r>
      <w:r w:rsidR="006E0BD1">
        <w:t xml:space="preserve"> storage</w:t>
      </w:r>
      <w:r>
        <w:t xml:space="preserve"> structure and content</w:t>
      </w:r>
    </w:p>
    <w:p w14:paraId="096CFD3A" w14:textId="77777777" w:rsidR="00D24BCB" w:rsidRDefault="00D24BCB" w:rsidP="00DB4A2B"/>
    <w:p w14:paraId="4B309C77" w14:textId="77777777" w:rsidR="006E0BD1" w:rsidRDefault="006E0BD1" w:rsidP="00DB4A2B"/>
    <w:p w14:paraId="22EF5680" w14:textId="77777777" w:rsidR="006E0BD1" w:rsidRPr="00AB0303" w:rsidRDefault="006E0BD1" w:rsidP="00DB4A2B"/>
    <w:p w14:paraId="096CFD3B" w14:textId="430D995E" w:rsidR="00DB4A2B" w:rsidRPr="00AB0303" w:rsidRDefault="00F042B6" w:rsidP="004B0C31">
      <w:pPr>
        <w:pStyle w:val="Heading2"/>
      </w:pPr>
      <w:r>
        <w:lastRenderedPageBreak/>
        <w:t xml:space="preserve">Profile O </w:t>
      </w:r>
      <w:r w:rsidR="004B0C31">
        <w:t>CM information storage</w:t>
      </w:r>
    </w:p>
    <w:p w14:paraId="096CFD3C" w14:textId="77777777" w:rsidR="00DB4A2B" w:rsidRDefault="00DB4A2B" w:rsidP="00DB4A2B"/>
    <w:p w14:paraId="096CFD3D" w14:textId="36E65576" w:rsidR="00C215BC" w:rsidRDefault="004B0C31" w:rsidP="00C215BC">
      <w:r>
        <w:t xml:space="preserve">Structure and content of CM information storage is illustrated in Figure </w:t>
      </w:r>
      <w:r w:rsidR="006E0BD1">
        <w:t>3</w:t>
      </w:r>
      <w:r>
        <w:t>. A CM maintains information about every CE it serves and about every WSO connected to those CEs. Additionally, it maintains information about operating environment of those WSOs including coexistence sets and some information related to the coexistence set elements</w:t>
      </w:r>
      <w:r w:rsidR="005F318D">
        <w:t xml:space="preserve"> (CSE)</w:t>
      </w:r>
      <w:r>
        <w:t xml:space="preserve">. Each CM maintains also information about </w:t>
      </w:r>
      <w:r w:rsidR="005F318D">
        <w:t xml:space="preserve">those other CMs with which it needs to be in contact with in information change and possibly also in decision making. Similar connectivity information needs to be maintained also on the CDIS to which the CM is connected for coexistence service purposes. </w:t>
      </w:r>
      <w:r w:rsidR="006E323F">
        <w:t xml:space="preserve"> </w:t>
      </w:r>
    </w:p>
    <w:p w14:paraId="096CFD3E" w14:textId="77777777" w:rsidR="00C215BC" w:rsidRDefault="00C215BC" w:rsidP="00DB4A2B"/>
    <w:p w14:paraId="096CFD3F" w14:textId="652D62C4" w:rsidR="008E1295" w:rsidRDefault="005F318D" w:rsidP="00DB4A2B">
      <w:r>
        <w:t>Following terms are used in the CM information storage description when describing what information the CM maintains about a WSO. There are three different types of WSOs from the CM perspective and they are as follows:</w:t>
      </w:r>
    </w:p>
    <w:p w14:paraId="096CFD40" w14:textId="095ACF2B" w:rsidR="00D24BCB" w:rsidRPr="005F318D" w:rsidRDefault="005F318D" w:rsidP="00FE6785">
      <w:pPr>
        <w:pStyle w:val="ListParagraph"/>
        <w:numPr>
          <w:ilvl w:val="0"/>
          <w:numId w:val="28"/>
        </w:numPr>
        <w:rPr>
          <w:rFonts w:ascii="Times New Roman" w:hAnsi="Times New Roman"/>
        </w:rPr>
      </w:pPr>
      <w:r>
        <w:rPr>
          <w:rFonts w:ascii="Times New Roman" w:hAnsi="Times New Roman"/>
        </w:rPr>
        <w:t>A</w:t>
      </w:r>
      <w:r w:rsidR="00D24BCB" w:rsidRPr="005F318D">
        <w:rPr>
          <w:rFonts w:ascii="Times New Roman" w:hAnsi="Times New Roman"/>
        </w:rPr>
        <w:t xml:space="preserve"> WSO is </w:t>
      </w:r>
      <w:r>
        <w:rPr>
          <w:rFonts w:ascii="Times New Roman" w:hAnsi="Times New Roman"/>
        </w:rPr>
        <w:t>called</w:t>
      </w:r>
      <w:r w:rsidR="00D24BCB" w:rsidRPr="005F318D">
        <w:rPr>
          <w:rFonts w:ascii="Times New Roman" w:hAnsi="Times New Roman"/>
        </w:rPr>
        <w:t xml:space="preserve"> </w:t>
      </w:r>
      <w:r w:rsidR="00D24BCB" w:rsidRPr="005F318D">
        <w:rPr>
          <w:rFonts w:ascii="Times New Roman" w:hAnsi="Times New Roman"/>
          <w:b/>
        </w:rPr>
        <w:t>My WSO</w:t>
      </w:r>
      <w:r w:rsidR="00D24BCB" w:rsidRPr="005F318D">
        <w:rPr>
          <w:rFonts w:ascii="Times New Roman" w:hAnsi="Times New Roman"/>
        </w:rPr>
        <w:t>, if it is represented by a CE connected to this CM.</w:t>
      </w:r>
    </w:p>
    <w:p w14:paraId="096CFD41" w14:textId="020BE3DB" w:rsidR="00D24BCB" w:rsidRPr="005F318D" w:rsidRDefault="005F318D" w:rsidP="00FE6785">
      <w:pPr>
        <w:pStyle w:val="ListParagraph"/>
        <w:numPr>
          <w:ilvl w:val="0"/>
          <w:numId w:val="28"/>
        </w:numPr>
        <w:rPr>
          <w:rFonts w:ascii="Times New Roman" w:hAnsi="Times New Roman"/>
        </w:rPr>
      </w:pPr>
      <w:r>
        <w:rPr>
          <w:rFonts w:ascii="Times New Roman" w:hAnsi="Times New Roman"/>
        </w:rPr>
        <w:t>A</w:t>
      </w:r>
      <w:r w:rsidR="00D24BCB" w:rsidRPr="005F318D">
        <w:rPr>
          <w:rFonts w:ascii="Times New Roman" w:hAnsi="Times New Roman"/>
        </w:rPr>
        <w:t xml:space="preserve"> WSO is </w:t>
      </w:r>
      <w:r>
        <w:rPr>
          <w:rFonts w:ascii="Times New Roman" w:hAnsi="Times New Roman"/>
        </w:rPr>
        <w:t>called a</w:t>
      </w:r>
      <w:r w:rsidR="00D24BCB" w:rsidRPr="005F318D">
        <w:rPr>
          <w:rFonts w:ascii="Times New Roman" w:hAnsi="Times New Roman"/>
          <w:b/>
        </w:rPr>
        <w:t xml:space="preserve"> </w:t>
      </w:r>
      <w:r>
        <w:rPr>
          <w:rFonts w:ascii="Times New Roman" w:hAnsi="Times New Roman"/>
          <w:b/>
        </w:rPr>
        <w:t>P</w:t>
      </w:r>
      <w:r w:rsidR="00D24BCB" w:rsidRPr="005F318D">
        <w:rPr>
          <w:rFonts w:ascii="Times New Roman" w:hAnsi="Times New Roman"/>
          <w:b/>
        </w:rPr>
        <w:t>rimary CSE</w:t>
      </w:r>
      <w:r>
        <w:rPr>
          <w:rFonts w:ascii="Times New Roman" w:hAnsi="Times New Roman"/>
        </w:rPr>
        <w:t>, if it belongs to a coexistence set</w:t>
      </w:r>
      <w:r w:rsidR="00D24BCB" w:rsidRPr="005F318D">
        <w:rPr>
          <w:rFonts w:ascii="Times New Roman" w:hAnsi="Times New Roman"/>
        </w:rPr>
        <w:t xml:space="preserve"> of a WSO that is a </w:t>
      </w:r>
      <w:r w:rsidR="00D24BCB" w:rsidRPr="005F318D">
        <w:rPr>
          <w:rFonts w:ascii="Times New Roman" w:hAnsi="Times New Roman"/>
          <w:b/>
        </w:rPr>
        <w:t>My WSO</w:t>
      </w:r>
      <w:r w:rsidR="00D24BCB" w:rsidRPr="005F318D">
        <w:rPr>
          <w:rFonts w:ascii="Times New Roman" w:hAnsi="Times New Roman"/>
        </w:rPr>
        <w:t>.</w:t>
      </w:r>
    </w:p>
    <w:p w14:paraId="096CFD42" w14:textId="0980CB5E" w:rsidR="00D24BCB" w:rsidRPr="005F318D" w:rsidRDefault="005F318D" w:rsidP="00FE6785">
      <w:pPr>
        <w:pStyle w:val="ListParagraph"/>
        <w:numPr>
          <w:ilvl w:val="0"/>
          <w:numId w:val="28"/>
        </w:numPr>
        <w:rPr>
          <w:rFonts w:ascii="Times New Roman" w:hAnsi="Times New Roman"/>
        </w:rPr>
      </w:pPr>
      <w:r>
        <w:rPr>
          <w:rFonts w:ascii="Times New Roman" w:hAnsi="Times New Roman"/>
        </w:rPr>
        <w:t>A</w:t>
      </w:r>
      <w:r w:rsidR="00D24BCB" w:rsidRPr="005F318D">
        <w:rPr>
          <w:rFonts w:ascii="Times New Roman" w:hAnsi="Times New Roman"/>
        </w:rPr>
        <w:t xml:space="preserve"> WSO is </w:t>
      </w:r>
      <w:r>
        <w:rPr>
          <w:rFonts w:ascii="Times New Roman" w:hAnsi="Times New Roman"/>
        </w:rPr>
        <w:t>called a</w:t>
      </w:r>
      <w:r w:rsidR="00D24BCB" w:rsidRPr="005F318D">
        <w:rPr>
          <w:rFonts w:ascii="Times New Roman" w:hAnsi="Times New Roman"/>
        </w:rPr>
        <w:t xml:space="preserve"> </w:t>
      </w:r>
      <w:r>
        <w:rPr>
          <w:rFonts w:ascii="Times New Roman" w:hAnsi="Times New Roman"/>
        </w:rPr>
        <w:t>S</w:t>
      </w:r>
      <w:r w:rsidR="00D24BCB" w:rsidRPr="005F318D">
        <w:rPr>
          <w:rFonts w:ascii="Times New Roman" w:hAnsi="Times New Roman"/>
          <w:b/>
        </w:rPr>
        <w:t>econdary CSE</w:t>
      </w:r>
      <w:r w:rsidR="00D24BCB" w:rsidRPr="005F318D">
        <w:rPr>
          <w:rFonts w:ascii="Times New Roman" w:hAnsi="Times New Roman"/>
        </w:rPr>
        <w:t xml:space="preserve">, if it </w:t>
      </w:r>
      <w:r>
        <w:rPr>
          <w:rFonts w:ascii="Times New Roman" w:hAnsi="Times New Roman"/>
        </w:rPr>
        <w:t xml:space="preserve">is </w:t>
      </w:r>
      <w:r w:rsidR="00D24BCB" w:rsidRPr="005F318D">
        <w:rPr>
          <w:rFonts w:ascii="Times New Roman" w:hAnsi="Times New Roman"/>
        </w:rPr>
        <w:t xml:space="preserve">a CSE of a </w:t>
      </w:r>
      <w:r w:rsidRPr="005F318D">
        <w:rPr>
          <w:rFonts w:ascii="Times New Roman" w:hAnsi="Times New Roman"/>
          <w:b/>
        </w:rPr>
        <w:t>P</w:t>
      </w:r>
      <w:r w:rsidR="00D24BCB" w:rsidRPr="005F318D">
        <w:rPr>
          <w:rFonts w:ascii="Times New Roman" w:hAnsi="Times New Roman"/>
          <w:b/>
        </w:rPr>
        <w:t>rimary CSE</w:t>
      </w:r>
      <w:r w:rsidR="00D24BCB" w:rsidRPr="005F318D">
        <w:rPr>
          <w:rFonts w:ascii="Times New Roman" w:hAnsi="Times New Roman"/>
        </w:rPr>
        <w:t>.</w:t>
      </w:r>
    </w:p>
    <w:p w14:paraId="096CFD43" w14:textId="2D069583" w:rsidR="00B91FFB" w:rsidRDefault="008E1295" w:rsidP="00DB4A2B">
      <w:r>
        <w:t>Depending on actual WSO relation to a CM, a WSO have different information set in the CM. Th</w:t>
      </w:r>
      <w:r w:rsidR="001303B3">
        <w:t>e re</w:t>
      </w:r>
      <w:r>
        <w:t>l</w:t>
      </w:r>
      <w:r w:rsidR="001303B3">
        <w:t>a</w:t>
      </w:r>
      <w:r>
        <w:t xml:space="preserve">tion </w:t>
      </w:r>
      <w:r w:rsidR="001303B3">
        <w:t xml:space="preserve">type </w:t>
      </w:r>
      <w:r>
        <w:t xml:space="preserve">is indicated by internal “WSO relation to CM” </w:t>
      </w:r>
      <w:r w:rsidR="00A979E3">
        <w:t xml:space="preserve">information element. </w:t>
      </w:r>
      <w:r w:rsidR="002E1FDE">
        <w:t xml:space="preserve">This information element is used </w:t>
      </w:r>
      <w:r w:rsidR="001303B3">
        <w:t>as key i</w:t>
      </w:r>
      <w:r w:rsidR="002E1FDE">
        <w:t>n conditional bra</w:t>
      </w:r>
      <w:r w:rsidR="005F318D">
        <w:t>n</w:t>
      </w:r>
      <w:r w:rsidR="002E1FDE">
        <w:t>ches.</w:t>
      </w:r>
    </w:p>
    <w:p w14:paraId="096CFD45" w14:textId="77777777" w:rsidR="00DD0AB3" w:rsidRDefault="00DD0AB3" w:rsidP="00DB4A2B"/>
    <w:p w14:paraId="096CFD47" w14:textId="1698A42C" w:rsidR="00DD0AB3" w:rsidRPr="00DD0AB3" w:rsidRDefault="0082420C" w:rsidP="00DD0AB3">
      <w:pPr>
        <w:pStyle w:val="IEEEStdsParagraph"/>
        <w:spacing w:after="0"/>
        <w:jc w:val="left"/>
        <w:rPr>
          <w:sz w:val="22"/>
          <w:szCs w:val="22"/>
        </w:rPr>
      </w:pPr>
      <w:r>
        <w:rPr>
          <w:sz w:val="22"/>
          <w:szCs w:val="22"/>
        </w:rPr>
        <w:t>Table 1</w:t>
      </w:r>
      <w:r w:rsidR="00DD0AB3" w:rsidRPr="00DD0AB3">
        <w:rPr>
          <w:sz w:val="22"/>
          <w:szCs w:val="22"/>
        </w:rPr>
        <w:t>defines</w:t>
      </w:r>
      <w:r w:rsidR="00EE7948">
        <w:rPr>
          <w:sz w:val="22"/>
          <w:szCs w:val="22"/>
        </w:rPr>
        <w:t>,</w:t>
      </w:r>
      <w:r w:rsidR="00DD0AB3" w:rsidRPr="00DD0AB3">
        <w:rPr>
          <w:sz w:val="22"/>
          <w:szCs w:val="22"/>
        </w:rPr>
        <w:t xml:space="preserve"> which </w:t>
      </w:r>
      <w:r>
        <w:rPr>
          <w:sz w:val="22"/>
          <w:szCs w:val="22"/>
        </w:rPr>
        <w:t>WSO specific in</w:t>
      </w:r>
      <w:r w:rsidRPr="00DD0AB3">
        <w:rPr>
          <w:sz w:val="22"/>
          <w:szCs w:val="22"/>
        </w:rPr>
        <w:t xml:space="preserve">formation </w:t>
      </w:r>
      <w:r w:rsidR="00DD0AB3" w:rsidRPr="00DD0AB3">
        <w:rPr>
          <w:sz w:val="22"/>
          <w:szCs w:val="22"/>
        </w:rPr>
        <w:t xml:space="preserve">a CM </w:t>
      </w:r>
      <w:r w:rsidR="005F318D">
        <w:rPr>
          <w:sz w:val="22"/>
          <w:szCs w:val="22"/>
        </w:rPr>
        <w:t>maintains</w:t>
      </w:r>
      <w:r>
        <w:rPr>
          <w:sz w:val="22"/>
          <w:szCs w:val="22"/>
        </w:rPr>
        <w:t xml:space="preserve"> for each relation</w:t>
      </w:r>
      <w:r w:rsidR="00DD0AB3" w:rsidRPr="00DD0AB3">
        <w:rPr>
          <w:sz w:val="22"/>
          <w:szCs w:val="22"/>
        </w:rPr>
        <w:t>.</w:t>
      </w:r>
      <w:r>
        <w:rPr>
          <w:sz w:val="22"/>
          <w:szCs w:val="22"/>
        </w:rPr>
        <w:t xml:space="preserve"> </w:t>
      </w:r>
      <w:r w:rsidR="005F318D">
        <w:rPr>
          <w:sz w:val="22"/>
          <w:szCs w:val="22"/>
        </w:rPr>
        <w:t>This is another representation of the information available in Figure 3.</w:t>
      </w:r>
      <w:r w:rsidR="00F45EC8">
        <w:rPr>
          <w:sz w:val="22"/>
          <w:szCs w:val="22"/>
        </w:rPr>
        <w:br/>
      </w:r>
    </w:p>
    <w:tbl>
      <w:tblPr>
        <w:tblStyle w:val="TableGrid"/>
        <w:tblW w:w="8221" w:type="dxa"/>
        <w:tblInd w:w="534" w:type="dxa"/>
        <w:tblLook w:val="04A0" w:firstRow="1" w:lastRow="0" w:firstColumn="1" w:lastColumn="0" w:noHBand="0" w:noVBand="1"/>
      </w:tblPr>
      <w:tblGrid>
        <w:gridCol w:w="3402"/>
        <w:gridCol w:w="1417"/>
        <w:gridCol w:w="1559"/>
        <w:gridCol w:w="1843"/>
      </w:tblGrid>
      <w:tr w:rsidR="00DD0AB3" w:rsidRPr="00DD0AB3" w14:paraId="096CFD4C" w14:textId="77777777" w:rsidTr="00E70BB8">
        <w:tc>
          <w:tcPr>
            <w:tcW w:w="3402" w:type="dxa"/>
          </w:tcPr>
          <w:p w14:paraId="096CFD48" w14:textId="77777777" w:rsidR="00DD0AB3" w:rsidRPr="00E70BB8" w:rsidRDefault="00DD0AB3" w:rsidP="00F45EC8">
            <w:pPr>
              <w:pStyle w:val="IEEEStdsParagraph"/>
              <w:spacing w:before="60" w:after="60"/>
              <w:jc w:val="left"/>
              <w:rPr>
                <w:b/>
                <w:sz w:val="22"/>
                <w:szCs w:val="22"/>
              </w:rPr>
            </w:pPr>
            <w:r w:rsidRPr="00E70BB8">
              <w:rPr>
                <w:b/>
                <w:sz w:val="22"/>
                <w:szCs w:val="22"/>
              </w:rPr>
              <w:t>DataElement</w:t>
            </w:r>
            <w:r w:rsidR="00B84698" w:rsidRPr="00E70BB8">
              <w:rPr>
                <w:b/>
                <w:sz w:val="22"/>
                <w:szCs w:val="22"/>
              </w:rPr>
              <w:t xml:space="preserve">s </w:t>
            </w:r>
            <w:r w:rsidRPr="00E70BB8">
              <w:rPr>
                <w:b/>
                <w:sz w:val="22"/>
                <w:szCs w:val="22"/>
              </w:rPr>
              <w:t xml:space="preserve"> / </w:t>
            </w:r>
            <w:r w:rsidR="005319BC" w:rsidRPr="00E70BB8">
              <w:rPr>
                <w:b/>
                <w:sz w:val="22"/>
                <w:szCs w:val="22"/>
              </w:rPr>
              <w:t>Relation of WSO</w:t>
            </w:r>
          </w:p>
        </w:tc>
        <w:tc>
          <w:tcPr>
            <w:tcW w:w="1417" w:type="dxa"/>
          </w:tcPr>
          <w:p w14:paraId="096CFD49" w14:textId="77777777" w:rsidR="00DD0AB3" w:rsidRPr="00E70BB8" w:rsidRDefault="00DD0AB3" w:rsidP="00F45EC8">
            <w:pPr>
              <w:pStyle w:val="IEEEStdsParagraph"/>
              <w:spacing w:before="60" w:after="60"/>
              <w:jc w:val="left"/>
              <w:rPr>
                <w:b/>
                <w:sz w:val="22"/>
                <w:szCs w:val="22"/>
              </w:rPr>
            </w:pPr>
            <w:r w:rsidRPr="00E70BB8">
              <w:rPr>
                <w:b/>
                <w:sz w:val="22"/>
                <w:szCs w:val="22"/>
              </w:rPr>
              <w:t>My WSO</w:t>
            </w:r>
          </w:p>
        </w:tc>
        <w:tc>
          <w:tcPr>
            <w:tcW w:w="1559" w:type="dxa"/>
          </w:tcPr>
          <w:p w14:paraId="096CFD4A" w14:textId="77777777" w:rsidR="00DD0AB3" w:rsidRPr="00E70BB8" w:rsidRDefault="00DD0AB3" w:rsidP="00F45EC8">
            <w:pPr>
              <w:pStyle w:val="IEEEStdsParagraph"/>
              <w:spacing w:before="60" w:after="60"/>
              <w:jc w:val="left"/>
              <w:rPr>
                <w:b/>
                <w:sz w:val="22"/>
                <w:szCs w:val="22"/>
              </w:rPr>
            </w:pPr>
            <w:r w:rsidRPr="00E70BB8">
              <w:rPr>
                <w:b/>
                <w:sz w:val="22"/>
                <w:szCs w:val="22"/>
              </w:rPr>
              <w:t>Primary CSE</w:t>
            </w:r>
          </w:p>
        </w:tc>
        <w:tc>
          <w:tcPr>
            <w:tcW w:w="1843" w:type="dxa"/>
          </w:tcPr>
          <w:p w14:paraId="096CFD4B" w14:textId="77777777" w:rsidR="00DD0AB3" w:rsidRPr="00E70BB8" w:rsidRDefault="00DD0AB3" w:rsidP="00F45EC8">
            <w:pPr>
              <w:pStyle w:val="IEEEStdsParagraph"/>
              <w:spacing w:before="60" w:after="60"/>
              <w:jc w:val="left"/>
              <w:rPr>
                <w:b/>
                <w:sz w:val="22"/>
                <w:szCs w:val="22"/>
              </w:rPr>
            </w:pPr>
            <w:r w:rsidRPr="00E70BB8">
              <w:rPr>
                <w:b/>
                <w:sz w:val="22"/>
                <w:szCs w:val="22"/>
              </w:rPr>
              <w:t>Secondary CSE</w:t>
            </w:r>
          </w:p>
        </w:tc>
      </w:tr>
      <w:tr w:rsidR="00DD0AB3" w:rsidRPr="00DD0AB3" w14:paraId="096CFD51" w14:textId="77777777" w:rsidTr="00E70BB8">
        <w:tc>
          <w:tcPr>
            <w:tcW w:w="3402" w:type="dxa"/>
          </w:tcPr>
          <w:p w14:paraId="096CFD4D" w14:textId="5906DA02" w:rsidR="00DD0AB3" w:rsidRPr="00DD0AB3" w:rsidRDefault="0095215A" w:rsidP="00F45EC8">
            <w:pPr>
              <w:pStyle w:val="IEEEStdsParagraph"/>
              <w:spacing w:before="60" w:after="60"/>
              <w:jc w:val="left"/>
              <w:rPr>
                <w:sz w:val="22"/>
                <w:szCs w:val="22"/>
              </w:rPr>
            </w:pPr>
            <w:r>
              <w:rPr>
                <w:sz w:val="22"/>
                <w:szCs w:val="22"/>
              </w:rPr>
              <w:t>WSO ID</w:t>
            </w:r>
            <w:r w:rsidR="005445EC">
              <w:rPr>
                <w:sz w:val="22"/>
                <w:szCs w:val="22"/>
              </w:rPr>
              <w:t xml:space="preserve"> &amp; </w:t>
            </w:r>
            <w:r w:rsidR="00365F8D">
              <w:rPr>
                <w:sz w:val="22"/>
                <w:szCs w:val="22"/>
              </w:rPr>
              <w:t>WSO operating state and parameters</w:t>
            </w:r>
          </w:p>
        </w:tc>
        <w:tc>
          <w:tcPr>
            <w:tcW w:w="1417" w:type="dxa"/>
          </w:tcPr>
          <w:p w14:paraId="096CFD4E" w14:textId="77777777" w:rsidR="00DD0AB3" w:rsidRPr="00DD0AB3" w:rsidRDefault="00DD0AB3" w:rsidP="00F45EC8">
            <w:pPr>
              <w:pStyle w:val="IEEEStdsParagraph"/>
              <w:spacing w:before="60" w:after="60"/>
              <w:jc w:val="left"/>
              <w:rPr>
                <w:sz w:val="22"/>
                <w:szCs w:val="22"/>
              </w:rPr>
            </w:pPr>
            <w:r w:rsidRPr="00DD0AB3">
              <w:rPr>
                <w:sz w:val="22"/>
                <w:szCs w:val="22"/>
              </w:rPr>
              <w:t>X</w:t>
            </w:r>
          </w:p>
        </w:tc>
        <w:tc>
          <w:tcPr>
            <w:tcW w:w="1559" w:type="dxa"/>
          </w:tcPr>
          <w:p w14:paraId="096CFD4F" w14:textId="77777777" w:rsidR="00DD0AB3" w:rsidRPr="00DD0AB3" w:rsidRDefault="00DD0AB3" w:rsidP="00F45EC8">
            <w:pPr>
              <w:pStyle w:val="IEEEStdsParagraph"/>
              <w:spacing w:before="60" w:after="60"/>
              <w:jc w:val="left"/>
              <w:rPr>
                <w:sz w:val="22"/>
                <w:szCs w:val="22"/>
              </w:rPr>
            </w:pPr>
            <w:r w:rsidRPr="00DD0AB3">
              <w:rPr>
                <w:sz w:val="22"/>
                <w:szCs w:val="22"/>
              </w:rPr>
              <w:t>X</w:t>
            </w:r>
          </w:p>
        </w:tc>
        <w:tc>
          <w:tcPr>
            <w:tcW w:w="1843" w:type="dxa"/>
          </w:tcPr>
          <w:p w14:paraId="096CFD50" w14:textId="77777777" w:rsidR="00DD0AB3" w:rsidRPr="00DD0AB3" w:rsidRDefault="00DD0AB3" w:rsidP="00F45EC8">
            <w:pPr>
              <w:pStyle w:val="IEEEStdsParagraph"/>
              <w:spacing w:before="60" w:after="60"/>
              <w:jc w:val="left"/>
              <w:rPr>
                <w:sz w:val="22"/>
                <w:szCs w:val="22"/>
              </w:rPr>
            </w:pPr>
            <w:r w:rsidRPr="00DD0AB3">
              <w:rPr>
                <w:sz w:val="22"/>
                <w:szCs w:val="22"/>
              </w:rPr>
              <w:t>X</w:t>
            </w:r>
          </w:p>
        </w:tc>
      </w:tr>
      <w:tr w:rsidR="00DD0AB3" w:rsidRPr="00DD0AB3" w14:paraId="096CFD56" w14:textId="77777777" w:rsidTr="00E70BB8">
        <w:tc>
          <w:tcPr>
            <w:tcW w:w="3402" w:type="dxa"/>
          </w:tcPr>
          <w:p w14:paraId="096CFD52" w14:textId="77777777" w:rsidR="00DD0AB3" w:rsidRPr="00DD0AB3" w:rsidRDefault="00F42189" w:rsidP="00F45EC8">
            <w:pPr>
              <w:pStyle w:val="IEEEStdsParagraph"/>
              <w:spacing w:before="60" w:after="60"/>
              <w:jc w:val="left"/>
              <w:rPr>
                <w:sz w:val="22"/>
                <w:szCs w:val="22"/>
              </w:rPr>
            </w:pPr>
            <w:r>
              <w:rPr>
                <w:sz w:val="22"/>
                <w:szCs w:val="22"/>
              </w:rPr>
              <w:t>Regulator Constraints</w:t>
            </w:r>
          </w:p>
        </w:tc>
        <w:tc>
          <w:tcPr>
            <w:tcW w:w="1417" w:type="dxa"/>
          </w:tcPr>
          <w:p w14:paraId="096CFD53" w14:textId="77777777" w:rsidR="00DD0AB3" w:rsidRPr="00DD0AB3" w:rsidRDefault="00DD0AB3" w:rsidP="00F45EC8">
            <w:pPr>
              <w:pStyle w:val="IEEEStdsParagraph"/>
              <w:spacing w:before="60" w:after="60"/>
              <w:jc w:val="left"/>
              <w:rPr>
                <w:sz w:val="22"/>
                <w:szCs w:val="22"/>
              </w:rPr>
            </w:pPr>
            <w:r w:rsidRPr="00DD0AB3">
              <w:rPr>
                <w:sz w:val="22"/>
                <w:szCs w:val="22"/>
              </w:rPr>
              <w:t>X</w:t>
            </w:r>
          </w:p>
        </w:tc>
        <w:tc>
          <w:tcPr>
            <w:tcW w:w="1559" w:type="dxa"/>
          </w:tcPr>
          <w:p w14:paraId="096CFD54" w14:textId="77777777" w:rsidR="00DD0AB3" w:rsidRPr="00DD0AB3" w:rsidRDefault="00DD0AB3" w:rsidP="00F45EC8">
            <w:pPr>
              <w:pStyle w:val="IEEEStdsParagraph"/>
              <w:spacing w:before="60" w:after="60"/>
              <w:jc w:val="left"/>
              <w:rPr>
                <w:sz w:val="22"/>
                <w:szCs w:val="22"/>
              </w:rPr>
            </w:pPr>
            <w:r w:rsidRPr="00DD0AB3">
              <w:rPr>
                <w:sz w:val="22"/>
                <w:szCs w:val="22"/>
              </w:rPr>
              <w:t>X</w:t>
            </w:r>
          </w:p>
        </w:tc>
        <w:tc>
          <w:tcPr>
            <w:tcW w:w="1843" w:type="dxa"/>
          </w:tcPr>
          <w:p w14:paraId="096CFD55" w14:textId="77777777" w:rsidR="00DD0AB3" w:rsidRPr="00DD0AB3" w:rsidRDefault="00DD0AB3" w:rsidP="00F45EC8">
            <w:pPr>
              <w:pStyle w:val="IEEEStdsParagraph"/>
              <w:spacing w:before="60" w:after="60"/>
              <w:jc w:val="left"/>
              <w:rPr>
                <w:sz w:val="22"/>
                <w:szCs w:val="22"/>
              </w:rPr>
            </w:pPr>
          </w:p>
        </w:tc>
      </w:tr>
      <w:tr w:rsidR="00DD0AB3" w:rsidRPr="00DD0AB3" w14:paraId="096CFD5B" w14:textId="77777777" w:rsidTr="00E70BB8">
        <w:tc>
          <w:tcPr>
            <w:tcW w:w="3402" w:type="dxa"/>
          </w:tcPr>
          <w:p w14:paraId="096CFD57" w14:textId="77777777" w:rsidR="00DD0AB3" w:rsidRPr="00DD0AB3" w:rsidRDefault="00F42189" w:rsidP="00F45EC8">
            <w:pPr>
              <w:pStyle w:val="IEEEStdsParagraph"/>
              <w:spacing w:before="60" w:after="60"/>
              <w:jc w:val="left"/>
              <w:rPr>
                <w:sz w:val="22"/>
                <w:szCs w:val="22"/>
              </w:rPr>
            </w:pPr>
            <w:r>
              <w:rPr>
                <w:sz w:val="22"/>
                <w:szCs w:val="22"/>
              </w:rPr>
              <w:t>WSO Constraints</w:t>
            </w:r>
          </w:p>
        </w:tc>
        <w:tc>
          <w:tcPr>
            <w:tcW w:w="1417" w:type="dxa"/>
          </w:tcPr>
          <w:p w14:paraId="096CFD58" w14:textId="77777777" w:rsidR="00DD0AB3" w:rsidRPr="00DD0AB3" w:rsidRDefault="00DD0AB3" w:rsidP="00F45EC8">
            <w:pPr>
              <w:pStyle w:val="IEEEStdsParagraph"/>
              <w:spacing w:before="60" w:after="60"/>
              <w:jc w:val="left"/>
              <w:rPr>
                <w:sz w:val="22"/>
                <w:szCs w:val="22"/>
              </w:rPr>
            </w:pPr>
            <w:r w:rsidRPr="00DD0AB3">
              <w:rPr>
                <w:sz w:val="22"/>
                <w:szCs w:val="22"/>
              </w:rPr>
              <w:t>X</w:t>
            </w:r>
          </w:p>
        </w:tc>
        <w:tc>
          <w:tcPr>
            <w:tcW w:w="1559" w:type="dxa"/>
          </w:tcPr>
          <w:p w14:paraId="096CFD59" w14:textId="77777777" w:rsidR="00DD0AB3" w:rsidRPr="00DD0AB3" w:rsidRDefault="00DD0AB3" w:rsidP="00F45EC8">
            <w:pPr>
              <w:pStyle w:val="IEEEStdsParagraph"/>
              <w:spacing w:before="60" w:after="60"/>
              <w:jc w:val="left"/>
              <w:rPr>
                <w:sz w:val="22"/>
                <w:szCs w:val="22"/>
              </w:rPr>
            </w:pPr>
            <w:r w:rsidRPr="00DD0AB3">
              <w:rPr>
                <w:sz w:val="22"/>
                <w:szCs w:val="22"/>
              </w:rPr>
              <w:t>X</w:t>
            </w:r>
          </w:p>
        </w:tc>
        <w:tc>
          <w:tcPr>
            <w:tcW w:w="1843" w:type="dxa"/>
          </w:tcPr>
          <w:p w14:paraId="096CFD5A" w14:textId="74716F26" w:rsidR="00DD0AB3" w:rsidRPr="00DD0AB3" w:rsidRDefault="00DD0AB3" w:rsidP="00F45EC8">
            <w:pPr>
              <w:pStyle w:val="IEEEStdsParagraph"/>
              <w:spacing w:before="60" w:after="60"/>
              <w:jc w:val="left"/>
              <w:rPr>
                <w:sz w:val="22"/>
                <w:szCs w:val="22"/>
              </w:rPr>
            </w:pPr>
          </w:p>
        </w:tc>
      </w:tr>
      <w:tr w:rsidR="00DD0AB3" w:rsidRPr="00DD0AB3" w14:paraId="096CFD60" w14:textId="77777777" w:rsidTr="00E70BB8">
        <w:tc>
          <w:tcPr>
            <w:tcW w:w="3402" w:type="dxa"/>
          </w:tcPr>
          <w:p w14:paraId="096CFD5C" w14:textId="77777777" w:rsidR="00DD0AB3" w:rsidRPr="00DD0AB3" w:rsidRDefault="00DD0AB3" w:rsidP="00F45EC8">
            <w:pPr>
              <w:pStyle w:val="IEEEStdsParagraph"/>
              <w:spacing w:before="60" w:after="60"/>
              <w:jc w:val="left"/>
              <w:rPr>
                <w:sz w:val="22"/>
                <w:szCs w:val="22"/>
              </w:rPr>
            </w:pPr>
            <w:r w:rsidRPr="00DD0AB3">
              <w:rPr>
                <w:sz w:val="22"/>
                <w:szCs w:val="22"/>
              </w:rPr>
              <w:t>Coexistence</w:t>
            </w:r>
            <w:r w:rsidR="00562344">
              <w:rPr>
                <w:sz w:val="22"/>
                <w:szCs w:val="22"/>
              </w:rPr>
              <w:t xml:space="preserve"> </w:t>
            </w:r>
            <w:r w:rsidRPr="00DD0AB3">
              <w:rPr>
                <w:sz w:val="22"/>
                <w:szCs w:val="22"/>
              </w:rPr>
              <w:t>Set</w:t>
            </w:r>
          </w:p>
        </w:tc>
        <w:tc>
          <w:tcPr>
            <w:tcW w:w="1417" w:type="dxa"/>
          </w:tcPr>
          <w:p w14:paraId="096CFD5D" w14:textId="77777777" w:rsidR="00DD0AB3" w:rsidRPr="00DD0AB3" w:rsidRDefault="00DD0AB3" w:rsidP="00F45EC8">
            <w:pPr>
              <w:pStyle w:val="IEEEStdsParagraph"/>
              <w:spacing w:before="60" w:after="60"/>
              <w:jc w:val="left"/>
              <w:rPr>
                <w:sz w:val="22"/>
                <w:szCs w:val="22"/>
              </w:rPr>
            </w:pPr>
            <w:r w:rsidRPr="00DD0AB3">
              <w:rPr>
                <w:sz w:val="22"/>
                <w:szCs w:val="22"/>
              </w:rPr>
              <w:t>X</w:t>
            </w:r>
          </w:p>
        </w:tc>
        <w:tc>
          <w:tcPr>
            <w:tcW w:w="1559" w:type="dxa"/>
          </w:tcPr>
          <w:p w14:paraId="096CFD5E" w14:textId="77777777" w:rsidR="00DD0AB3" w:rsidRPr="00DD0AB3" w:rsidRDefault="00DD0AB3" w:rsidP="00F45EC8">
            <w:pPr>
              <w:pStyle w:val="IEEEStdsParagraph"/>
              <w:spacing w:before="60" w:after="60"/>
              <w:jc w:val="left"/>
              <w:rPr>
                <w:sz w:val="22"/>
                <w:szCs w:val="22"/>
              </w:rPr>
            </w:pPr>
            <w:r w:rsidRPr="00DD0AB3">
              <w:rPr>
                <w:sz w:val="22"/>
                <w:szCs w:val="22"/>
              </w:rPr>
              <w:t>X</w:t>
            </w:r>
          </w:p>
        </w:tc>
        <w:tc>
          <w:tcPr>
            <w:tcW w:w="1843" w:type="dxa"/>
          </w:tcPr>
          <w:p w14:paraId="096CFD5F" w14:textId="77777777" w:rsidR="00DD0AB3" w:rsidRPr="00DD0AB3" w:rsidRDefault="00DD0AB3" w:rsidP="00F45EC8">
            <w:pPr>
              <w:pStyle w:val="IEEEStdsParagraph"/>
              <w:spacing w:before="60" w:after="60"/>
              <w:jc w:val="left"/>
              <w:rPr>
                <w:sz w:val="22"/>
                <w:szCs w:val="22"/>
              </w:rPr>
            </w:pPr>
          </w:p>
        </w:tc>
      </w:tr>
      <w:tr w:rsidR="00DD0AB3" w:rsidRPr="00DD0AB3" w14:paraId="096CFD65" w14:textId="77777777" w:rsidTr="00E70BB8">
        <w:tc>
          <w:tcPr>
            <w:tcW w:w="3402" w:type="dxa"/>
          </w:tcPr>
          <w:p w14:paraId="096CFD61" w14:textId="77777777" w:rsidR="00DD0AB3" w:rsidRPr="00DD0AB3" w:rsidRDefault="00DD0AB3" w:rsidP="00F45EC8">
            <w:pPr>
              <w:pStyle w:val="IEEEStdsParagraph"/>
              <w:spacing w:before="60" w:after="60"/>
              <w:jc w:val="left"/>
              <w:rPr>
                <w:sz w:val="22"/>
                <w:szCs w:val="22"/>
              </w:rPr>
            </w:pPr>
            <w:r w:rsidRPr="00DD0AB3">
              <w:rPr>
                <w:sz w:val="22"/>
                <w:szCs w:val="22"/>
              </w:rPr>
              <w:t>Radio</w:t>
            </w:r>
            <w:r w:rsidR="00562344">
              <w:rPr>
                <w:sz w:val="22"/>
                <w:szCs w:val="22"/>
              </w:rPr>
              <w:t xml:space="preserve"> </w:t>
            </w:r>
            <w:r w:rsidRPr="00DD0AB3">
              <w:rPr>
                <w:sz w:val="22"/>
                <w:szCs w:val="22"/>
              </w:rPr>
              <w:t>Environment</w:t>
            </w:r>
          </w:p>
        </w:tc>
        <w:tc>
          <w:tcPr>
            <w:tcW w:w="1417" w:type="dxa"/>
          </w:tcPr>
          <w:p w14:paraId="096CFD62" w14:textId="77777777" w:rsidR="00DD0AB3" w:rsidRPr="00DD0AB3" w:rsidRDefault="00DD0AB3" w:rsidP="00F45EC8">
            <w:pPr>
              <w:pStyle w:val="IEEEStdsParagraph"/>
              <w:spacing w:before="60" w:after="60"/>
              <w:jc w:val="left"/>
              <w:rPr>
                <w:sz w:val="22"/>
                <w:szCs w:val="22"/>
              </w:rPr>
            </w:pPr>
            <w:r w:rsidRPr="00DD0AB3">
              <w:rPr>
                <w:sz w:val="22"/>
                <w:szCs w:val="22"/>
              </w:rPr>
              <w:t>X</w:t>
            </w:r>
          </w:p>
        </w:tc>
        <w:tc>
          <w:tcPr>
            <w:tcW w:w="1559" w:type="dxa"/>
          </w:tcPr>
          <w:p w14:paraId="096CFD63" w14:textId="77777777" w:rsidR="00DD0AB3" w:rsidRPr="00DD0AB3" w:rsidRDefault="00DD0AB3" w:rsidP="00F45EC8">
            <w:pPr>
              <w:pStyle w:val="IEEEStdsParagraph"/>
              <w:spacing w:before="60" w:after="60"/>
              <w:jc w:val="left"/>
              <w:rPr>
                <w:sz w:val="22"/>
                <w:szCs w:val="22"/>
              </w:rPr>
            </w:pPr>
            <w:r w:rsidRPr="00DD0AB3">
              <w:rPr>
                <w:sz w:val="22"/>
                <w:szCs w:val="22"/>
              </w:rPr>
              <w:t>X</w:t>
            </w:r>
          </w:p>
        </w:tc>
        <w:tc>
          <w:tcPr>
            <w:tcW w:w="1843" w:type="dxa"/>
          </w:tcPr>
          <w:p w14:paraId="096CFD64" w14:textId="77777777" w:rsidR="00DD0AB3" w:rsidRPr="00DD0AB3" w:rsidRDefault="00DD0AB3" w:rsidP="00F45EC8">
            <w:pPr>
              <w:pStyle w:val="IEEEStdsParagraph"/>
              <w:spacing w:before="60" w:after="60"/>
              <w:jc w:val="left"/>
              <w:rPr>
                <w:sz w:val="22"/>
                <w:szCs w:val="22"/>
              </w:rPr>
            </w:pPr>
          </w:p>
        </w:tc>
      </w:tr>
      <w:tr w:rsidR="00365F8D" w:rsidRPr="00DD0AB3" w14:paraId="4AA3EB3E" w14:textId="77777777" w:rsidTr="00E70BB8">
        <w:tc>
          <w:tcPr>
            <w:tcW w:w="3402" w:type="dxa"/>
          </w:tcPr>
          <w:p w14:paraId="75DC0CC7" w14:textId="0D848D2E" w:rsidR="00365F8D" w:rsidRPr="00DD0AB3" w:rsidRDefault="00365F8D" w:rsidP="00F45EC8">
            <w:pPr>
              <w:pStyle w:val="IEEEStdsParagraph"/>
              <w:spacing w:before="60" w:after="60"/>
              <w:jc w:val="left"/>
              <w:rPr>
                <w:sz w:val="22"/>
                <w:szCs w:val="22"/>
              </w:rPr>
            </w:pPr>
            <w:r>
              <w:rPr>
                <w:sz w:val="22"/>
                <w:szCs w:val="22"/>
              </w:rPr>
              <w:t>Subscription &amp; Registration States</w:t>
            </w:r>
          </w:p>
        </w:tc>
        <w:tc>
          <w:tcPr>
            <w:tcW w:w="1417" w:type="dxa"/>
          </w:tcPr>
          <w:p w14:paraId="15E33072" w14:textId="3128E784" w:rsidR="00365F8D" w:rsidRPr="00DD0AB3" w:rsidRDefault="00365F8D" w:rsidP="00F45EC8">
            <w:pPr>
              <w:pStyle w:val="IEEEStdsParagraph"/>
              <w:spacing w:before="60" w:after="60"/>
              <w:jc w:val="left"/>
              <w:rPr>
                <w:sz w:val="22"/>
                <w:szCs w:val="22"/>
              </w:rPr>
            </w:pPr>
            <w:r>
              <w:rPr>
                <w:sz w:val="22"/>
                <w:szCs w:val="22"/>
              </w:rPr>
              <w:t>X</w:t>
            </w:r>
          </w:p>
        </w:tc>
        <w:tc>
          <w:tcPr>
            <w:tcW w:w="1559" w:type="dxa"/>
          </w:tcPr>
          <w:p w14:paraId="47C64C85" w14:textId="77777777" w:rsidR="00365F8D" w:rsidRPr="00DD0AB3" w:rsidRDefault="00365F8D" w:rsidP="00F45EC8">
            <w:pPr>
              <w:pStyle w:val="IEEEStdsParagraph"/>
              <w:spacing w:before="60" w:after="60"/>
              <w:jc w:val="left"/>
              <w:rPr>
                <w:sz w:val="22"/>
                <w:szCs w:val="22"/>
              </w:rPr>
            </w:pPr>
          </w:p>
        </w:tc>
        <w:tc>
          <w:tcPr>
            <w:tcW w:w="1843" w:type="dxa"/>
          </w:tcPr>
          <w:p w14:paraId="1D72729E" w14:textId="77777777" w:rsidR="00365F8D" w:rsidRPr="00DD0AB3" w:rsidRDefault="00365F8D" w:rsidP="00F45EC8">
            <w:pPr>
              <w:pStyle w:val="IEEEStdsParagraph"/>
              <w:spacing w:before="60" w:after="60"/>
              <w:jc w:val="left"/>
              <w:rPr>
                <w:sz w:val="22"/>
                <w:szCs w:val="22"/>
              </w:rPr>
            </w:pPr>
          </w:p>
        </w:tc>
      </w:tr>
      <w:tr w:rsidR="00DD0AB3" w:rsidRPr="00DD0AB3" w14:paraId="096CFD6F" w14:textId="77777777" w:rsidTr="00E70BB8">
        <w:tc>
          <w:tcPr>
            <w:tcW w:w="3402" w:type="dxa"/>
          </w:tcPr>
          <w:p w14:paraId="096CFD6B" w14:textId="77777777" w:rsidR="00DD0AB3" w:rsidRPr="00DD0AB3" w:rsidRDefault="00B43665" w:rsidP="00F45EC8">
            <w:pPr>
              <w:pStyle w:val="IEEEStdsParagraph"/>
              <w:spacing w:before="60" w:after="60"/>
              <w:jc w:val="left"/>
              <w:rPr>
                <w:sz w:val="22"/>
                <w:szCs w:val="22"/>
              </w:rPr>
            </w:pPr>
            <w:r w:rsidRPr="00DD0AB3">
              <w:rPr>
                <w:sz w:val="22"/>
                <w:szCs w:val="22"/>
              </w:rPr>
              <w:t>Discovery</w:t>
            </w:r>
            <w:r w:rsidR="00F45EC8">
              <w:rPr>
                <w:sz w:val="22"/>
                <w:szCs w:val="22"/>
              </w:rPr>
              <w:t xml:space="preserve"> </w:t>
            </w:r>
            <w:r w:rsidRPr="00DD0AB3">
              <w:rPr>
                <w:sz w:val="22"/>
                <w:szCs w:val="22"/>
              </w:rPr>
              <w:t>Information</w:t>
            </w:r>
          </w:p>
        </w:tc>
        <w:tc>
          <w:tcPr>
            <w:tcW w:w="1417" w:type="dxa"/>
          </w:tcPr>
          <w:p w14:paraId="096CFD6C" w14:textId="77777777" w:rsidR="00DD0AB3" w:rsidRPr="00DD0AB3" w:rsidRDefault="00DD0AB3" w:rsidP="00F45EC8">
            <w:pPr>
              <w:pStyle w:val="IEEEStdsParagraph"/>
              <w:spacing w:before="60" w:after="60"/>
              <w:jc w:val="left"/>
              <w:rPr>
                <w:sz w:val="22"/>
                <w:szCs w:val="22"/>
              </w:rPr>
            </w:pPr>
            <w:r w:rsidRPr="00DD0AB3">
              <w:rPr>
                <w:sz w:val="22"/>
                <w:szCs w:val="22"/>
              </w:rPr>
              <w:t>X</w:t>
            </w:r>
          </w:p>
        </w:tc>
        <w:tc>
          <w:tcPr>
            <w:tcW w:w="1559" w:type="dxa"/>
          </w:tcPr>
          <w:p w14:paraId="096CFD6D" w14:textId="77777777" w:rsidR="00DD0AB3" w:rsidRPr="00DD0AB3" w:rsidRDefault="00DD0AB3" w:rsidP="00F45EC8">
            <w:pPr>
              <w:pStyle w:val="IEEEStdsParagraph"/>
              <w:spacing w:before="60" w:after="60"/>
              <w:jc w:val="left"/>
              <w:rPr>
                <w:sz w:val="22"/>
                <w:szCs w:val="22"/>
              </w:rPr>
            </w:pPr>
          </w:p>
        </w:tc>
        <w:tc>
          <w:tcPr>
            <w:tcW w:w="1843" w:type="dxa"/>
          </w:tcPr>
          <w:p w14:paraId="096CFD6E" w14:textId="77777777" w:rsidR="00DD0AB3" w:rsidRPr="00DD0AB3" w:rsidRDefault="00DD0AB3" w:rsidP="00F45EC8">
            <w:pPr>
              <w:pStyle w:val="IEEEStdsParagraph"/>
              <w:spacing w:before="60" w:after="60"/>
              <w:jc w:val="left"/>
              <w:rPr>
                <w:sz w:val="22"/>
                <w:szCs w:val="22"/>
              </w:rPr>
            </w:pPr>
          </w:p>
        </w:tc>
      </w:tr>
      <w:tr w:rsidR="00F362E4" w:rsidRPr="00DD0AB3" w14:paraId="096CFD74" w14:textId="77777777" w:rsidTr="00E70BB8">
        <w:tc>
          <w:tcPr>
            <w:tcW w:w="3402" w:type="dxa"/>
          </w:tcPr>
          <w:p w14:paraId="096CFD70" w14:textId="7FCC88DB" w:rsidR="00F362E4" w:rsidRPr="00DD0AB3" w:rsidRDefault="00B43665" w:rsidP="00F45EC8">
            <w:pPr>
              <w:pStyle w:val="IEEEStdsParagraph"/>
              <w:spacing w:before="60" w:after="60"/>
              <w:jc w:val="left"/>
              <w:rPr>
                <w:sz w:val="22"/>
                <w:szCs w:val="22"/>
              </w:rPr>
            </w:pPr>
            <w:r w:rsidRPr="00DD0AB3">
              <w:rPr>
                <w:sz w:val="22"/>
                <w:szCs w:val="22"/>
              </w:rPr>
              <w:t>Radio</w:t>
            </w:r>
            <w:r>
              <w:rPr>
                <w:sz w:val="22"/>
                <w:szCs w:val="22"/>
              </w:rPr>
              <w:t xml:space="preserve"> </w:t>
            </w:r>
            <w:r w:rsidRPr="00DD0AB3">
              <w:rPr>
                <w:sz w:val="22"/>
                <w:szCs w:val="22"/>
              </w:rPr>
              <w:t>Measure</w:t>
            </w:r>
            <w:r w:rsidR="006E0BD1">
              <w:rPr>
                <w:sz w:val="22"/>
                <w:szCs w:val="22"/>
              </w:rPr>
              <w:t>ment</w:t>
            </w:r>
            <w:r>
              <w:rPr>
                <w:sz w:val="22"/>
                <w:szCs w:val="22"/>
              </w:rPr>
              <w:t xml:space="preserve"> </w:t>
            </w:r>
            <w:r w:rsidRPr="00DD0AB3">
              <w:rPr>
                <w:sz w:val="22"/>
                <w:szCs w:val="22"/>
              </w:rPr>
              <w:t>Data</w:t>
            </w:r>
          </w:p>
        </w:tc>
        <w:tc>
          <w:tcPr>
            <w:tcW w:w="1417" w:type="dxa"/>
          </w:tcPr>
          <w:p w14:paraId="096CFD71" w14:textId="77777777" w:rsidR="00F362E4" w:rsidRPr="00DD0AB3" w:rsidRDefault="00B43665" w:rsidP="00F45EC8">
            <w:pPr>
              <w:pStyle w:val="IEEEStdsParagraph"/>
              <w:spacing w:before="60" w:after="60"/>
              <w:jc w:val="left"/>
              <w:rPr>
                <w:sz w:val="22"/>
                <w:szCs w:val="22"/>
              </w:rPr>
            </w:pPr>
            <w:r>
              <w:rPr>
                <w:sz w:val="22"/>
                <w:szCs w:val="22"/>
              </w:rPr>
              <w:t>X</w:t>
            </w:r>
          </w:p>
        </w:tc>
        <w:tc>
          <w:tcPr>
            <w:tcW w:w="1559" w:type="dxa"/>
          </w:tcPr>
          <w:p w14:paraId="096CFD72" w14:textId="77777777" w:rsidR="00F362E4" w:rsidRPr="00DD0AB3" w:rsidRDefault="00F362E4" w:rsidP="00F45EC8">
            <w:pPr>
              <w:pStyle w:val="IEEEStdsParagraph"/>
              <w:spacing w:before="60" w:after="60"/>
              <w:jc w:val="left"/>
              <w:rPr>
                <w:sz w:val="22"/>
                <w:szCs w:val="22"/>
              </w:rPr>
            </w:pPr>
          </w:p>
        </w:tc>
        <w:tc>
          <w:tcPr>
            <w:tcW w:w="1843" w:type="dxa"/>
          </w:tcPr>
          <w:p w14:paraId="096CFD73" w14:textId="77777777" w:rsidR="00F362E4" w:rsidRPr="00DD0AB3" w:rsidRDefault="00F362E4" w:rsidP="00F45EC8">
            <w:pPr>
              <w:pStyle w:val="IEEEStdsParagraph"/>
              <w:spacing w:before="60" w:after="60"/>
              <w:jc w:val="left"/>
              <w:rPr>
                <w:sz w:val="22"/>
                <w:szCs w:val="22"/>
              </w:rPr>
            </w:pPr>
          </w:p>
        </w:tc>
      </w:tr>
      <w:tr w:rsidR="00F362E4" w:rsidRPr="00DD0AB3" w14:paraId="096CFD79" w14:textId="77777777" w:rsidTr="00E70BB8">
        <w:tc>
          <w:tcPr>
            <w:tcW w:w="3402" w:type="dxa"/>
          </w:tcPr>
          <w:p w14:paraId="096CFD75" w14:textId="58D8DA75" w:rsidR="00F362E4" w:rsidRPr="00DD0AB3" w:rsidRDefault="00F362E4" w:rsidP="00F45EC8">
            <w:pPr>
              <w:pStyle w:val="IEEEStdsParagraph"/>
              <w:spacing w:before="60" w:after="60"/>
              <w:jc w:val="left"/>
              <w:rPr>
                <w:sz w:val="22"/>
                <w:szCs w:val="22"/>
              </w:rPr>
            </w:pPr>
            <w:r w:rsidRPr="00DD0AB3">
              <w:rPr>
                <w:sz w:val="22"/>
                <w:szCs w:val="22"/>
              </w:rPr>
              <w:t>CM</w:t>
            </w:r>
            <w:r>
              <w:rPr>
                <w:sz w:val="22"/>
                <w:szCs w:val="22"/>
              </w:rPr>
              <w:t xml:space="preserve"> I</w:t>
            </w:r>
            <w:r w:rsidR="00C164E4">
              <w:rPr>
                <w:sz w:val="22"/>
                <w:szCs w:val="22"/>
              </w:rPr>
              <w:t>D</w:t>
            </w:r>
          </w:p>
        </w:tc>
        <w:tc>
          <w:tcPr>
            <w:tcW w:w="1417" w:type="dxa"/>
          </w:tcPr>
          <w:p w14:paraId="096CFD76" w14:textId="77777777" w:rsidR="00F362E4" w:rsidRPr="00DD0AB3" w:rsidRDefault="00F362E4" w:rsidP="00F45EC8">
            <w:pPr>
              <w:pStyle w:val="IEEEStdsParagraph"/>
              <w:spacing w:before="60" w:after="60"/>
              <w:jc w:val="left"/>
              <w:rPr>
                <w:sz w:val="22"/>
                <w:szCs w:val="22"/>
              </w:rPr>
            </w:pPr>
          </w:p>
        </w:tc>
        <w:tc>
          <w:tcPr>
            <w:tcW w:w="1559" w:type="dxa"/>
          </w:tcPr>
          <w:p w14:paraId="096CFD77" w14:textId="77777777" w:rsidR="00F362E4" w:rsidRPr="00DD0AB3" w:rsidRDefault="00F362E4" w:rsidP="00F45EC8">
            <w:pPr>
              <w:pStyle w:val="IEEEStdsParagraph"/>
              <w:spacing w:before="60" w:after="60"/>
              <w:jc w:val="left"/>
              <w:rPr>
                <w:sz w:val="22"/>
                <w:szCs w:val="22"/>
              </w:rPr>
            </w:pPr>
            <w:r w:rsidRPr="00DD0AB3">
              <w:rPr>
                <w:sz w:val="22"/>
                <w:szCs w:val="22"/>
              </w:rPr>
              <w:t>X</w:t>
            </w:r>
          </w:p>
        </w:tc>
        <w:tc>
          <w:tcPr>
            <w:tcW w:w="1843" w:type="dxa"/>
          </w:tcPr>
          <w:p w14:paraId="096CFD78" w14:textId="77777777" w:rsidR="00F362E4" w:rsidRPr="00DD0AB3" w:rsidRDefault="00F362E4" w:rsidP="00F45EC8">
            <w:pPr>
              <w:pStyle w:val="IEEEStdsParagraph"/>
              <w:spacing w:before="60" w:after="60"/>
              <w:jc w:val="left"/>
              <w:rPr>
                <w:sz w:val="22"/>
                <w:szCs w:val="22"/>
              </w:rPr>
            </w:pPr>
            <w:r>
              <w:rPr>
                <w:sz w:val="22"/>
                <w:szCs w:val="22"/>
              </w:rPr>
              <w:t>X</w:t>
            </w:r>
          </w:p>
        </w:tc>
      </w:tr>
    </w:tbl>
    <w:p w14:paraId="096CFD7A" w14:textId="77777777" w:rsidR="00DD0AB3" w:rsidRPr="00DD0AB3" w:rsidRDefault="00DD0AB3" w:rsidP="00DD0AB3">
      <w:pPr>
        <w:rPr>
          <w:szCs w:val="22"/>
        </w:rPr>
      </w:pPr>
    </w:p>
    <w:p w14:paraId="096CFD7B" w14:textId="4CE1229F" w:rsidR="00F45EC8" w:rsidRPr="00AB0303" w:rsidRDefault="00EE7948" w:rsidP="00F45EC8">
      <w:r>
        <w:t>Table 1</w:t>
      </w:r>
      <w:r w:rsidR="00F45EC8">
        <w:t xml:space="preserve">: </w:t>
      </w:r>
      <w:r>
        <w:t xml:space="preserve"> WSO </w:t>
      </w:r>
      <w:r w:rsidR="00F45EC8">
        <w:t>information content</w:t>
      </w:r>
      <w:r>
        <w:t xml:space="preserve"> according </w:t>
      </w:r>
      <w:r w:rsidR="006E0BD1">
        <w:t>to the WSO</w:t>
      </w:r>
      <w:r>
        <w:t xml:space="preserve"> relation type</w:t>
      </w:r>
      <w:r w:rsidR="000948DC">
        <w:t>s</w:t>
      </w:r>
      <w:r>
        <w:t xml:space="preserve"> to the storing CM. </w:t>
      </w:r>
    </w:p>
    <w:p w14:paraId="096CFD7C" w14:textId="77777777" w:rsidR="00DD0AB3" w:rsidRDefault="00DD0AB3" w:rsidP="00DB4A2B"/>
    <w:p w14:paraId="096CFD7D" w14:textId="77777777" w:rsidR="00B91FFB" w:rsidRDefault="00B91FFB" w:rsidP="00DB4A2B"/>
    <w:p w14:paraId="096CFD7E" w14:textId="06353700" w:rsidR="00FE6785" w:rsidRDefault="006E0BD1" w:rsidP="00823DBF">
      <w:pPr>
        <w:jc w:val="center"/>
      </w:pPr>
      <w:r>
        <w:object w:dxaOrig="10118" w:dyaOrig="14798" w14:anchorId="7B8AC6ED">
          <v:shape id="_x0000_i1027" type="#_x0000_t75" style="width:448.5pt;height:656.25pt" o:ole="">
            <v:imagedata r:id="rId13" o:title=""/>
          </v:shape>
          <o:OLEObject Type="Embed" ProgID="Visio.Drawing.11" ShapeID="_x0000_i1027" DrawAspect="Content" ObjectID="_1425369769" r:id="rId14"/>
        </w:object>
      </w:r>
    </w:p>
    <w:p w14:paraId="096CFD7F" w14:textId="16AD8A84" w:rsidR="00FE6785" w:rsidRPr="00AB0303" w:rsidRDefault="0016516E" w:rsidP="00DB4A2B">
      <w:r>
        <w:t>Fig</w:t>
      </w:r>
      <w:r w:rsidR="006E0BD1">
        <w:t>ure</w:t>
      </w:r>
      <w:r>
        <w:t xml:space="preserve"> 3: CM information</w:t>
      </w:r>
      <w:r w:rsidR="006E0BD1">
        <w:t xml:space="preserve"> storage structure and</w:t>
      </w:r>
      <w:r>
        <w:t xml:space="preserve"> content</w:t>
      </w:r>
    </w:p>
    <w:p w14:paraId="096CFD80" w14:textId="7BC18AC1" w:rsidR="00DB4A2B" w:rsidRPr="00AB0303" w:rsidRDefault="00F042B6" w:rsidP="006E0BD1">
      <w:pPr>
        <w:pStyle w:val="Heading2"/>
      </w:pPr>
      <w:r>
        <w:lastRenderedPageBreak/>
        <w:t xml:space="preserve">Profile O </w:t>
      </w:r>
      <w:r w:rsidR="006E0BD1">
        <w:t>CDIS information storage</w:t>
      </w:r>
    </w:p>
    <w:p w14:paraId="739AF4AC" w14:textId="77777777" w:rsidR="006E0BD1" w:rsidRDefault="006E0BD1" w:rsidP="00C215BC"/>
    <w:p w14:paraId="096CFD83" w14:textId="4BA29C11" w:rsidR="00D24BCB" w:rsidRDefault="006E0BD1" w:rsidP="00DB4A2B">
      <w:r>
        <w:t>Structure and content of CDIS information storage is illustrated in Figure 4. A CDIS maintains information about every CM it serves and about every coexistence set it has determined for the CMs it serves.</w:t>
      </w:r>
    </w:p>
    <w:p w14:paraId="096CFD85" w14:textId="738462EF" w:rsidR="00CD543B" w:rsidRDefault="007A1CE4" w:rsidP="006E0BD1">
      <w:pPr>
        <w:jc w:val="right"/>
      </w:pPr>
      <w:r>
        <w:object w:dxaOrig="8219" w:dyaOrig="7711" w14:anchorId="3F211737">
          <v:shape id="_x0000_i1028" type="#_x0000_t75" style="width:411pt;height:385.5pt" o:ole="">
            <v:imagedata r:id="rId15" o:title=""/>
          </v:shape>
          <o:OLEObject Type="Embed" ProgID="Visio.Drawing.11" ShapeID="_x0000_i1028" DrawAspect="Content" ObjectID="_1425369770" r:id="rId16"/>
        </w:object>
      </w:r>
    </w:p>
    <w:p w14:paraId="096CFD86" w14:textId="77777777" w:rsidR="00D24BCB" w:rsidRDefault="00D24BCB" w:rsidP="00DB4A2B"/>
    <w:p w14:paraId="096CFD87" w14:textId="58177342" w:rsidR="00D24BCB" w:rsidRDefault="00CD543B" w:rsidP="00DB4A2B">
      <w:r>
        <w:t>Fig</w:t>
      </w:r>
      <w:r w:rsidR="006E0BD1">
        <w:t>ure</w:t>
      </w:r>
      <w:r>
        <w:t xml:space="preserve"> 4: CDIS information</w:t>
      </w:r>
      <w:r w:rsidR="006E0BD1">
        <w:t xml:space="preserve"> storage structure</w:t>
      </w:r>
      <w:r>
        <w:t xml:space="preserve"> </w:t>
      </w:r>
      <w:r w:rsidR="006E0BD1">
        <w:t xml:space="preserve">and </w:t>
      </w:r>
      <w:r>
        <w:t>content</w:t>
      </w:r>
    </w:p>
    <w:p w14:paraId="096CFD88" w14:textId="77777777" w:rsidR="00D24BCB" w:rsidRPr="00AB0303" w:rsidRDefault="00D24BCB" w:rsidP="00DB4A2B"/>
    <w:sectPr w:rsidR="00D24BCB" w:rsidRPr="00AB0303" w:rsidSect="00DA6E65">
      <w:headerReference w:type="default" r:id="rId17"/>
      <w:footerReference w:type="default" r:id="rId18"/>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A0834" w14:textId="77777777" w:rsidR="00C43871" w:rsidRDefault="00C43871">
      <w:r>
        <w:separator/>
      </w:r>
    </w:p>
  </w:endnote>
  <w:endnote w:type="continuationSeparator" w:id="0">
    <w:p w14:paraId="156CDD2E" w14:textId="77777777" w:rsidR="00C43871" w:rsidRDefault="00C4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CFD9A" w14:textId="77777777" w:rsidR="00C46BF4" w:rsidRPr="00F53F59" w:rsidRDefault="00C46BF4">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sidR="00313B6B">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9B597B">
      <w:rPr>
        <w:noProof/>
        <w:lang w:val="fi-FI"/>
      </w:rPr>
      <w:t>1</w:t>
    </w:r>
    <w:r>
      <w:fldChar w:fldCharType="end"/>
    </w:r>
    <w:r w:rsidRPr="00F53F59">
      <w:rPr>
        <w:lang w:val="fi-FI"/>
      </w:rPr>
      <w:tab/>
    </w:r>
    <w:r w:rsidRPr="001F23C2">
      <w:rPr>
        <w:lang w:val="fi-FI" w:eastAsia="ja-JP"/>
      </w:rPr>
      <w:t>Mika Kasslin, Nokia</w:t>
    </w:r>
  </w:p>
  <w:p w14:paraId="096CFD9B" w14:textId="77777777" w:rsidR="00C46BF4" w:rsidRPr="00F53F59" w:rsidRDefault="00C46BF4">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39A76" w14:textId="77777777" w:rsidR="00C43871" w:rsidRDefault="00C43871">
      <w:r>
        <w:separator/>
      </w:r>
    </w:p>
  </w:footnote>
  <w:footnote w:type="continuationSeparator" w:id="0">
    <w:p w14:paraId="162187A8" w14:textId="77777777" w:rsidR="00C43871" w:rsidRDefault="00C43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CFD99" w14:textId="39551B57" w:rsidR="00C46BF4" w:rsidRDefault="00DB4A2B">
    <w:pPr>
      <w:pStyle w:val="Header"/>
      <w:tabs>
        <w:tab w:val="clear" w:pos="6480"/>
        <w:tab w:val="center" w:pos="4680"/>
        <w:tab w:val="right" w:pos="9360"/>
      </w:tabs>
      <w:rPr>
        <w:lang w:eastAsia="ja-JP"/>
      </w:rPr>
    </w:pPr>
    <w:r>
      <w:rPr>
        <w:lang w:eastAsia="ja-JP"/>
      </w:rPr>
      <w:t>March</w:t>
    </w:r>
    <w:r w:rsidR="00C46BF4">
      <w:rPr>
        <w:rFonts w:hint="eastAsia"/>
        <w:lang w:eastAsia="ja-JP"/>
      </w:rPr>
      <w:t xml:space="preserve"> 2013</w:t>
    </w:r>
    <w:r w:rsidR="00C46BF4">
      <w:tab/>
    </w:r>
    <w:r w:rsidR="00C46BF4">
      <w:tab/>
    </w:r>
    <w:r w:rsidR="00C46BF4">
      <w:rPr>
        <w:rFonts w:hint="eastAsia"/>
        <w:lang w:eastAsia="ja-JP"/>
      </w:rPr>
      <w:t>doc.: IEEE 802.19-13/00</w:t>
    </w:r>
    <w:r w:rsidR="007A1CE4">
      <w:rPr>
        <w:lang w:eastAsia="ja-JP"/>
      </w:rPr>
      <w:t>29</w:t>
    </w:r>
    <w:r w:rsidR="00C46BF4">
      <w:rPr>
        <w:rFonts w:hint="eastAsia"/>
        <w:lang w:eastAsia="ja-JP"/>
      </w:rPr>
      <w:t>r</w:t>
    </w:r>
    <w:r w:rsidR="00FC134B">
      <w:rPr>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4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B0C0D37"/>
    <w:multiLevelType w:val="hybridMultilevel"/>
    <w:tmpl w:val="43E04D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AB1252C"/>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F4A04EC"/>
    <w:multiLevelType w:val="hybridMultilevel"/>
    <w:tmpl w:val="7D5A7BF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91B33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30C09FF"/>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0A964BC"/>
    <w:multiLevelType w:val="multilevel"/>
    <w:tmpl w:val="DC404290"/>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81061BA"/>
    <w:multiLevelType w:val="hybridMultilevel"/>
    <w:tmpl w:val="FB4072B2"/>
    <w:lvl w:ilvl="0" w:tplc="0F9E726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4"/>
  </w:num>
  <w:num w:numId="2">
    <w:abstractNumId w:val="27"/>
  </w:num>
  <w:num w:numId="3">
    <w:abstractNumId w:val="1"/>
  </w:num>
  <w:num w:numId="4">
    <w:abstractNumId w:val="21"/>
  </w:num>
  <w:num w:numId="5">
    <w:abstractNumId w:val="6"/>
  </w:num>
  <w:num w:numId="6">
    <w:abstractNumId w:val="2"/>
  </w:num>
  <w:num w:numId="7">
    <w:abstractNumId w:val="22"/>
  </w:num>
  <w:num w:numId="8">
    <w:abstractNumId w:val="16"/>
  </w:num>
  <w:num w:numId="9">
    <w:abstractNumId w:val="13"/>
  </w:num>
  <w:num w:numId="10">
    <w:abstractNumId w:val="8"/>
  </w:num>
  <w:num w:numId="11">
    <w:abstractNumId w:val="10"/>
  </w:num>
  <w:num w:numId="12">
    <w:abstractNumId w:val="9"/>
  </w:num>
  <w:num w:numId="13">
    <w:abstractNumId w:val="18"/>
  </w:num>
  <w:num w:numId="14">
    <w:abstractNumId w:val="11"/>
  </w:num>
  <w:num w:numId="15">
    <w:abstractNumId w:val="20"/>
  </w:num>
  <w:num w:numId="16">
    <w:abstractNumId w:val="15"/>
  </w:num>
  <w:num w:numId="17">
    <w:abstractNumId w:val="5"/>
  </w:num>
  <w:num w:numId="18">
    <w:abstractNumId w:val="23"/>
  </w:num>
  <w:num w:numId="19">
    <w:abstractNumId w:val="26"/>
  </w:num>
  <w:num w:numId="20">
    <w:abstractNumId w:val="7"/>
  </w:num>
  <w:num w:numId="21">
    <w:abstractNumId w:val="24"/>
  </w:num>
  <w:num w:numId="22">
    <w:abstractNumId w:val="25"/>
  </w:num>
  <w:num w:numId="23">
    <w:abstractNumId w:val="17"/>
  </w:num>
  <w:num w:numId="24">
    <w:abstractNumId w:val="19"/>
  </w:num>
  <w:num w:numId="25">
    <w:abstractNumId w:val="12"/>
  </w:num>
  <w:num w:numId="26">
    <w:abstractNumId w:val="0"/>
  </w:num>
  <w:num w:numId="27">
    <w:abstractNumId w:val="14"/>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0838"/>
    <w:rsid w:val="00004654"/>
    <w:rsid w:val="000057A1"/>
    <w:rsid w:val="00007D9A"/>
    <w:rsid w:val="0001189D"/>
    <w:rsid w:val="00011E0E"/>
    <w:rsid w:val="000129A4"/>
    <w:rsid w:val="00013053"/>
    <w:rsid w:val="000139C3"/>
    <w:rsid w:val="00013BBF"/>
    <w:rsid w:val="0001408D"/>
    <w:rsid w:val="00015A3B"/>
    <w:rsid w:val="000167BE"/>
    <w:rsid w:val="00016E8E"/>
    <w:rsid w:val="0002271D"/>
    <w:rsid w:val="000234B5"/>
    <w:rsid w:val="00024BE3"/>
    <w:rsid w:val="000268B4"/>
    <w:rsid w:val="00026C81"/>
    <w:rsid w:val="000279D5"/>
    <w:rsid w:val="00030ED6"/>
    <w:rsid w:val="0003122E"/>
    <w:rsid w:val="00040421"/>
    <w:rsid w:val="00040451"/>
    <w:rsid w:val="00040BAF"/>
    <w:rsid w:val="000414E4"/>
    <w:rsid w:val="000418E1"/>
    <w:rsid w:val="00041C1F"/>
    <w:rsid w:val="00042057"/>
    <w:rsid w:val="000420C9"/>
    <w:rsid w:val="000458FE"/>
    <w:rsid w:val="00045DF0"/>
    <w:rsid w:val="00046019"/>
    <w:rsid w:val="000473EB"/>
    <w:rsid w:val="00047474"/>
    <w:rsid w:val="00047873"/>
    <w:rsid w:val="00047B57"/>
    <w:rsid w:val="00052FE4"/>
    <w:rsid w:val="0005443E"/>
    <w:rsid w:val="00056D51"/>
    <w:rsid w:val="00061E72"/>
    <w:rsid w:val="00063A76"/>
    <w:rsid w:val="000641B6"/>
    <w:rsid w:val="00064B84"/>
    <w:rsid w:val="0007095B"/>
    <w:rsid w:val="00071129"/>
    <w:rsid w:val="00071807"/>
    <w:rsid w:val="000719BB"/>
    <w:rsid w:val="00073AF4"/>
    <w:rsid w:val="00073DEB"/>
    <w:rsid w:val="00075963"/>
    <w:rsid w:val="00077125"/>
    <w:rsid w:val="000800D7"/>
    <w:rsid w:val="0008150F"/>
    <w:rsid w:val="00081724"/>
    <w:rsid w:val="00084D29"/>
    <w:rsid w:val="00085C82"/>
    <w:rsid w:val="00086F5A"/>
    <w:rsid w:val="00087955"/>
    <w:rsid w:val="00090215"/>
    <w:rsid w:val="00090E0E"/>
    <w:rsid w:val="00093E11"/>
    <w:rsid w:val="000944EE"/>
    <w:rsid w:val="000948DC"/>
    <w:rsid w:val="000959BA"/>
    <w:rsid w:val="000976E0"/>
    <w:rsid w:val="000A07CD"/>
    <w:rsid w:val="000A1F18"/>
    <w:rsid w:val="000A3118"/>
    <w:rsid w:val="000A4042"/>
    <w:rsid w:val="000A7579"/>
    <w:rsid w:val="000B00FE"/>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3D65"/>
    <w:rsid w:val="000D4302"/>
    <w:rsid w:val="000D4D42"/>
    <w:rsid w:val="000D5DF7"/>
    <w:rsid w:val="000E1556"/>
    <w:rsid w:val="000E1E7F"/>
    <w:rsid w:val="000E396D"/>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3B3"/>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516E"/>
    <w:rsid w:val="00167829"/>
    <w:rsid w:val="0017530A"/>
    <w:rsid w:val="00177935"/>
    <w:rsid w:val="00177B0E"/>
    <w:rsid w:val="0018068F"/>
    <w:rsid w:val="00180B43"/>
    <w:rsid w:val="00181942"/>
    <w:rsid w:val="00181C16"/>
    <w:rsid w:val="00182B96"/>
    <w:rsid w:val="001833DB"/>
    <w:rsid w:val="001845C7"/>
    <w:rsid w:val="00185AA4"/>
    <w:rsid w:val="00190C46"/>
    <w:rsid w:val="00190EDC"/>
    <w:rsid w:val="00192D80"/>
    <w:rsid w:val="001959E7"/>
    <w:rsid w:val="001960D7"/>
    <w:rsid w:val="00197073"/>
    <w:rsid w:val="001A0112"/>
    <w:rsid w:val="001A0AD0"/>
    <w:rsid w:val="001A16B2"/>
    <w:rsid w:val="001A1B4F"/>
    <w:rsid w:val="001A20B5"/>
    <w:rsid w:val="001A3B99"/>
    <w:rsid w:val="001A4F26"/>
    <w:rsid w:val="001A66A4"/>
    <w:rsid w:val="001A676C"/>
    <w:rsid w:val="001A7094"/>
    <w:rsid w:val="001B0476"/>
    <w:rsid w:val="001B1999"/>
    <w:rsid w:val="001B1B5A"/>
    <w:rsid w:val="001B3BF3"/>
    <w:rsid w:val="001B52BE"/>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2FA1"/>
    <w:rsid w:val="001E57E4"/>
    <w:rsid w:val="001E5CCF"/>
    <w:rsid w:val="001E68EA"/>
    <w:rsid w:val="001F083A"/>
    <w:rsid w:val="001F0965"/>
    <w:rsid w:val="001F0B6D"/>
    <w:rsid w:val="001F21B4"/>
    <w:rsid w:val="001F23C2"/>
    <w:rsid w:val="001F3F33"/>
    <w:rsid w:val="001F4217"/>
    <w:rsid w:val="001F4E27"/>
    <w:rsid w:val="001F60BA"/>
    <w:rsid w:val="001F6AB4"/>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E3C"/>
    <w:rsid w:val="002854EE"/>
    <w:rsid w:val="00285F44"/>
    <w:rsid w:val="002867F1"/>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1FDE"/>
    <w:rsid w:val="002E203E"/>
    <w:rsid w:val="002E4123"/>
    <w:rsid w:val="002E62C2"/>
    <w:rsid w:val="002E6556"/>
    <w:rsid w:val="002E748A"/>
    <w:rsid w:val="002E7F71"/>
    <w:rsid w:val="002F06E4"/>
    <w:rsid w:val="002F14FA"/>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009"/>
    <w:rsid w:val="0031385C"/>
    <w:rsid w:val="00313B6B"/>
    <w:rsid w:val="00313FE4"/>
    <w:rsid w:val="00314002"/>
    <w:rsid w:val="00315FE4"/>
    <w:rsid w:val="00317466"/>
    <w:rsid w:val="00317F2F"/>
    <w:rsid w:val="003212D9"/>
    <w:rsid w:val="00322346"/>
    <w:rsid w:val="0032374C"/>
    <w:rsid w:val="00324312"/>
    <w:rsid w:val="003248BB"/>
    <w:rsid w:val="00325448"/>
    <w:rsid w:val="0032642B"/>
    <w:rsid w:val="00327E61"/>
    <w:rsid w:val="00330F8E"/>
    <w:rsid w:val="0033177F"/>
    <w:rsid w:val="003333A6"/>
    <w:rsid w:val="0033365A"/>
    <w:rsid w:val="00333E08"/>
    <w:rsid w:val="00334709"/>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65F8D"/>
    <w:rsid w:val="00370EE7"/>
    <w:rsid w:val="00371CFE"/>
    <w:rsid w:val="003753C7"/>
    <w:rsid w:val="00376623"/>
    <w:rsid w:val="003767F4"/>
    <w:rsid w:val="00381B77"/>
    <w:rsid w:val="00382C85"/>
    <w:rsid w:val="00383EF4"/>
    <w:rsid w:val="003841A4"/>
    <w:rsid w:val="00386D8B"/>
    <w:rsid w:val="00390E9F"/>
    <w:rsid w:val="00391CB6"/>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5FD3"/>
    <w:rsid w:val="003C6C10"/>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15FD6"/>
    <w:rsid w:val="004216AA"/>
    <w:rsid w:val="004243CD"/>
    <w:rsid w:val="004259C9"/>
    <w:rsid w:val="00426641"/>
    <w:rsid w:val="0042740D"/>
    <w:rsid w:val="00427CF5"/>
    <w:rsid w:val="00430697"/>
    <w:rsid w:val="00431463"/>
    <w:rsid w:val="00432D0C"/>
    <w:rsid w:val="00432F74"/>
    <w:rsid w:val="00433621"/>
    <w:rsid w:val="004345B6"/>
    <w:rsid w:val="00436224"/>
    <w:rsid w:val="004367F9"/>
    <w:rsid w:val="004419E0"/>
    <w:rsid w:val="00442FC6"/>
    <w:rsid w:val="004431CA"/>
    <w:rsid w:val="0044326A"/>
    <w:rsid w:val="00443E29"/>
    <w:rsid w:val="00446F9A"/>
    <w:rsid w:val="004516C9"/>
    <w:rsid w:val="00454513"/>
    <w:rsid w:val="00454D87"/>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6736"/>
    <w:rsid w:val="004774AF"/>
    <w:rsid w:val="00477A7C"/>
    <w:rsid w:val="0048228C"/>
    <w:rsid w:val="00485498"/>
    <w:rsid w:val="00486CE6"/>
    <w:rsid w:val="0049018C"/>
    <w:rsid w:val="004903A3"/>
    <w:rsid w:val="00493D2B"/>
    <w:rsid w:val="004945D5"/>
    <w:rsid w:val="00496ECC"/>
    <w:rsid w:val="004A0C5D"/>
    <w:rsid w:val="004A163D"/>
    <w:rsid w:val="004A2A6C"/>
    <w:rsid w:val="004A3809"/>
    <w:rsid w:val="004A413A"/>
    <w:rsid w:val="004A4E42"/>
    <w:rsid w:val="004A55B0"/>
    <w:rsid w:val="004B0710"/>
    <w:rsid w:val="004B0BE0"/>
    <w:rsid w:val="004B0C31"/>
    <w:rsid w:val="004B3AD5"/>
    <w:rsid w:val="004B3F0E"/>
    <w:rsid w:val="004B54A0"/>
    <w:rsid w:val="004B7E97"/>
    <w:rsid w:val="004C2118"/>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18B7"/>
    <w:rsid w:val="005044EF"/>
    <w:rsid w:val="00504B14"/>
    <w:rsid w:val="00505C16"/>
    <w:rsid w:val="0050671E"/>
    <w:rsid w:val="00506F25"/>
    <w:rsid w:val="00511AD7"/>
    <w:rsid w:val="005126F2"/>
    <w:rsid w:val="00515B64"/>
    <w:rsid w:val="00515E5C"/>
    <w:rsid w:val="00522243"/>
    <w:rsid w:val="00522FA9"/>
    <w:rsid w:val="005234BF"/>
    <w:rsid w:val="00524456"/>
    <w:rsid w:val="00525BF2"/>
    <w:rsid w:val="00526B2A"/>
    <w:rsid w:val="0053041C"/>
    <w:rsid w:val="00530981"/>
    <w:rsid w:val="005319BC"/>
    <w:rsid w:val="005348AA"/>
    <w:rsid w:val="0053547A"/>
    <w:rsid w:val="00535BF4"/>
    <w:rsid w:val="00535F36"/>
    <w:rsid w:val="0053784D"/>
    <w:rsid w:val="0054345E"/>
    <w:rsid w:val="00543906"/>
    <w:rsid w:val="005445EC"/>
    <w:rsid w:val="00547016"/>
    <w:rsid w:val="00550857"/>
    <w:rsid w:val="005513BE"/>
    <w:rsid w:val="00552B63"/>
    <w:rsid w:val="00552E28"/>
    <w:rsid w:val="00553229"/>
    <w:rsid w:val="00556229"/>
    <w:rsid w:val="00556236"/>
    <w:rsid w:val="00556375"/>
    <w:rsid w:val="005568C1"/>
    <w:rsid w:val="005604BE"/>
    <w:rsid w:val="00562344"/>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6232"/>
    <w:rsid w:val="005D0CE8"/>
    <w:rsid w:val="005D3B76"/>
    <w:rsid w:val="005D536F"/>
    <w:rsid w:val="005D70F7"/>
    <w:rsid w:val="005D7FF0"/>
    <w:rsid w:val="005E3100"/>
    <w:rsid w:val="005E3C6C"/>
    <w:rsid w:val="005E42A7"/>
    <w:rsid w:val="005E5DEF"/>
    <w:rsid w:val="005F1550"/>
    <w:rsid w:val="005F1DB7"/>
    <w:rsid w:val="005F23E7"/>
    <w:rsid w:val="005F2598"/>
    <w:rsid w:val="005F318D"/>
    <w:rsid w:val="005F3720"/>
    <w:rsid w:val="005F505C"/>
    <w:rsid w:val="005F604A"/>
    <w:rsid w:val="005F79D9"/>
    <w:rsid w:val="00601826"/>
    <w:rsid w:val="00602776"/>
    <w:rsid w:val="0060347E"/>
    <w:rsid w:val="00603C16"/>
    <w:rsid w:val="006073DC"/>
    <w:rsid w:val="0060793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53D5B"/>
    <w:rsid w:val="00662144"/>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28E"/>
    <w:rsid w:val="00674D6F"/>
    <w:rsid w:val="00675C8E"/>
    <w:rsid w:val="00676949"/>
    <w:rsid w:val="00677537"/>
    <w:rsid w:val="006815CB"/>
    <w:rsid w:val="006844A6"/>
    <w:rsid w:val="006850CA"/>
    <w:rsid w:val="0068544C"/>
    <w:rsid w:val="00686FD8"/>
    <w:rsid w:val="006872C7"/>
    <w:rsid w:val="0068776A"/>
    <w:rsid w:val="00690813"/>
    <w:rsid w:val="006908EE"/>
    <w:rsid w:val="006928D4"/>
    <w:rsid w:val="006952BD"/>
    <w:rsid w:val="006A138A"/>
    <w:rsid w:val="006A248B"/>
    <w:rsid w:val="006A2B15"/>
    <w:rsid w:val="006A2C22"/>
    <w:rsid w:val="006A3F5A"/>
    <w:rsid w:val="006A453D"/>
    <w:rsid w:val="006A67EA"/>
    <w:rsid w:val="006A720A"/>
    <w:rsid w:val="006B0DC5"/>
    <w:rsid w:val="006C1A98"/>
    <w:rsid w:val="006C2019"/>
    <w:rsid w:val="006C3328"/>
    <w:rsid w:val="006C50E6"/>
    <w:rsid w:val="006C51F4"/>
    <w:rsid w:val="006C55F3"/>
    <w:rsid w:val="006C5EDE"/>
    <w:rsid w:val="006C714B"/>
    <w:rsid w:val="006C73EE"/>
    <w:rsid w:val="006D218D"/>
    <w:rsid w:val="006D250E"/>
    <w:rsid w:val="006D6E89"/>
    <w:rsid w:val="006E0BD1"/>
    <w:rsid w:val="006E0E85"/>
    <w:rsid w:val="006E323F"/>
    <w:rsid w:val="006E351D"/>
    <w:rsid w:val="006E3BDC"/>
    <w:rsid w:val="006E4319"/>
    <w:rsid w:val="006E59C8"/>
    <w:rsid w:val="006E656B"/>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39D1"/>
    <w:rsid w:val="00725060"/>
    <w:rsid w:val="007275FE"/>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69C"/>
    <w:rsid w:val="00790BD0"/>
    <w:rsid w:val="007912A5"/>
    <w:rsid w:val="00791835"/>
    <w:rsid w:val="007953D6"/>
    <w:rsid w:val="00797850"/>
    <w:rsid w:val="007979F7"/>
    <w:rsid w:val="00797C48"/>
    <w:rsid w:val="00797E08"/>
    <w:rsid w:val="00797E50"/>
    <w:rsid w:val="007A1704"/>
    <w:rsid w:val="007A1A47"/>
    <w:rsid w:val="007A1CE4"/>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1725D"/>
    <w:rsid w:val="008201CE"/>
    <w:rsid w:val="00820E3C"/>
    <w:rsid w:val="00821F36"/>
    <w:rsid w:val="008221E1"/>
    <w:rsid w:val="00822FF5"/>
    <w:rsid w:val="00823494"/>
    <w:rsid w:val="00823DBF"/>
    <w:rsid w:val="0082420C"/>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30AD"/>
    <w:rsid w:val="00883814"/>
    <w:rsid w:val="00883D7B"/>
    <w:rsid w:val="008872F3"/>
    <w:rsid w:val="0089044E"/>
    <w:rsid w:val="008906FE"/>
    <w:rsid w:val="00891F93"/>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2ABE"/>
    <w:rsid w:val="008D4676"/>
    <w:rsid w:val="008D4BE8"/>
    <w:rsid w:val="008D53B5"/>
    <w:rsid w:val="008D7948"/>
    <w:rsid w:val="008E1295"/>
    <w:rsid w:val="008E1A48"/>
    <w:rsid w:val="008E52C8"/>
    <w:rsid w:val="008E558F"/>
    <w:rsid w:val="008E5EFE"/>
    <w:rsid w:val="008E75CB"/>
    <w:rsid w:val="008F05A8"/>
    <w:rsid w:val="008F1BFA"/>
    <w:rsid w:val="008F3D10"/>
    <w:rsid w:val="008F6AF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6B8"/>
    <w:rsid w:val="009165B9"/>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461"/>
    <w:rsid w:val="00942A7A"/>
    <w:rsid w:val="00943D5C"/>
    <w:rsid w:val="00943DDF"/>
    <w:rsid w:val="00945F5E"/>
    <w:rsid w:val="00946BB4"/>
    <w:rsid w:val="00947CF6"/>
    <w:rsid w:val="009520DB"/>
    <w:rsid w:val="0095215A"/>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304C"/>
    <w:rsid w:val="009B4299"/>
    <w:rsid w:val="009B4A46"/>
    <w:rsid w:val="009B4B0F"/>
    <w:rsid w:val="009B597B"/>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0AF4"/>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909"/>
    <w:rsid w:val="00A14A86"/>
    <w:rsid w:val="00A1760E"/>
    <w:rsid w:val="00A20D0F"/>
    <w:rsid w:val="00A21BA6"/>
    <w:rsid w:val="00A23C30"/>
    <w:rsid w:val="00A242E3"/>
    <w:rsid w:val="00A256DF"/>
    <w:rsid w:val="00A3137E"/>
    <w:rsid w:val="00A35651"/>
    <w:rsid w:val="00A369F5"/>
    <w:rsid w:val="00A36B66"/>
    <w:rsid w:val="00A37503"/>
    <w:rsid w:val="00A375A8"/>
    <w:rsid w:val="00A40D06"/>
    <w:rsid w:val="00A412CF"/>
    <w:rsid w:val="00A41DAA"/>
    <w:rsid w:val="00A42DC6"/>
    <w:rsid w:val="00A438BE"/>
    <w:rsid w:val="00A43F69"/>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26D5"/>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5A56"/>
    <w:rsid w:val="00A96021"/>
    <w:rsid w:val="00A96098"/>
    <w:rsid w:val="00A979E3"/>
    <w:rsid w:val="00AA06BB"/>
    <w:rsid w:val="00AA14CA"/>
    <w:rsid w:val="00AA1C7E"/>
    <w:rsid w:val="00AA1E0A"/>
    <w:rsid w:val="00AA2011"/>
    <w:rsid w:val="00AA6B69"/>
    <w:rsid w:val="00AB0303"/>
    <w:rsid w:val="00AB0FDA"/>
    <w:rsid w:val="00AB64E9"/>
    <w:rsid w:val="00AB6F71"/>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679"/>
    <w:rsid w:val="00AF577B"/>
    <w:rsid w:val="00AF6A91"/>
    <w:rsid w:val="00AF70B3"/>
    <w:rsid w:val="00AF7D17"/>
    <w:rsid w:val="00B02EDC"/>
    <w:rsid w:val="00B02F20"/>
    <w:rsid w:val="00B030DF"/>
    <w:rsid w:val="00B042AA"/>
    <w:rsid w:val="00B04E89"/>
    <w:rsid w:val="00B0767E"/>
    <w:rsid w:val="00B07D94"/>
    <w:rsid w:val="00B1198B"/>
    <w:rsid w:val="00B11F38"/>
    <w:rsid w:val="00B129C7"/>
    <w:rsid w:val="00B13799"/>
    <w:rsid w:val="00B152AD"/>
    <w:rsid w:val="00B1576E"/>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37E62"/>
    <w:rsid w:val="00B401DA"/>
    <w:rsid w:val="00B40793"/>
    <w:rsid w:val="00B4291C"/>
    <w:rsid w:val="00B42C80"/>
    <w:rsid w:val="00B43665"/>
    <w:rsid w:val="00B44AD8"/>
    <w:rsid w:val="00B44E93"/>
    <w:rsid w:val="00B45F8A"/>
    <w:rsid w:val="00B4733F"/>
    <w:rsid w:val="00B514E0"/>
    <w:rsid w:val="00B52436"/>
    <w:rsid w:val="00B52F9E"/>
    <w:rsid w:val="00B550FD"/>
    <w:rsid w:val="00B551DF"/>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4698"/>
    <w:rsid w:val="00B85C31"/>
    <w:rsid w:val="00B860DF"/>
    <w:rsid w:val="00B862EA"/>
    <w:rsid w:val="00B87CC5"/>
    <w:rsid w:val="00B91FFB"/>
    <w:rsid w:val="00B96F60"/>
    <w:rsid w:val="00B97F5F"/>
    <w:rsid w:val="00BA285F"/>
    <w:rsid w:val="00BA39A1"/>
    <w:rsid w:val="00BA3D22"/>
    <w:rsid w:val="00BA6A31"/>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3DEA"/>
    <w:rsid w:val="00BD5E77"/>
    <w:rsid w:val="00BD6C71"/>
    <w:rsid w:val="00BD750E"/>
    <w:rsid w:val="00BE02E1"/>
    <w:rsid w:val="00BE0AE6"/>
    <w:rsid w:val="00BE55CF"/>
    <w:rsid w:val="00BE5D2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214E"/>
    <w:rsid w:val="00C02B2A"/>
    <w:rsid w:val="00C036C2"/>
    <w:rsid w:val="00C04535"/>
    <w:rsid w:val="00C0567D"/>
    <w:rsid w:val="00C05953"/>
    <w:rsid w:val="00C059C0"/>
    <w:rsid w:val="00C076B8"/>
    <w:rsid w:val="00C079CE"/>
    <w:rsid w:val="00C164E4"/>
    <w:rsid w:val="00C178F3"/>
    <w:rsid w:val="00C215BC"/>
    <w:rsid w:val="00C21DD2"/>
    <w:rsid w:val="00C22CF9"/>
    <w:rsid w:val="00C2391C"/>
    <w:rsid w:val="00C24688"/>
    <w:rsid w:val="00C24884"/>
    <w:rsid w:val="00C248B1"/>
    <w:rsid w:val="00C2520B"/>
    <w:rsid w:val="00C265AA"/>
    <w:rsid w:val="00C274CD"/>
    <w:rsid w:val="00C326F3"/>
    <w:rsid w:val="00C32EC9"/>
    <w:rsid w:val="00C32ECC"/>
    <w:rsid w:val="00C332C2"/>
    <w:rsid w:val="00C3382F"/>
    <w:rsid w:val="00C33850"/>
    <w:rsid w:val="00C33F60"/>
    <w:rsid w:val="00C3666C"/>
    <w:rsid w:val="00C37C35"/>
    <w:rsid w:val="00C413F8"/>
    <w:rsid w:val="00C42417"/>
    <w:rsid w:val="00C435CE"/>
    <w:rsid w:val="00C437D3"/>
    <w:rsid w:val="00C43871"/>
    <w:rsid w:val="00C456F3"/>
    <w:rsid w:val="00C46BF4"/>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431"/>
    <w:rsid w:val="00C80AC4"/>
    <w:rsid w:val="00C80CEE"/>
    <w:rsid w:val="00C82016"/>
    <w:rsid w:val="00C822FE"/>
    <w:rsid w:val="00C83ACC"/>
    <w:rsid w:val="00C85FD4"/>
    <w:rsid w:val="00C87222"/>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0B50"/>
    <w:rsid w:val="00CC15BB"/>
    <w:rsid w:val="00CC4AD7"/>
    <w:rsid w:val="00CC4DD7"/>
    <w:rsid w:val="00CC5518"/>
    <w:rsid w:val="00CC5948"/>
    <w:rsid w:val="00CD13B5"/>
    <w:rsid w:val="00CD2872"/>
    <w:rsid w:val="00CD4B25"/>
    <w:rsid w:val="00CD543B"/>
    <w:rsid w:val="00CD5AD2"/>
    <w:rsid w:val="00CD5B68"/>
    <w:rsid w:val="00CD603E"/>
    <w:rsid w:val="00CD7150"/>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53E0"/>
    <w:rsid w:val="00CF631B"/>
    <w:rsid w:val="00CF69FE"/>
    <w:rsid w:val="00D00E09"/>
    <w:rsid w:val="00D013E3"/>
    <w:rsid w:val="00D014DA"/>
    <w:rsid w:val="00D02593"/>
    <w:rsid w:val="00D05A91"/>
    <w:rsid w:val="00D05D8E"/>
    <w:rsid w:val="00D06EAF"/>
    <w:rsid w:val="00D07F0A"/>
    <w:rsid w:val="00D10AB3"/>
    <w:rsid w:val="00D1251F"/>
    <w:rsid w:val="00D16A25"/>
    <w:rsid w:val="00D20DC0"/>
    <w:rsid w:val="00D21A19"/>
    <w:rsid w:val="00D21AB3"/>
    <w:rsid w:val="00D24BCB"/>
    <w:rsid w:val="00D261C6"/>
    <w:rsid w:val="00D3169E"/>
    <w:rsid w:val="00D3274C"/>
    <w:rsid w:val="00D32904"/>
    <w:rsid w:val="00D33560"/>
    <w:rsid w:val="00D35D83"/>
    <w:rsid w:val="00D36701"/>
    <w:rsid w:val="00D4367F"/>
    <w:rsid w:val="00D476E7"/>
    <w:rsid w:val="00D50B00"/>
    <w:rsid w:val="00D50C82"/>
    <w:rsid w:val="00D53CA3"/>
    <w:rsid w:val="00D553AA"/>
    <w:rsid w:val="00D55E35"/>
    <w:rsid w:val="00D572CB"/>
    <w:rsid w:val="00D577C4"/>
    <w:rsid w:val="00D642D5"/>
    <w:rsid w:val="00D64525"/>
    <w:rsid w:val="00D71947"/>
    <w:rsid w:val="00D71FFD"/>
    <w:rsid w:val="00D72BFD"/>
    <w:rsid w:val="00D752C8"/>
    <w:rsid w:val="00D7704F"/>
    <w:rsid w:val="00D811CD"/>
    <w:rsid w:val="00D81453"/>
    <w:rsid w:val="00D82D08"/>
    <w:rsid w:val="00D86D95"/>
    <w:rsid w:val="00D91D92"/>
    <w:rsid w:val="00D921FF"/>
    <w:rsid w:val="00D937B5"/>
    <w:rsid w:val="00D9652D"/>
    <w:rsid w:val="00D96F47"/>
    <w:rsid w:val="00DA0558"/>
    <w:rsid w:val="00DA0A46"/>
    <w:rsid w:val="00DA3D51"/>
    <w:rsid w:val="00DA6E65"/>
    <w:rsid w:val="00DA77AE"/>
    <w:rsid w:val="00DA7D29"/>
    <w:rsid w:val="00DB1415"/>
    <w:rsid w:val="00DB1550"/>
    <w:rsid w:val="00DB338E"/>
    <w:rsid w:val="00DB466A"/>
    <w:rsid w:val="00DB4A2B"/>
    <w:rsid w:val="00DB5292"/>
    <w:rsid w:val="00DC022B"/>
    <w:rsid w:val="00DC117E"/>
    <w:rsid w:val="00DC154B"/>
    <w:rsid w:val="00DC2DC7"/>
    <w:rsid w:val="00DD088A"/>
    <w:rsid w:val="00DD0AB3"/>
    <w:rsid w:val="00DD36F6"/>
    <w:rsid w:val="00DD7FD3"/>
    <w:rsid w:val="00DE0443"/>
    <w:rsid w:val="00DE15C2"/>
    <w:rsid w:val="00DE18BB"/>
    <w:rsid w:val="00DE3692"/>
    <w:rsid w:val="00DF0D81"/>
    <w:rsid w:val="00DF15B9"/>
    <w:rsid w:val="00DF2732"/>
    <w:rsid w:val="00DF5409"/>
    <w:rsid w:val="00DF70CE"/>
    <w:rsid w:val="00E02165"/>
    <w:rsid w:val="00E02C7A"/>
    <w:rsid w:val="00E03621"/>
    <w:rsid w:val="00E038E4"/>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0BB8"/>
    <w:rsid w:val="00E7122F"/>
    <w:rsid w:val="00E712E9"/>
    <w:rsid w:val="00E71E2A"/>
    <w:rsid w:val="00E731E6"/>
    <w:rsid w:val="00E73818"/>
    <w:rsid w:val="00E80133"/>
    <w:rsid w:val="00E80424"/>
    <w:rsid w:val="00E8167B"/>
    <w:rsid w:val="00E8245B"/>
    <w:rsid w:val="00E82B99"/>
    <w:rsid w:val="00E83DB7"/>
    <w:rsid w:val="00E83F86"/>
    <w:rsid w:val="00E853AA"/>
    <w:rsid w:val="00E86111"/>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1C5"/>
    <w:rsid w:val="00EB0243"/>
    <w:rsid w:val="00EB0C39"/>
    <w:rsid w:val="00EB33BA"/>
    <w:rsid w:val="00EB3A72"/>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60A0"/>
    <w:rsid w:val="00EE5889"/>
    <w:rsid w:val="00EE5C13"/>
    <w:rsid w:val="00EE60BC"/>
    <w:rsid w:val="00EE7948"/>
    <w:rsid w:val="00EF44C8"/>
    <w:rsid w:val="00EF5BFA"/>
    <w:rsid w:val="00EF7565"/>
    <w:rsid w:val="00EF7B47"/>
    <w:rsid w:val="00F01E8C"/>
    <w:rsid w:val="00F023FC"/>
    <w:rsid w:val="00F02685"/>
    <w:rsid w:val="00F02B14"/>
    <w:rsid w:val="00F03010"/>
    <w:rsid w:val="00F03B90"/>
    <w:rsid w:val="00F042B6"/>
    <w:rsid w:val="00F04C61"/>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62E4"/>
    <w:rsid w:val="00F3720D"/>
    <w:rsid w:val="00F40630"/>
    <w:rsid w:val="00F4067F"/>
    <w:rsid w:val="00F40D8E"/>
    <w:rsid w:val="00F40F97"/>
    <w:rsid w:val="00F4189F"/>
    <w:rsid w:val="00F42189"/>
    <w:rsid w:val="00F45354"/>
    <w:rsid w:val="00F45EC8"/>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678CB"/>
    <w:rsid w:val="00F7316D"/>
    <w:rsid w:val="00F7424D"/>
    <w:rsid w:val="00F74BC2"/>
    <w:rsid w:val="00F77925"/>
    <w:rsid w:val="00F77ACB"/>
    <w:rsid w:val="00F8131B"/>
    <w:rsid w:val="00F814D5"/>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3F0"/>
    <w:rsid w:val="00FB6BBA"/>
    <w:rsid w:val="00FB75DD"/>
    <w:rsid w:val="00FB7AC7"/>
    <w:rsid w:val="00FC134B"/>
    <w:rsid w:val="00FC3CAF"/>
    <w:rsid w:val="00FC4331"/>
    <w:rsid w:val="00FC55AF"/>
    <w:rsid w:val="00FC607B"/>
    <w:rsid w:val="00FC728E"/>
    <w:rsid w:val="00FC7C65"/>
    <w:rsid w:val="00FD176C"/>
    <w:rsid w:val="00FD2582"/>
    <w:rsid w:val="00FD5244"/>
    <w:rsid w:val="00FD698D"/>
    <w:rsid w:val="00FD6B34"/>
    <w:rsid w:val="00FE265B"/>
    <w:rsid w:val="00FE2D48"/>
    <w:rsid w:val="00FE3C5D"/>
    <w:rsid w:val="00FE6785"/>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6C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986D-BFE2-4806-95F1-EBEECA9C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7</TotalTime>
  <Pages>6</Pages>
  <Words>622</Words>
  <Characters>3552</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802.19-13/0029r0</vt:lpstr>
      <vt:lpstr>doc.: IEEE 802.19-10/0156r0</vt:lpstr>
    </vt:vector>
  </TitlesOfParts>
  <Company>Some Company</Company>
  <LinksUpToDate>false</LinksUpToDate>
  <CharactersWithSpaces>4166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802.19-13/0029r0</dc:title>
  <dc:subject>Submission</dc:subject>
  <dc:creator>Mika Kasslin</dc:creator>
  <cp:keywords>March 2013</cp:keywords>
  <cp:lastModifiedBy>Mika Kasslin</cp:lastModifiedBy>
  <cp:revision>4</cp:revision>
  <cp:lastPrinted>2013-03-08T11:54:00Z</cp:lastPrinted>
  <dcterms:created xsi:type="dcterms:W3CDTF">2013-03-21T09:09:00Z</dcterms:created>
  <dcterms:modified xsi:type="dcterms:W3CDTF">2013-03-21T09:16:00Z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18268ff3-393a-4ccb-bdd5-d565564fd735</vt:lpwstr>
  </property>
  <property fmtid="{D5CDD505-2E9C-101B-9397-08002B2CF9AE}" pid="3" name="NokiaConfidentiality">
    <vt:lpwstr>Public</vt:lpwstr>
  </property>
</Properties>
</file>