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E231A2" w:rsidP="00D752C8">
            <w:pPr>
              <w:pStyle w:val="T2"/>
            </w:pPr>
            <w:r>
              <w:t>TVBD Neighbor Discovery Algorithm Examples</w:t>
            </w:r>
          </w:p>
        </w:tc>
      </w:tr>
      <w:tr w:rsidR="00B129C7" w:rsidRPr="005A301C" w:rsidTr="00203476">
        <w:trPr>
          <w:trHeight w:val="359"/>
          <w:jc w:val="center"/>
        </w:trPr>
        <w:tc>
          <w:tcPr>
            <w:tcW w:w="9900" w:type="dxa"/>
            <w:gridSpan w:val="5"/>
            <w:vAlign w:val="center"/>
          </w:tcPr>
          <w:p w:rsidR="00B129C7" w:rsidRPr="005A301C" w:rsidRDefault="00B129C7" w:rsidP="00E231A2">
            <w:pPr>
              <w:pStyle w:val="T2"/>
              <w:ind w:left="0"/>
              <w:rPr>
                <w:sz w:val="20"/>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D752C8">
              <w:rPr>
                <w:b w:val="0"/>
                <w:sz w:val="20"/>
              </w:rPr>
              <w:t>0</w:t>
            </w:r>
            <w:r w:rsidR="00E231A2">
              <w:rPr>
                <w:b w:val="0"/>
                <w:sz w:val="20"/>
              </w:rPr>
              <w:t>5</w:t>
            </w:r>
            <w:r w:rsidRPr="005A301C">
              <w:rPr>
                <w:b w:val="0"/>
                <w:sz w:val="20"/>
              </w:rPr>
              <w:t>-</w:t>
            </w:r>
            <w:r w:rsidR="00D752C8">
              <w:rPr>
                <w:b w:val="0"/>
                <w:sz w:val="20"/>
              </w:rPr>
              <w:t>1</w:t>
            </w:r>
            <w:r w:rsidR="00E231A2">
              <w:rPr>
                <w:b w:val="0"/>
                <w:sz w:val="20"/>
              </w:rPr>
              <w:t>1</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203476">
            <w:pPr>
              <w:pStyle w:val="T2"/>
              <w:spacing w:after="0"/>
              <w:ind w:left="0" w:right="0"/>
              <w:rPr>
                <w:b w:val="0"/>
                <w:sz w:val="20"/>
              </w:rPr>
            </w:pPr>
            <w:r w:rsidRPr="005A301C">
              <w:rPr>
                <w:b w:val="0"/>
                <w:sz w:val="20"/>
              </w:rPr>
              <w:t>Jari Junell</w:t>
            </w:r>
          </w:p>
        </w:tc>
        <w:tc>
          <w:tcPr>
            <w:tcW w:w="1533" w:type="dxa"/>
            <w:vAlign w:val="center"/>
          </w:tcPr>
          <w:p w:rsidR="00B129C7" w:rsidRPr="005A301C" w:rsidRDefault="00203476">
            <w:pPr>
              <w:pStyle w:val="T2"/>
              <w:spacing w:after="0"/>
              <w:ind w:left="0" w:right="0"/>
              <w:rPr>
                <w:b w:val="0"/>
                <w:sz w:val="20"/>
              </w:rPr>
            </w:pPr>
            <w:r w:rsidRPr="005A301C">
              <w:rPr>
                <w:b w:val="0"/>
                <w:sz w:val="20"/>
              </w:rPr>
              <w:t>Nokia Research Center</w:t>
            </w:r>
          </w:p>
        </w:tc>
        <w:tc>
          <w:tcPr>
            <w:tcW w:w="2835" w:type="dxa"/>
            <w:vAlign w:val="center"/>
          </w:tcPr>
          <w:p w:rsidR="00B129C7" w:rsidRPr="005A301C" w:rsidRDefault="00203476">
            <w:pPr>
              <w:pStyle w:val="T2"/>
              <w:spacing w:after="0"/>
              <w:ind w:left="0" w:right="0"/>
              <w:rPr>
                <w:b w:val="0"/>
                <w:sz w:val="20"/>
              </w:rPr>
            </w:pPr>
            <w:r w:rsidRPr="005A301C">
              <w:rPr>
                <w:b w:val="0"/>
                <w:sz w:val="20"/>
              </w:rPr>
              <w:t>Itämerenkatu 11-13, 00180 Helsinki, Finland</w:t>
            </w:r>
          </w:p>
        </w:tc>
        <w:tc>
          <w:tcPr>
            <w:tcW w:w="1843" w:type="dxa"/>
            <w:vAlign w:val="center"/>
          </w:tcPr>
          <w:p w:rsidR="00B129C7" w:rsidRPr="005A301C" w:rsidRDefault="00203476">
            <w:pPr>
              <w:pStyle w:val="T2"/>
              <w:spacing w:after="0"/>
              <w:ind w:left="0" w:right="0"/>
              <w:rPr>
                <w:b w:val="0"/>
                <w:sz w:val="20"/>
              </w:rPr>
            </w:pPr>
            <w:r w:rsidRPr="005A301C">
              <w:rPr>
                <w:b w:val="0"/>
                <w:sz w:val="20"/>
              </w:rPr>
              <w:t>+358-718036575</w:t>
            </w:r>
          </w:p>
        </w:tc>
        <w:tc>
          <w:tcPr>
            <w:tcW w:w="2117" w:type="dxa"/>
            <w:vAlign w:val="center"/>
          </w:tcPr>
          <w:p w:rsidR="00B129C7" w:rsidRPr="005A301C" w:rsidRDefault="00203476">
            <w:pPr>
              <w:pStyle w:val="T2"/>
              <w:spacing w:after="0"/>
              <w:ind w:left="0" w:right="0"/>
              <w:rPr>
                <w:b w:val="0"/>
                <w:sz w:val="16"/>
              </w:rPr>
            </w:pPr>
            <w:r w:rsidRPr="005A301C">
              <w:rPr>
                <w:b w:val="0"/>
                <w:sz w:val="16"/>
              </w:rPr>
              <w:t>jari.junell@nokia.com</w:t>
            </w:r>
          </w:p>
        </w:tc>
      </w:tr>
      <w:tr w:rsidR="00203476" w:rsidRPr="005A301C" w:rsidTr="009C015E">
        <w:trPr>
          <w:jc w:val="center"/>
        </w:trPr>
        <w:tc>
          <w:tcPr>
            <w:tcW w:w="1572" w:type="dxa"/>
            <w:vAlign w:val="center"/>
          </w:tcPr>
          <w:p w:rsidR="00203476" w:rsidRPr="005A301C" w:rsidRDefault="00203476">
            <w:pPr>
              <w:pStyle w:val="T2"/>
              <w:spacing w:after="0"/>
              <w:ind w:left="0" w:right="0"/>
              <w:rPr>
                <w:b w:val="0"/>
                <w:sz w:val="20"/>
              </w:rPr>
            </w:pPr>
            <w:r w:rsidRPr="005A301C">
              <w:rPr>
                <w:b w:val="0"/>
                <w:sz w:val="20"/>
              </w:rPr>
              <w:t>Mika Kasslin</w:t>
            </w:r>
          </w:p>
        </w:tc>
        <w:tc>
          <w:tcPr>
            <w:tcW w:w="1533" w:type="dxa"/>
            <w:vAlign w:val="center"/>
          </w:tcPr>
          <w:p w:rsidR="00203476" w:rsidRPr="005A301C" w:rsidRDefault="00203476">
            <w:pPr>
              <w:pStyle w:val="T2"/>
              <w:spacing w:after="0"/>
              <w:ind w:left="0" w:right="0"/>
              <w:rPr>
                <w:b w:val="0"/>
                <w:sz w:val="20"/>
              </w:rPr>
            </w:pPr>
            <w:r w:rsidRPr="005A301C">
              <w:rPr>
                <w:b w:val="0"/>
                <w:sz w:val="20"/>
              </w:rPr>
              <w:t>Nokia Research Center</w:t>
            </w:r>
          </w:p>
        </w:tc>
        <w:tc>
          <w:tcPr>
            <w:tcW w:w="2835" w:type="dxa"/>
            <w:vAlign w:val="center"/>
          </w:tcPr>
          <w:p w:rsidR="00203476" w:rsidRPr="005A301C" w:rsidRDefault="00203476" w:rsidP="00667992">
            <w:pPr>
              <w:pStyle w:val="T2"/>
              <w:spacing w:after="0"/>
              <w:ind w:left="0" w:right="0"/>
              <w:rPr>
                <w:b w:val="0"/>
                <w:sz w:val="20"/>
              </w:rPr>
            </w:pPr>
            <w:r w:rsidRPr="005A301C">
              <w:rPr>
                <w:b w:val="0"/>
                <w:sz w:val="20"/>
              </w:rPr>
              <w:t>Itämerenkatu 11-13, 00180 Helsinki, Finland</w:t>
            </w:r>
          </w:p>
        </w:tc>
        <w:tc>
          <w:tcPr>
            <w:tcW w:w="1843" w:type="dxa"/>
            <w:vAlign w:val="center"/>
          </w:tcPr>
          <w:p w:rsidR="00203476" w:rsidRPr="005A301C" w:rsidRDefault="00203476">
            <w:pPr>
              <w:pStyle w:val="T2"/>
              <w:spacing w:after="0"/>
              <w:ind w:left="0" w:right="0"/>
              <w:rPr>
                <w:b w:val="0"/>
                <w:sz w:val="20"/>
              </w:rPr>
            </w:pPr>
            <w:r w:rsidRPr="005A301C">
              <w:rPr>
                <w:b w:val="0"/>
                <w:sz w:val="20"/>
              </w:rPr>
              <w:t>+358-718036294</w:t>
            </w:r>
          </w:p>
        </w:tc>
        <w:tc>
          <w:tcPr>
            <w:tcW w:w="2117" w:type="dxa"/>
            <w:vAlign w:val="center"/>
          </w:tcPr>
          <w:p w:rsidR="00203476" w:rsidRPr="005A301C" w:rsidRDefault="00203476">
            <w:pPr>
              <w:pStyle w:val="T2"/>
              <w:spacing w:after="0"/>
              <w:ind w:left="0" w:right="0"/>
              <w:rPr>
                <w:b w:val="0"/>
                <w:sz w:val="16"/>
              </w:rPr>
            </w:pPr>
            <w:r w:rsidRPr="005A301C">
              <w:rPr>
                <w:b w:val="0"/>
                <w:sz w:val="16"/>
              </w:rPr>
              <w:t>mika.kasslin@nokia.com</w:t>
            </w:r>
          </w:p>
        </w:tc>
      </w:tr>
    </w:tbl>
    <w:p w:rsidR="00B129C7" w:rsidRPr="005A301C" w:rsidRDefault="00BB1EE6">
      <w:pPr>
        <w:pStyle w:val="T1"/>
        <w:spacing w:after="120"/>
        <w:rPr>
          <w:sz w:val="22"/>
        </w:rPr>
      </w:pPr>
      <w:r>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0B39E7" w:rsidRDefault="000B39E7">
                  <w:pPr>
                    <w:pStyle w:val="T1"/>
                    <w:spacing w:after="120"/>
                  </w:pPr>
                  <w:r>
                    <w:t>Abstract</w:t>
                  </w:r>
                </w:p>
                <w:p w:rsidR="000B39E7" w:rsidRDefault="00305771">
                  <w:pPr>
                    <w:jc w:val="both"/>
                  </w:pPr>
                  <w:r>
                    <w:t xml:space="preserve">This document is a submission to IEEE 802.19 TG1 about </w:t>
                  </w:r>
                  <w:r w:rsidR="000268B4">
                    <w:t xml:space="preserve">TVBD neighbor discovery. </w:t>
                  </w:r>
                  <w:r w:rsidR="00306EA1">
                    <w:t xml:space="preserve">We hope to have this topic to be in the agenda of TG1 now on until we have in the TG1 agreement on the procedures. </w:t>
                  </w:r>
                </w:p>
              </w:txbxContent>
            </v:textbox>
          </v:shape>
        </w:pict>
      </w:r>
    </w:p>
    <w:p w:rsidR="00FF57B4" w:rsidRDefault="00BB1EE6" w:rsidP="00FF57B4">
      <w:pPr>
        <w:pStyle w:val="Heading1"/>
      </w:pPr>
      <w:r>
        <w:pict>
          <v:shape id="_x0000_s1059" type="#_x0000_t202" style="position:absolute;margin-left:-4.95pt;margin-top:447.5pt;width:477pt;height:45.05pt;z-index:251657728" o:allowincell="f">
            <v:textbox style="mso-next-textbox:#_x0000_s1059">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w:r>
      <w:r w:rsidR="00B129C7" w:rsidRPr="005A301C">
        <w:br w:type="page"/>
      </w:r>
    </w:p>
    <w:p w:rsidR="00E231A2" w:rsidRDefault="00E231A2" w:rsidP="00305771">
      <w:pPr>
        <w:pStyle w:val="Heading1"/>
      </w:pPr>
      <w:r>
        <w:lastRenderedPageBreak/>
        <w:t>Introduction</w:t>
      </w:r>
    </w:p>
    <w:p w:rsidR="007B1AB2" w:rsidRDefault="007B1AB2" w:rsidP="00E231A2">
      <w:pPr>
        <w:pStyle w:val="IEEEStdsParagraph"/>
      </w:pPr>
    </w:p>
    <w:p w:rsidR="007B1AB2" w:rsidRDefault="007B1AB2" w:rsidP="00E231A2">
      <w:pPr>
        <w:pStyle w:val="IEEEStdsParagraph"/>
      </w:pPr>
      <w:r>
        <w:t>This document deals with some principles of neighborhood in TVWS and discusses a potential way to determine which TVBDs are neighbors of a TVBD</w:t>
      </w:r>
      <w:r w:rsidR="00E50D0A">
        <w:t xml:space="preserve">. Now on in this document the process of determining neighboring TVBDs of a TVBD is called </w:t>
      </w:r>
      <w:r w:rsidR="009262E4">
        <w:t>TVBD neighbor discovery</w:t>
      </w:r>
      <w:r>
        <w:t xml:space="preserve">. </w:t>
      </w:r>
      <w:r w:rsidR="009262E4">
        <w:t>Previously t</w:t>
      </w:r>
      <w:r w:rsidR="00E231A2">
        <w:t>his topic has been dis</w:t>
      </w:r>
      <w:r w:rsidR="007979F7">
        <w:t>cussed in document IEEE 802.19-1</w:t>
      </w:r>
      <w:r w:rsidR="00E231A2">
        <w:t>1/0005r1 by Ameri</w:t>
      </w:r>
      <w:r w:rsidR="00305771">
        <w:t>S</w:t>
      </w:r>
      <w:r w:rsidR="00E231A2">
        <w:t xml:space="preserve">ys and InterDigital. </w:t>
      </w:r>
    </w:p>
    <w:p w:rsidR="00E80133" w:rsidRDefault="007D72DD" w:rsidP="00E231A2">
      <w:pPr>
        <w:pStyle w:val="IEEEStdsParagraph"/>
      </w:pPr>
      <w:r>
        <w:t xml:space="preserve">First we need to define what we mean with neighbors in this context. </w:t>
      </w:r>
      <w:r w:rsidR="006218A9">
        <w:t xml:space="preserve">Two TVBDs are neighbors if they both can interfere with each other or even if only one can interfere the other. </w:t>
      </w:r>
      <w:r w:rsidR="009077B2">
        <w:t>We don’t, however, always know locations of TVBDs but only the Mode II and Fixed device locations are known; Mode I device locations are not known</w:t>
      </w:r>
      <w:r w:rsidR="00866B39">
        <w:t>. Similarly we can’t expect many Mode I devices to use the coexistence system services but for the IEEE 802.19.1 coexistence system the TVBDs that are using the services of the coexistence system via CEs are Mode II or Fixed devices</w:t>
      </w:r>
      <w:r w:rsidR="009077B2">
        <w:t xml:space="preserve">. </w:t>
      </w:r>
      <w:r w:rsidR="006314DC">
        <w:t xml:space="preserve">But we need to have means to take into account in neighbor calculations also the Mode I </w:t>
      </w:r>
      <w:r w:rsidR="00473B32">
        <w:t>TVBDs</w:t>
      </w:r>
      <w:r w:rsidR="006314DC">
        <w:t xml:space="preserve"> even if they are not connected to the coexistence system and their location is not necessarily known. </w:t>
      </w:r>
    </w:p>
    <w:p w:rsidR="007979F7" w:rsidRDefault="00287378" w:rsidP="00E231A2">
      <w:pPr>
        <w:pStyle w:val="IEEEStdsParagraph"/>
      </w:pPr>
      <w:r>
        <w:t xml:space="preserve">In the case the TVBD that uses the coexistence system services serves Mode I TVBDs the system design needs to be such that it estimates locations of </w:t>
      </w:r>
      <w:r w:rsidR="00BA6A31">
        <w:t xml:space="preserve">those Mode I TVBDs and especially those locations in which they would cause most interference to other TVBDs. </w:t>
      </w:r>
      <w:r w:rsidR="000268B4">
        <w:t xml:space="preserve">For those registered TVBDs that serve only other registered TVBDs for which the location is known in the coexistence system there is no need to estimate TVBD location and potential related interference. </w:t>
      </w:r>
    </w:p>
    <w:p w:rsidR="00047B57" w:rsidRPr="00C05510" w:rsidRDefault="007D411F" w:rsidP="00E231A2">
      <w:pPr>
        <w:pStyle w:val="IEEEStdsParagraph"/>
      </w:pPr>
      <w:r>
        <w:t xml:space="preserve">In this document we assume that the TVBD neighbor discovery is performed by a coexistence discovery and information server (CDIS). It may, however, happen in any other entity as well as long as the performing entity has all the required information. </w:t>
      </w:r>
    </w:p>
    <w:p w:rsidR="00E231A2" w:rsidRPr="003A4D68" w:rsidRDefault="00E231A2" w:rsidP="00305771">
      <w:pPr>
        <w:pStyle w:val="Heading1"/>
      </w:pPr>
      <w:r>
        <w:t>Input pa</w:t>
      </w:r>
      <w:r w:rsidR="008D1D47">
        <w:t>rameters from</w:t>
      </w:r>
      <w:r w:rsidR="00E80133">
        <w:t xml:space="preserve"> a TVBD via a</w:t>
      </w:r>
      <w:r w:rsidR="008D1D47">
        <w:t xml:space="preserve"> CE to </w:t>
      </w:r>
      <w:r w:rsidR="00473B32">
        <w:t xml:space="preserve">the </w:t>
      </w:r>
      <w:r w:rsidR="00E50D0A">
        <w:t xml:space="preserve">TVBD </w:t>
      </w:r>
      <w:r w:rsidR="008D1D47">
        <w:t>neighbor</w:t>
      </w:r>
      <w:r>
        <w:t xml:space="preserve"> discovery</w:t>
      </w:r>
    </w:p>
    <w:p w:rsidR="007B1AB2" w:rsidRDefault="007B1AB2" w:rsidP="00E231A2">
      <w:pPr>
        <w:pStyle w:val="IEEEStdsParagraph"/>
      </w:pPr>
    </w:p>
    <w:p w:rsidR="00E231A2" w:rsidRDefault="00E80133" w:rsidP="00E231A2">
      <w:pPr>
        <w:pStyle w:val="IEEEStdsParagraph"/>
      </w:pPr>
      <w:r>
        <w:t>F</w:t>
      </w:r>
      <w:r w:rsidR="00E231A2">
        <w:t xml:space="preserve">ollowing information </w:t>
      </w:r>
      <w:r>
        <w:t>needs to be considered as input for neighbor discovery calculations</w:t>
      </w:r>
      <w:r w:rsidR="00E231A2">
        <w:t>:</w:t>
      </w:r>
    </w:p>
    <w:p w:rsidR="00E231A2" w:rsidRDefault="001A16B2" w:rsidP="00E231A2">
      <w:pPr>
        <w:pStyle w:val="IEEEStdsParagraph"/>
        <w:numPr>
          <w:ilvl w:val="0"/>
          <w:numId w:val="31"/>
        </w:numPr>
      </w:pPr>
      <w:r>
        <w:t>Geo-l</w:t>
      </w:r>
      <w:r w:rsidR="00E231A2">
        <w:t xml:space="preserve">ocation of </w:t>
      </w:r>
      <w:r>
        <w:t>the M</w:t>
      </w:r>
      <w:r w:rsidR="00E231A2">
        <w:t xml:space="preserve">ode II or </w:t>
      </w:r>
      <w:r>
        <w:t>F</w:t>
      </w:r>
      <w:r w:rsidR="00E231A2">
        <w:t>ixed device</w:t>
      </w:r>
    </w:p>
    <w:p w:rsidR="001A16B2" w:rsidRDefault="001A16B2" w:rsidP="001A16B2">
      <w:pPr>
        <w:pStyle w:val="IEEEStdsParagraph"/>
        <w:numPr>
          <w:ilvl w:val="0"/>
          <w:numId w:val="31"/>
        </w:numPr>
      </w:pPr>
      <w:r>
        <w:t>Location related parameters (optional)</w:t>
      </w:r>
    </w:p>
    <w:p w:rsidR="001A16B2" w:rsidRDefault="001A16B2" w:rsidP="001A16B2">
      <w:pPr>
        <w:pStyle w:val="IEEEStdsParagraph"/>
        <w:numPr>
          <w:ilvl w:val="1"/>
          <w:numId w:val="31"/>
        </w:numPr>
      </w:pPr>
      <w:r>
        <w:t>HAAT (h</w:t>
      </w:r>
      <w:r w:rsidRPr="003123BD">
        <w:rPr>
          <w:vertAlign w:val="subscript"/>
        </w:rPr>
        <w:t>T</w:t>
      </w:r>
      <w:r>
        <w:t xml:space="preserve"> and h</w:t>
      </w:r>
      <w:r w:rsidRPr="003123BD">
        <w:rPr>
          <w:vertAlign w:val="subscript"/>
        </w:rPr>
        <w:t>R</w:t>
      </w:r>
      <w:r>
        <w:t>)</w:t>
      </w:r>
    </w:p>
    <w:p w:rsidR="001A16B2" w:rsidRDefault="001A16B2" w:rsidP="001A16B2">
      <w:pPr>
        <w:pStyle w:val="IEEEStdsParagraph"/>
        <w:numPr>
          <w:ilvl w:val="1"/>
          <w:numId w:val="31"/>
        </w:numPr>
      </w:pPr>
      <w:r>
        <w:t>Environment type: Indoor/outdoor, urban/suburban/rural, (office, home, mall, floor number …)</w:t>
      </w:r>
    </w:p>
    <w:p w:rsidR="00E231A2" w:rsidRDefault="00E231A2" w:rsidP="00E231A2">
      <w:pPr>
        <w:pStyle w:val="IEEEStdsParagraph"/>
        <w:numPr>
          <w:ilvl w:val="0"/>
          <w:numId w:val="31"/>
        </w:numPr>
      </w:pPr>
      <w:r>
        <w:t>Supported frequencies</w:t>
      </w:r>
    </w:p>
    <w:p w:rsidR="00E231A2" w:rsidRDefault="00E231A2" w:rsidP="00E231A2">
      <w:pPr>
        <w:pStyle w:val="IEEEStdsParagraph"/>
        <w:numPr>
          <w:ilvl w:val="0"/>
          <w:numId w:val="31"/>
        </w:numPr>
      </w:pPr>
      <w:r>
        <w:t xml:space="preserve">Minimum SINR for </w:t>
      </w:r>
      <w:r w:rsidR="008D1D47">
        <w:t>the</w:t>
      </w:r>
      <w:r>
        <w:t xml:space="preserve"> network to operate </w:t>
      </w:r>
      <w:r w:rsidR="008D1D47">
        <w:t>(</w:t>
      </w:r>
      <w:r>
        <w:t>SINRmin</w:t>
      </w:r>
      <w:r w:rsidR="008D1D47">
        <w:t>)</w:t>
      </w:r>
    </w:p>
    <w:p w:rsidR="00E231A2" w:rsidRDefault="00E231A2" w:rsidP="00E231A2">
      <w:pPr>
        <w:pStyle w:val="IEEEStdsParagraph"/>
        <w:numPr>
          <w:ilvl w:val="0"/>
          <w:numId w:val="31"/>
        </w:numPr>
      </w:pPr>
      <w:r>
        <w:t xml:space="preserve">Noise figure </w:t>
      </w:r>
      <w:r w:rsidR="001A16B2">
        <w:t>(</w:t>
      </w:r>
      <w:r>
        <w:t>NF</w:t>
      </w:r>
      <w:r w:rsidR="001A16B2">
        <w:t>)</w:t>
      </w:r>
      <w:r>
        <w:t xml:space="preserve"> or min</w:t>
      </w:r>
      <w:r w:rsidR="001A16B2">
        <w:t>imum receiver</w:t>
      </w:r>
      <w:r>
        <w:t xml:space="preserve"> </w:t>
      </w:r>
      <w:r w:rsidR="001A16B2">
        <w:t>(</w:t>
      </w:r>
      <w:r>
        <w:t>RX</w:t>
      </w:r>
      <w:r w:rsidR="001A16B2">
        <w:t>)</w:t>
      </w:r>
      <w:r>
        <w:t xml:space="preserve"> sensitivity (optional). A default value is used, if not given.</w:t>
      </w:r>
    </w:p>
    <w:p w:rsidR="00E231A2" w:rsidRDefault="00E231A2" w:rsidP="00E231A2">
      <w:pPr>
        <w:pStyle w:val="IEEEStdsParagraph"/>
        <w:numPr>
          <w:ilvl w:val="0"/>
          <w:numId w:val="31"/>
        </w:numPr>
      </w:pPr>
      <w:r>
        <w:t>Maximum transmission power Ptxmax/EIRP (see location related parameters)</w:t>
      </w:r>
    </w:p>
    <w:p w:rsidR="001A16B2" w:rsidRDefault="00E231A2" w:rsidP="00E231A2">
      <w:pPr>
        <w:pStyle w:val="IEEEStdsParagraph"/>
        <w:numPr>
          <w:ilvl w:val="0"/>
          <w:numId w:val="31"/>
        </w:numPr>
      </w:pPr>
      <w:r>
        <w:t>Antenna directivity D(θ, ϕ</w:t>
      </w:r>
      <w:r w:rsidR="001A16B2">
        <w:t>)</w:t>
      </w:r>
    </w:p>
    <w:p w:rsidR="00E231A2" w:rsidRDefault="00E231A2" w:rsidP="001A16B2">
      <w:pPr>
        <w:pStyle w:val="IEEEStdsParagraph"/>
        <w:numPr>
          <w:ilvl w:val="1"/>
          <w:numId w:val="31"/>
        </w:numPr>
      </w:pPr>
      <w:r>
        <w:t>θ is an azimuth angle and ϕ is an elevation angle (implicitly included in later equation) and antenna loss La (Combination of directivity and antenna loss is antenna gain)</w:t>
      </w:r>
    </w:p>
    <w:p w:rsidR="00E231A2" w:rsidRPr="003A4D68" w:rsidRDefault="007979F7" w:rsidP="00305771">
      <w:pPr>
        <w:pStyle w:val="Heading1"/>
      </w:pPr>
      <w:r>
        <w:t xml:space="preserve">TVBD </w:t>
      </w:r>
      <w:r w:rsidR="00E231A2">
        <w:t>neighbor discovery</w:t>
      </w:r>
      <w:r>
        <w:t xml:space="preserve"> calculations</w:t>
      </w:r>
    </w:p>
    <w:p w:rsidR="00E50D0A" w:rsidRDefault="00E50D0A" w:rsidP="00E231A2">
      <w:pPr>
        <w:pStyle w:val="IEEEStdsParagraph"/>
      </w:pPr>
    </w:p>
    <w:p w:rsidR="00E231A2" w:rsidRDefault="00BA285F" w:rsidP="00E231A2">
      <w:pPr>
        <w:pStyle w:val="IEEEStdsParagraph"/>
      </w:pPr>
      <w:r>
        <w:lastRenderedPageBreak/>
        <w:t>A CDIS performs TVBD n</w:t>
      </w:r>
      <w:r w:rsidR="007979F7">
        <w:t xml:space="preserve">eighbor calculations </w:t>
      </w:r>
      <w:r>
        <w:t xml:space="preserve">for each TVBD that has been registered to it. </w:t>
      </w:r>
      <w:r w:rsidR="00F346B7">
        <w:t>Calculations are done in TVBD pairs</w:t>
      </w:r>
      <w:r w:rsidR="001A20B5">
        <w:t xml:space="preserve"> and if the TVBDs under consideration serve Mode I TVBDs, the CDIS needs to estimate the worst case location of the Mode I TVBDs and base the calculations on those estimates.</w:t>
      </w:r>
      <w:r w:rsidR="00F346B7">
        <w:t xml:space="preserve"> </w:t>
      </w:r>
      <w:r w:rsidR="001A20B5">
        <w:t xml:space="preserve">Only those TVBDs that have overlap in operating frequency capabilities are taken into account in the TVBD neighbor calculations. But on the other hand, actual operating frequency is not taken into account </w:t>
      </w:r>
      <w:r w:rsidR="00B860DF">
        <w:t xml:space="preserve">in the calculations. </w:t>
      </w:r>
      <w:r w:rsidR="00042057">
        <w:t xml:space="preserve">We don’t want to end up modifying the neighbor list every time the TVBD’s operating frequency changes. </w:t>
      </w:r>
    </w:p>
    <w:p w:rsidR="00E231A2" w:rsidRDefault="00BA285F" w:rsidP="00E231A2">
      <w:pPr>
        <w:pStyle w:val="IEEEStdsParagraph"/>
      </w:pPr>
      <w:r>
        <w:t>The CDIS</w:t>
      </w:r>
      <w:r w:rsidR="00E231A2">
        <w:t xml:space="preserve"> has also the following parameters or functions to enable calculation:</w:t>
      </w:r>
    </w:p>
    <w:p w:rsidR="00E231A2" w:rsidRDefault="00E231A2" w:rsidP="007979F7">
      <w:pPr>
        <w:pStyle w:val="IEEEStdsParagraph"/>
        <w:numPr>
          <w:ilvl w:val="0"/>
          <w:numId w:val="36"/>
        </w:numPr>
      </w:pPr>
      <w:r>
        <w:t>Propagation model (L(r, x)), L is an attenuation, r is a distance between a transmitter and receiver, x is all other parameters needed to define the attenuation at distance r. The following formula can be used to evaluate the attenuation between the transmitter and receiver</w:t>
      </w:r>
    </w:p>
    <w:p w:rsidR="00E231A2" w:rsidRDefault="00E231A2" w:rsidP="00E231A2">
      <w:pPr>
        <w:pStyle w:val="IEEEStdsParagraph"/>
        <w:ind w:left="360"/>
        <w:jc w:val="center"/>
      </w:pPr>
      <w:r>
        <w:t>L (…) = 10log (4πr/λ)</w:t>
      </w:r>
      <w:r w:rsidRPr="003123BD">
        <w:rPr>
          <w:vertAlign w:val="superscript"/>
        </w:rPr>
        <w:t>α</w:t>
      </w:r>
      <w:r>
        <w:t xml:space="preserve"> – 20log(h</w:t>
      </w:r>
      <w:r w:rsidRPr="003123BD">
        <w:rPr>
          <w:vertAlign w:val="subscript"/>
        </w:rPr>
        <w:t>T</w:t>
      </w:r>
      <w:r>
        <w:t>*h</w:t>
      </w:r>
      <w:r w:rsidRPr="003123BD">
        <w:rPr>
          <w:vertAlign w:val="subscript"/>
        </w:rPr>
        <w:t>R</w:t>
      </w:r>
      <w:r>
        <w:t xml:space="preserve">), </w:t>
      </w:r>
    </w:p>
    <w:p w:rsidR="00E231A2" w:rsidRDefault="00E231A2" w:rsidP="007979F7">
      <w:pPr>
        <w:pStyle w:val="IEEEStdsParagraph"/>
        <w:ind w:left="720"/>
      </w:pPr>
      <w:r>
        <w:t xml:space="preserve">where λ is a wavelength, α is an environment related attenuation exponential (free space = 2, otherwise higher. </w:t>
      </w:r>
      <w:r w:rsidR="000268B4">
        <w:t>Environment indicator</w:t>
      </w:r>
      <w:r>
        <w:t xml:space="preserve"> and maximum transmission power can be used to define this value).</w:t>
      </w:r>
    </w:p>
    <w:p w:rsidR="00E231A2" w:rsidRDefault="00E231A2" w:rsidP="007979F7">
      <w:pPr>
        <w:pStyle w:val="IEEEStdsParagraph"/>
        <w:numPr>
          <w:ilvl w:val="0"/>
          <w:numId w:val="36"/>
        </w:numPr>
      </w:pPr>
      <w:r>
        <w:t xml:space="preserve">Interference margin Im. This value defines the limit above noise level at a receiver input of two </w:t>
      </w:r>
      <w:r w:rsidR="000268B4">
        <w:t>TVBDs</w:t>
      </w:r>
      <w:r>
        <w:t>. Note: the actual noise level at lower frequencies. Neighborhood power level limit is a mean value around which slow fading is varying the level.</w:t>
      </w:r>
    </w:p>
    <w:p w:rsidR="00A000D8" w:rsidRDefault="00BA285F" w:rsidP="00E231A2">
      <w:pPr>
        <w:pStyle w:val="IEEEStdsParagraph"/>
      </w:pPr>
      <w:r>
        <w:t>With</w:t>
      </w:r>
      <w:r w:rsidR="00E231A2">
        <w:t xml:space="preserve"> these parameters </w:t>
      </w:r>
      <w:r>
        <w:t xml:space="preserve">the </w:t>
      </w:r>
      <w:r w:rsidR="00E231A2">
        <w:t xml:space="preserve">CDIS defines </w:t>
      </w:r>
      <w:r w:rsidR="00A000D8">
        <w:t xml:space="preserve">whether a </w:t>
      </w:r>
      <w:r w:rsidR="00B860DF">
        <w:t xml:space="preserve">TVBD and a potential Mode I device it may serve and another TVBD </w:t>
      </w:r>
      <w:r w:rsidR="00042057">
        <w:t xml:space="preserve">are mutual interferers or if only one of them is the source and the other one is a victim. </w:t>
      </w:r>
    </w:p>
    <w:p w:rsidR="00042057" w:rsidRDefault="00042057" w:rsidP="00E231A2">
      <w:pPr>
        <w:pStyle w:val="IEEEStdsParagraph"/>
      </w:pPr>
      <w:r>
        <w:t xml:space="preserve">Here we haven’t considered the frequency that is used in the calculations. We shouldn’t this entirely up to the implementations since if the range of the supported frequencies is large compared to the center frequency, the outcome of the analysis may vary a lot. We wonder if the specification should give clear rules in which ones of the commonly supported frequencies the analysis should be done. </w:t>
      </w:r>
    </w:p>
    <w:p w:rsidR="009533EB" w:rsidRDefault="009533EB" w:rsidP="009533EB">
      <w:pPr>
        <w:pStyle w:val="Heading2"/>
      </w:pPr>
      <w:r>
        <w:t>Case examples</w:t>
      </w:r>
    </w:p>
    <w:p w:rsidR="00E231A2" w:rsidRDefault="00E231A2" w:rsidP="00E231A2">
      <w:pPr>
        <w:pStyle w:val="IEEEStdsParagraph"/>
      </w:pPr>
      <w:r>
        <w:t xml:space="preserve">The following simple examples </w:t>
      </w:r>
      <w:r w:rsidR="001513BB">
        <w:t xml:space="preserve">are intended to illustrate how the TVBD neighbor discovery process </w:t>
      </w:r>
      <w:r w:rsidR="00040BAF">
        <w:t>could operate</w:t>
      </w:r>
      <w:r w:rsidR="001513BB">
        <w:t xml:space="preserve"> in a CDIS</w:t>
      </w:r>
      <w:r>
        <w:t xml:space="preserve">. The basic calculation is shown below following the </w:t>
      </w:r>
      <w:r>
        <w:fldChar w:fldCharType="begin"/>
      </w:r>
      <w:r>
        <w:instrText xml:space="preserve"> REF _Ref291756061 \h </w:instrText>
      </w:r>
      <w:r>
        <w:fldChar w:fldCharType="separate"/>
      </w:r>
      <w:r>
        <w:t xml:space="preserve">Figure </w:t>
      </w:r>
      <w:r>
        <w:rPr>
          <w:noProof/>
        </w:rPr>
        <w:t>1</w:t>
      </w:r>
      <w:r>
        <w:fldChar w:fldCharType="end"/>
      </w:r>
      <w:r>
        <w:t xml:space="preserve"> in general.</w:t>
      </w:r>
    </w:p>
    <w:p w:rsidR="00040BAF" w:rsidRDefault="00E231A2" w:rsidP="00D32904">
      <w:pPr>
        <w:pStyle w:val="IEEEStdsParagraph"/>
        <w:numPr>
          <w:ilvl w:val="0"/>
          <w:numId w:val="32"/>
        </w:numPr>
      </w:pPr>
      <w:r>
        <w:t>Find the potential neighbor</w:t>
      </w:r>
      <w:r w:rsidR="005F79D9">
        <w:t>s</w:t>
      </w:r>
      <w:r>
        <w:t xml:space="preserve"> based on </w:t>
      </w:r>
      <w:r w:rsidR="005F79D9">
        <w:t xml:space="preserve">their </w:t>
      </w:r>
      <w:r>
        <w:t xml:space="preserve">location and </w:t>
      </w:r>
      <w:r w:rsidR="005F79D9">
        <w:t xml:space="preserve">maximum </w:t>
      </w:r>
      <w:r>
        <w:t>transmission power</w:t>
      </w:r>
      <w:r w:rsidR="005F79D9">
        <w:t xml:space="preserve"> and</w:t>
      </w:r>
      <w:r>
        <w:t xml:space="preserve"> list them in each transmission power level starting from the closest one.</w:t>
      </w:r>
      <w:r w:rsidR="00040BAF">
        <w:t xml:space="preserve"> Let’s call these neighbor candidates.</w:t>
      </w:r>
    </w:p>
    <w:p w:rsidR="000268B4" w:rsidRDefault="000268B4" w:rsidP="000268B4">
      <w:pPr>
        <w:pStyle w:val="IEEEStdsParagraph"/>
        <w:numPr>
          <w:ilvl w:val="1"/>
          <w:numId w:val="32"/>
        </w:numPr>
      </w:pPr>
      <w:r>
        <w:t xml:space="preserve">This submission doesn’t consider how the CDIS obtains the list of these neighbor candidates. </w:t>
      </w:r>
    </w:p>
    <w:p w:rsidR="00E231A2" w:rsidRPr="00040BAF" w:rsidRDefault="00E231A2" w:rsidP="00D32904">
      <w:pPr>
        <w:pStyle w:val="IEEEStdsParagraph"/>
        <w:numPr>
          <w:ilvl w:val="0"/>
          <w:numId w:val="32"/>
        </w:numPr>
      </w:pPr>
      <w:r w:rsidRPr="00040BAF">
        <w:t xml:space="preserve">Start </w:t>
      </w:r>
      <w:r w:rsidR="00040BAF">
        <w:t xml:space="preserve">the </w:t>
      </w:r>
      <w:r w:rsidRPr="00040BAF">
        <w:t xml:space="preserve">evaluation from the closest neighbor candidate. It is up to the algorithm to check what </w:t>
      </w:r>
      <w:r w:rsidR="005F79D9">
        <w:t>the case between these two networks is</w:t>
      </w:r>
      <w:r w:rsidRPr="00040BAF">
        <w:t xml:space="preserve">. E.g. first check if informed locations have overlapping communication range. If not then expand to interference ranges. Some possible scenarios are given in </w:t>
      </w:r>
      <w:r>
        <w:fldChar w:fldCharType="begin"/>
      </w:r>
      <w:r>
        <w:instrText xml:space="preserve"> REF _Ref291756024 \h  \* MERGEFORMAT </w:instrText>
      </w:r>
      <w:r>
        <w:fldChar w:fldCharType="separate"/>
      </w:r>
      <w:r w:rsidRPr="00040BAF">
        <w:t>Figure 2</w:t>
      </w:r>
      <w:r>
        <w:fldChar w:fldCharType="end"/>
      </w:r>
      <w:r w:rsidRPr="00040BAF">
        <w:t xml:space="preserve"> and </w:t>
      </w:r>
      <w:r>
        <w:fldChar w:fldCharType="begin"/>
      </w:r>
      <w:r>
        <w:instrText xml:space="preserve"> REF _Ref292199720 \h  \* MERGEFORMAT </w:instrText>
      </w:r>
      <w:r>
        <w:fldChar w:fldCharType="separate"/>
      </w:r>
      <w:r w:rsidRPr="00040BAF">
        <w:t>Figure 3</w:t>
      </w:r>
      <w:r>
        <w:fldChar w:fldCharType="end"/>
      </w:r>
      <w:r w:rsidRPr="00040BAF">
        <w:t>.</w:t>
      </w:r>
    </w:p>
    <w:p w:rsidR="00E231A2" w:rsidRDefault="00E231A2" w:rsidP="00D32904">
      <w:pPr>
        <w:pStyle w:val="IEEEStdsParagraph"/>
        <w:numPr>
          <w:ilvl w:val="0"/>
          <w:numId w:val="32"/>
        </w:numPr>
      </w:pPr>
      <w:r>
        <w:t>Find the highest potential interferer location in network A to any node in network B with the interference level and vice versa. This may be evaluated from communication and interference areas of both networks and their intersection:</w:t>
      </w:r>
    </w:p>
    <w:p w:rsidR="00E231A2" w:rsidRDefault="00E231A2" w:rsidP="009A43F0">
      <w:pPr>
        <w:pStyle w:val="IEEEStdsParagraph"/>
        <w:ind w:firstLine="720"/>
      </w:pPr>
      <w:r>
        <w:t>Prx_B = Ptxmax_A(highest interferer) + Gt_A(θ_B) +</w:t>
      </w:r>
      <w:r w:rsidRPr="005F687E">
        <w:t xml:space="preserve"> </w:t>
      </w:r>
      <w:r>
        <w:t xml:space="preserve">G_B(θ_A) – L(r1, r2), </w:t>
      </w:r>
    </w:p>
    <w:p w:rsidR="00E231A2" w:rsidRPr="00EE517C" w:rsidRDefault="00E231A2" w:rsidP="009A43F0">
      <w:pPr>
        <w:pStyle w:val="IEEEStdsParagraph"/>
        <w:ind w:firstLine="720"/>
      </w:pPr>
      <w:r>
        <w:t>where Prx_B can be either b1 or b2 and Ptxmax_A can be either a1 or a2.</w:t>
      </w:r>
    </w:p>
    <w:p w:rsidR="00E231A2" w:rsidRDefault="00E231A2" w:rsidP="00D32904">
      <w:pPr>
        <w:pStyle w:val="IEEEStdsParagraph"/>
        <w:numPr>
          <w:ilvl w:val="0"/>
          <w:numId w:val="32"/>
        </w:numPr>
      </w:pPr>
      <w:r>
        <w:t xml:space="preserve">L(r1, r2) </w:t>
      </w:r>
      <w:r w:rsidR="009A43F0">
        <w:t>is the</w:t>
      </w:r>
      <w:r>
        <w:t xml:space="preserve"> joint attenuation between the node at informed location of network A (B) and the most interfered node in network B (A). The link alternatives for direction from A to B according to </w:t>
      </w:r>
      <w:r>
        <w:fldChar w:fldCharType="begin"/>
      </w:r>
      <w:r>
        <w:instrText xml:space="preserve"> REF _Ref291756061 \h </w:instrText>
      </w:r>
      <w:r w:rsidR="00D32904">
        <w:instrText xml:space="preserve"> \* MERGEFORMAT </w:instrText>
      </w:r>
      <w:r>
        <w:fldChar w:fldCharType="separate"/>
      </w:r>
      <w:r>
        <w:t xml:space="preserve">Figure </w:t>
      </w:r>
      <w:r>
        <w:rPr>
          <w:noProof/>
        </w:rPr>
        <w:t>1</w:t>
      </w:r>
      <w:r>
        <w:fldChar w:fldCharType="end"/>
      </w:r>
      <w:r>
        <w:t xml:space="preserve"> can be</w:t>
      </w:r>
    </w:p>
    <w:p w:rsidR="00E231A2" w:rsidRDefault="00E231A2" w:rsidP="00D32904">
      <w:pPr>
        <w:pStyle w:val="IEEEStdsParagraph"/>
        <w:numPr>
          <w:ilvl w:val="1"/>
          <w:numId w:val="32"/>
        </w:numPr>
      </w:pPr>
      <w:r>
        <w:t>a1 → b1</w:t>
      </w:r>
    </w:p>
    <w:p w:rsidR="00E231A2" w:rsidRDefault="00E231A2" w:rsidP="00D32904">
      <w:pPr>
        <w:pStyle w:val="IEEEStdsParagraph"/>
        <w:numPr>
          <w:ilvl w:val="1"/>
          <w:numId w:val="32"/>
        </w:numPr>
      </w:pPr>
      <w:r>
        <w:t>a1 → b2</w:t>
      </w:r>
    </w:p>
    <w:p w:rsidR="00E231A2" w:rsidRDefault="00E231A2" w:rsidP="00D32904">
      <w:pPr>
        <w:pStyle w:val="IEEEStdsParagraph"/>
        <w:numPr>
          <w:ilvl w:val="1"/>
          <w:numId w:val="32"/>
        </w:numPr>
      </w:pPr>
      <w:r>
        <w:lastRenderedPageBreak/>
        <w:t>a1 → a2 → b2</w:t>
      </w:r>
    </w:p>
    <w:p w:rsidR="00E231A2" w:rsidRPr="00A222BA" w:rsidRDefault="00E231A2" w:rsidP="00D32904">
      <w:pPr>
        <w:pStyle w:val="IEEEStdsParagraph"/>
        <w:numPr>
          <w:ilvl w:val="1"/>
          <w:numId w:val="32"/>
        </w:numPr>
      </w:pPr>
      <w:r>
        <w:t>a1 → a2 → b1</w:t>
      </w:r>
    </w:p>
    <w:p w:rsidR="00E231A2" w:rsidRPr="005F687E" w:rsidRDefault="00E231A2" w:rsidP="001A20B5">
      <w:pPr>
        <w:pStyle w:val="IEEEStdsParagraph"/>
        <w:numPr>
          <w:ilvl w:val="0"/>
          <w:numId w:val="32"/>
        </w:numPr>
      </w:pPr>
      <w:r>
        <w:rPr>
          <w:bCs/>
        </w:rPr>
        <w:t xml:space="preserve">The joint attenuation may have two components, where the first one is for network’s internal link and the second one between the networks </w:t>
      </w:r>
      <w:r w:rsidRPr="005F687E">
        <w:rPr>
          <w:bCs/>
        </w:rPr>
        <w:t>(units in dB):</w:t>
      </w:r>
    </w:p>
    <w:p w:rsidR="00E231A2" w:rsidRDefault="00E231A2" w:rsidP="00D32904">
      <w:pPr>
        <w:pStyle w:val="IEEEStdsParagraph"/>
        <w:numPr>
          <w:ilvl w:val="0"/>
          <w:numId w:val="33"/>
        </w:numPr>
      </w:pPr>
      <w:r>
        <w:t>L(r1) = Ptxmax + Gtx(θrx) +</w:t>
      </w:r>
      <w:r w:rsidRPr="005F687E">
        <w:t xml:space="preserve"> </w:t>
      </w:r>
      <w:r>
        <w:t>Grx(θtx) – SNIRmin – N; N = N0+NF</w:t>
      </w:r>
    </w:p>
    <w:p w:rsidR="00E231A2" w:rsidRDefault="00E231A2" w:rsidP="00D32904">
      <w:pPr>
        <w:pStyle w:val="IEEEStdsParagraph"/>
        <w:numPr>
          <w:ilvl w:val="0"/>
          <w:numId w:val="33"/>
        </w:numPr>
      </w:pPr>
      <w:r>
        <w:t>L(r2) between the most interfering link of two networks (always the last link, the L(r1) is used only if there are two links in calculation)</w:t>
      </w:r>
    </w:p>
    <w:p w:rsidR="00E231A2" w:rsidRDefault="00E231A2" w:rsidP="00D32904">
      <w:pPr>
        <w:pStyle w:val="IEEEStdsParagraph"/>
        <w:numPr>
          <w:ilvl w:val="0"/>
          <w:numId w:val="32"/>
        </w:numPr>
      </w:pPr>
      <w:r>
        <w:t>Neighborhood definition (Prx1 is an interferenceLevelToNeighbor and Prx2 is an interferenceLevelFromNeighbor):</w:t>
      </w:r>
    </w:p>
    <w:p w:rsidR="00E231A2" w:rsidRDefault="00E231A2" w:rsidP="00D32904">
      <w:pPr>
        <w:pStyle w:val="IEEEStdsParagraph"/>
        <w:numPr>
          <w:ilvl w:val="1"/>
          <w:numId w:val="32"/>
        </w:numPr>
      </w:pPr>
      <w:r>
        <w:t xml:space="preserve">Overlapping communication areas: Prx1 and Prx2 levels high, (mutual) neighbors, see </w:t>
      </w:r>
      <w:r>
        <w:fldChar w:fldCharType="begin"/>
      </w:r>
      <w:r>
        <w:instrText xml:space="preserve"> REF _Ref291756024 \h </w:instrText>
      </w:r>
      <w:r w:rsidR="00D32904">
        <w:instrText xml:space="preserve"> \* MERGEFORMAT </w:instrText>
      </w:r>
      <w:r>
        <w:fldChar w:fldCharType="separate"/>
      </w:r>
      <w:r>
        <w:t xml:space="preserve">Figure </w:t>
      </w:r>
      <w:r>
        <w:rPr>
          <w:noProof/>
        </w:rPr>
        <w:t>2</w:t>
      </w:r>
      <w:r>
        <w:fldChar w:fldCharType="end"/>
      </w:r>
      <w:r>
        <w:t xml:space="preserve"> upper part</w:t>
      </w:r>
    </w:p>
    <w:p w:rsidR="00E231A2" w:rsidRDefault="00E231A2" w:rsidP="00D32904">
      <w:pPr>
        <w:pStyle w:val="IEEEStdsParagraph"/>
        <w:numPr>
          <w:ilvl w:val="2"/>
          <w:numId w:val="32"/>
        </w:numPr>
      </w:pPr>
      <w:r>
        <w:t>As a detail if possible the information that is those TVBD devices, whose locations have been informed, within each other’s communication area?</w:t>
      </w:r>
    </w:p>
    <w:p w:rsidR="00E231A2" w:rsidRDefault="00E231A2" w:rsidP="00D32904">
      <w:pPr>
        <w:pStyle w:val="IEEEStdsParagraph"/>
        <w:numPr>
          <w:ilvl w:val="1"/>
          <w:numId w:val="32"/>
        </w:numPr>
      </w:pPr>
      <w:r>
        <w:t xml:space="preserve">Prx1 and Prx2 &gt; Im+N (N=No+NF): (mutual) neighbors, see </w:t>
      </w:r>
      <w:r>
        <w:fldChar w:fldCharType="begin"/>
      </w:r>
      <w:r>
        <w:instrText xml:space="preserve"> REF _Ref291756024 \h </w:instrText>
      </w:r>
      <w:r w:rsidR="00D32904">
        <w:instrText xml:space="preserve"> \* MERGEFORMAT </w:instrText>
      </w:r>
      <w:r>
        <w:fldChar w:fldCharType="separate"/>
      </w:r>
      <w:r>
        <w:t xml:space="preserve">Figure </w:t>
      </w:r>
      <w:r>
        <w:rPr>
          <w:noProof/>
        </w:rPr>
        <w:t>2</w:t>
      </w:r>
      <w:r>
        <w:fldChar w:fldCharType="end"/>
      </w:r>
      <w:r>
        <w:t xml:space="preserve"> lower part</w:t>
      </w:r>
    </w:p>
    <w:p w:rsidR="00E231A2" w:rsidRDefault="00E231A2" w:rsidP="00D32904">
      <w:pPr>
        <w:pStyle w:val="IEEEStdsParagraph"/>
        <w:numPr>
          <w:ilvl w:val="1"/>
          <w:numId w:val="32"/>
        </w:numPr>
      </w:pPr>
      <w:r>
        <w:t>Prx1 and Prx2 &lt; Im+N (N=No+NF): Not any kind of neighbors</w:t>
      </w:r>
    </w:p>
    <w:p w:rsidR="00E231A2" w:rsidRDefault="00E231A2" w:rsidP="00D32904">
      <w:pPr>
        <w:pStyle w:val="IEEEStdsParagraph"/>
        <w:numPr>
          <w:ilvl w:val="1"/>
          <w:numId w:val="32"/>
        </w:numPr>
      </w:pPr>
      <w:r>
        <w:t xml:space="preserve">Prx1 &gt; Im+N and Prx2 &lt; Im+N (N=No+NF): One sided neighborhood, network A is </w:t>
      </w:r>
      <w:r w:rsidR="00D32904">
        <w:t>the</w:t>
      </w:r>
      <w:r>
        <w:t xml:space="preserve"> interference</w:t>
      </w:r>
      <w:r w:rsidR="00D32904">
        <w:t xml:space="preserve"> source</w:t>
      </w:r>
    </w:p>
    <w:p w:rsidR="00E231A2" w:rsidRDefault="00E231A2" w:rsidP="00D32904">
      <w:pPr>
        <w:pStyle w:val="IEEEStdsParagraph"/>
        <w:numPr>
          <w:ilvl w:val="1"/>
          <w:numId w:val="32"/>
        </w:numPr>
      </w:pPr>
      <w:r>
        <w:t>Prx1 &lt; Im+N and Prx2 &gt; Im+N (N=No+NF): One sided neighborhood, network A is a</w:t>
      </w:r>
      <w:r w:rsidR="00D32904">
        <w:t>n</w:t>
      </w:r>
      <w:r>
        <w:t xml:space="preserve"> interference</w:t>
      </w:r>
      <w:r w:rsidR="00D32904">
        <w:t xml:space="preserve"> victim</w:t>
      </w:r>
    </w:p>
    <w:p w:rsidR="00E231A2" w:rsidRPr="005F687E" w:rsidRDefault="00E231A2" w:rsidP="009A43F0">
      <w:pPr>
        <w:pStyle w:val="IEEEStdsParagraph"/>
        <w:ind w:firstLine="720"/>
      </w:pPr>
      <w:r>
        <w:t xml:space="preserve">Prx above would be actually 10*lg (10^(Prx,calculated/10)+10^(N/10)) when measured </w:t>
      </w:r>
      <w:r w:rsidR="00D32904">
        <w:t>in</w:t>
      </w:r>
      <w:r>
        <w:t xml:space="preserve"> e.g. RSSI.</w:t>
      </w:r>
    </w:p>
    <w:p w:rsidR="00E231A2" w:rsidRDefault="00D32904" w:rsidP="00D32904">
      <w:pPr>
        <w:pStyle w:val="IEEEStdsParagraph"/>
      </w:pPr>
      <w:r>
        <w:t>It is also worth to note that i</w:t>
      </w:r>
      <w:r w:rsidR="00E231A2">
        <w:t>n real environment</w:t>
      </w:r>
      <w:r>
        <w:t>s</w:t>
      </w:r>
      <w:r w:rsidR="00E231A2">
        <w:t xml:space="preserve"> the </w:t>
      </w:r>
      <w:r>
        <w:t>highest</w:t>
      </w:r>
      <w:r w:rsidR="00E231A2">
        <w:t xml:space="preserve"> interference </w:t>
      </w:r>
      <w:r>
        <w:t>between Mode I TVBDs</w:t>
      </w:r>
      <w:r w:rsidR="00E231A2">
        <w:t xml:space="preserve"> is not always caused by the devices at a maximum distance from the informed location of </w:t>
      </w:r>
      <w:r>
        <w:t>the</w:t>
      </w:r>
      <w:r w:rsidR="00E231A2">
        <w:t xml:space="preserve"> registered device in CDIS.</w:t>
      </w:r>
    </w:p>
    <w:p w:rsidR="00E231A2" w:rsidRPr="003A4D68" w:rsidRDefault="00A000D8" w:rsidP="00E50D0A">
      <w:pPr>
        <w:pStyle w:val="Heading1"/>
      </w:pPr>
      <w:r>
        <w:t>TVBD n</w:t>
      </w:r>
      <w:r w:rsidR="00E231A2">
        <w:t>eighbor discovery</w:t>
      </w:r>
      <w:r w:rsidR="00E50D0A">
        <w:t xml:space="preserve"> </w:t>
      </w:r>
      <w:r>
        <w:t>outcome</w:t>
      </w:r>
    </w:p>
    <w:p w:rsidR="00E50D0A" w:rsidRDefault="00E50D0A" w:rsidP="00E231A2">
      <w:pPr>
        <w:pStyle w:val="IEEEStdsParagraph"/>
      </w:pPr>
    </w:p>
    <w:p w:rsidR="00E231A2" w:rsidRDefault="00E231A2" w:rsidP="00E231A2">
      <w:pPr>
        <w:pStyle w:val="IEEEStdsParagraph"/>
      </w:pPr>
      <w:r>
        <w:t xml:space="preserve">The parameters </w:t>
      </w:r>
      <w:r w:rsidR="00A000D8">
        <w:t xml:space="preserve">provided </w:t>
      </w:r>
      <w:r>
        <w:t xml:space="preserve">by </w:t>
      </w:r>
      <w:r w:rsidR="00A000D8">
        <w:t>the CDIS as the outcome of the TVBD neighbor discovery are as follows:</w:t>
      </w:r>
    </w:p>
    <w:p w:rsidR="00E231A2" w:rsidRDefault="00A000D8" w:rsidP="00E231A2">
      <w:pPr>
        <w:pStyle w:val="IEEEStdsParagraph"/>
        <w:numPr>
          <w:ilvl w:val="0"/>
          <w:numId w:val="34"/>
        </w:numPr>
      </w:pPr>
      <w:r>
        <w:t>Interference direction</w:t>
      </w:r>
    </w:p>
    <w:p w:rsidR="00A000D8" w:rsidRDefault="00A000D8" w:rsidP="00A000D8">
      <w:pPr>
        <w:pStyle w:val="IEEEStdsParagraph"/>
        <w:numPr>
          <w:ilvl w:val="1"/>
          <w:numId w:val="34"/>
        </w:numPr>
      </w:pPr>
      <w:r>
        <w:t>Mutual, Source, Victim</w:t>
      </w:r>
    </w:p>
    <w:p w:rsidR="00E231A2" w:rsidRDefault="00E231A2" w:rsidP="00E231A2">
      <w:pPr>
        <w:pStyle w:val="IEEEStdsParagraph"/>
        <w:numPr>
          <w:ilvl w:val="0"/>
          <w:numId w:val="34"/>
        </w:numPr>
      </w:pPr>
      <w:r>
        <w:t>Prx1 and Prx2</w:t>
      </w:r>
    </w:p>
    <w:p w:rsidR="00E231A2" w:rsidRDefault="00E231A2" w:rsidP="00E231A2">
      <w:pPr>
        <w:pStyle w:val="IEEEStdsParagraph"/>
      </w:pPr>
    </w:p>
    <w:p w:rsidR="00E231A2" w:rsidRDefault="00E231A2" w:rsidP="00E231A2">
      <w:pPr>
        <w:pStyle w:val="IEEEStdsParagraph"/>
        <w:jc w:val="center"/>
      </w:pPr>
      <w:r w:rsidRPr="003100F5">
        <w:rPr>
          <w:noProof/>
          <w:lang w:eastAsia="en-US"/>
        </w:rPr>
        <w:lastRenderedPageBreak/>
        <w:drawing>
          <wp:inline distT="0" distB="0" distL="0" distR="0" wp14:anchorId="6808FAAE" wp14:editId="3B85C126">
            <wp:extent cx="857567" cy="291572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59273" cy="2921530"/>
                    </a:xfrm>
                    <a:prstGeom prst="rect">
                      <a:avLst/>
                    </a:prstGeom>
                    <a:noFill/>
                    <a:ln w="9525">
                      <a:noFill/>
                      <a:miter lim="800000"/>
                      <a:headEnd/>
                      <a:tailEnd/>
                    </a:ln>
                  </pic:spPr>
                </pic:pic>
              </a:graphicData>
            </a:graphic>
          </wp:inline>
        </w:drawing>
      </w:r>
    </w:p>
    <w:p w:rsidR="00E231A2" w:rsidRDefault="00E231A2" w:rsidP="00E231A2">
      <w:pPr>
        <w:pStyle w:val="Caption"/>
        <w:jc w:val="center"/>
      </w:pPr>
      <w:bookmarkStart w:id="1" w:name="_Ref291756061"/>
      <w:r>
        <w:t xml:space="preserve">Figure </w:t>
      </w:r>
      <w:fldSimple w:instr=" SEQ Figure \* ARABIC ">
        <w:r>
          <w:rPr>
            <w:noProof/>
          </w:rPr>
          <w:t>1</w:t>
        </w:r>
      </w:fldSimple>
      <w:bookmarkEnd w:id="1"/>
      <w:r>
        <w:t xml:space="preserve">: An illustration of </w:t>
      </w:r>
      <w:r w:rsidR="000B63A8">
        <w:t>TVBD neighbor</w:t>
      </w:r>
      <w:r>
        <w:t xml:space="preserve"> </w:t>
      </w:r>
      <w:r w:rsidR="000B63A8">
        <w:t>calculation between two TVBDs representing two networks</w:t>
      </w:r>
    </w:p>
    <w:p w:rsidR="00E231A2" w:rsidRDefault="00E231A2" w:rsidP="00E231A2">
      <w:pPr>
        <w:pStyle w:val="IEEEStdsParagraph"/>
      </w:pPr>
    </w:p>
    <w:p w:rsidR="00E231A2" w:rsidRDefault="00E231A2" w:rsidP="00E231A2">
      <w:pPr>
        <w:pStyle w:val="IEEEStdsParagraph"/>
        <w:jc w:val="center"/>
      </w:pPr>
      <w:r w:rsidRPr="00F67C58">
        <w:rPr>
          <w:noProof/>
          <w:lang w:eastAsia="en-US"/>
        </w:rPr>
        <w:drawing>
          <wp:inline distT="0" distB="0" distL="0" distR="0" wp14:anchorId="4380B17F" wp14:editId="3B2624B6">
            <wp:extent cx="3026075" cy="4514308"/>
            <wp:effectExtent l="19050" t="0" r="28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3028478" cy="4517893"/>
                    </a:xfrm>
                    <a:prstGeom prst="rect">
                      <a:avLst/>
                    </a:prstGeom>
                    <a:noFill/>
                    <a:ln w="9525">
                      <a:noFill/>
                      <a:miter lim="800000"/>
                      <a:headEnd/>
                      <a:tailEnd/>
                    </a:ln>
                  </pic:spPr>
                </pic:pic>
              </a:graphicData>
            </a:graphic>
          </wp:inline>
        </w:drawing>
      </w:r>
    </w:p>
    <w:p w:rsidR="00E231A2" w:rsidRDefault="00E231A2" w:rsidP="00E231A2">
      <w:pPr>
        <w:pStyle w:val="Caption"/>
        <w:jc w:val="center"/>
      </w:pPr>
      <w:bookmarkStart w:id="2" w:name="_Ref291756024"/>
      <w:r>
        <w:t xml:space="preserve">Figure </w:t>
      </w:r>
      <w:fldSimple w:instr=" SEQ Figure \* ARABIC ">
        <w:r>
          <w:rPr>
            <w:noProof/>
          </w:rPr>
          <w:t>2</w:t>
        </w:r>
      </w:fldSimple>
      <w:bookmarkEnd w:id="2"/>
      <w:r>
        <w:t>: Examples of (mutual) neighbors case (shown both communication and interference coverage areas)</w:t>
      </w:r>
    </w:p>
    <w:p w:rsidR="00E231A2" w:rsidRDefault="00E231A2" w:rsidP="00E231A2">
      <w:pPr>
        <w:pStyle w:val="Caption"/>
      </w:pPr>
    </w:p>
    <w:p w:rsidR="00E231A2" w:rsidRPr="00EE517C" w:rsidRDefault="00E231A2" w:rsidP="00E231A2">
      <w:pPr>
        <w:jc w:val="center"/>
      </w:pPr>
      <w:r w:rsidRPr="00CE1549">
        <w:rPr>
          <w:noProof/>
        </w:rPr>
        <w:lastRenderedPageBreak/>
        <w:drawing>
          <wp:inline distT="0" distB="0" distL="0" distR="0" wp14:anchorId="53673C44" wp14:editId="3A7FE980">
            <wp:extent cx="5011947" cy="3167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19189" cy="3172386"/>
                    </a:xfrm>
                    <a:prstGeom prst="rect">
                      <a:avLst/>
                    </a:prstGeom>
                  </pic:spPr>
                </pic:pic>
              </a:graphicData>
            </a:graphic>
          </wp:inline>
        </w:drawing>
      </w:r>
    </w:p>
    <w:p w:rsidR="00E231A2" w:rsidRDefault="00E231A2" w:rsidP="00E231A2">
      <w:pPr>
        <w:pStyle w:val="Caption"/>
        <w:jc w:val="center"/>
      </w:pPr>
      <w:bookmarkStart w:id="3" w:name="_Ref291760552"/>
      <w:bookmarkStart w:id="4" w:name="_Ref292199720"/>
      <w:r>
        <w:t xml:space="preserve">Figure </w:t>
      </w:r>
      <w:fldSimple w:instr=" SEQ Figure \* ARABIC ">
        <w:r>
          <w:rPr>
            <w:noProof/>
          </w:rPr>
          <w:t>3</w:t>
        </w:r>
      </w:fldSimple>
      <w:bookmarkEnd w:id="3"/>
      <w:bookmarkEnd w:id="4"/>
      <w:r>
        <w:t>: Examples of one sided interference case (only shown the communication coverage areas)</w:t>
      </w:r>
    </w:p>
    <w:p w:rsidR="00E231A2" w:rsidRPr="00E231A2" w:rsidRDefault="00E231A2" w:rsidP="00E231A2"/>
    <w:sectPr w:rsidR="00E231A2" w:rsidRPr="00E231A2" w:rsidSect="00DA6E65">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EE6" w:rsidRDefault="00BB1EE6">
      <w:r>
        <w:separator/>
      </w:r>
    </w:p>
  </w:endnote>
  <w:endnote w:type="continuationSeparator" w:id="0">
    <w:p w:rsidR="00BB1EE6" w:rsidRDefault="00BB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Pr="00F53F59" w:rsidRDefault="00C87222">
    <w:pPr>
      <w:pStyle w:val="Footer"/>
      <w:tabs>
        <w:tab w:val="clear" w:pos="6480"/>
        <w:tab w:val="center" w:pos="4680"/>
        <w:tab w:val="right" w:pos="9360"/>
      </w:tabs>
      <w:rPr>
        <w:lang w:val="fi-FI"/>
      </w:rPr>
    </w:pPr>
    <w:r>
      <w:fldChar w:fldCharType="begin"/>
    </w:r>
    <w:r w:rsidRPr="00E231A2">
      <w:rPr>
        <w:lang w:val="fi-FI"/>
      </w:rPr>
      <w:instrText xml:space="preserve"> SUBJECT  \* MERGEFORMAT </w:instrText>
    </w:r>
    <w:r>
      <w:fldChar w:fldCharType="separate"/>
    </w:r>
    <w:r w:rsidR="000B39E7" w:rsidRPr="00F53F59">
      <w:rPr>
        <w:lang w:val="fi-FI"/>
      </w:rPr>
      <w:t>Submission</w:t>
    </w:r>
    <w:r>
      <w:rPr>
        <w:lang w:val="fi-FI"/>
      </w:rPr>
      <w:fldChar w:fldCharType="end"/>
    </w:r>
    <w:r w:rsidR="000B39E7" w:rsidRPr="00F53F59">
      <w:rPr>
        <w:lang w:val="fi-FI"/>
      </w:rPr>
      <w:tab/>
      <w:t xml:space="preserve">page </w:t>
    </w:r>
    <w:r w:rsidR="000C652C">
      <w:fldChar w:fldCharType="begin"/>
    </w:r>
    <w:r w:rsidR="000B39E7" w:rsidRPr="00F53F59">
      <w:rPr>
        <w:lang w:val="fi-FI"/>
      </w:rPr>
      <w:instrText xml:space="preserve">page </w:instrText>
    </w:r>
    <w:r w:rsidR="000C652C">
      <w:fldChar w:fldCharType="separate"/>
    </w:r>
    <w:r w:rsidR="00B609A9">
      <w:rPr>
        <w:noProof/>
        <w:lang w:val="fi-FI"/>
      </w:rPr>
      <w:t>1</w:t>
    </w:r>
    <w:r w:rsidR="000C652C">
      <w:fldChar w:fldCharType="end"/>
    </w:r>
    <w:r w:rsidR="000B39E7" w:rsidRPr="00F53F59">
      <w:rPr>
        <w:lang w:val="fi-FI"/>
      </w:rPr>
      <w:tab/>
    </w:r>
    <w:r>
      <w:fldChar w:fldCharType="begin"/>
    </w:r>
    <w:r w:rsidRPr="00E231A2">
      <w:rPr>
        <w:lang w:val="fi-FI"/>
      </w:rPr>
      <w:instrText xml:space="preserve"> COMMENTS  \* MERGEFORMAT </w:instrText>
    </w:r>
    <w:r>
      <w:fldChar w:fldCharType="separate"/>
    </w:r>
    <w:r w:rsidR="007B1AB2">
      <w:rPr>
        <w:lang w:val="fi-FI"/>
      </w:rPr>
      <w:t>Jari Junell</w:t>
    </w:r>
    <w:r w:rsidR="007D72DD">
      <w:rPr>
        <w:lang w:val="fi-FI"/>
      </w:rPr>
      <w:t xml:space="preserve"> and Mika Kasslin</w:t>
    </w:r>
    <w:r w:rsidR="000B39E7" w:rsidRPr="00F53F59">
      <w:rPr>
        <w:lang w:val="fi-FI"/>
      </w:rPr>
      <w:t>, Nokia</w:t>
    </w:r>
    <w:r>
      <w:rPr>
        <w:lang w:val="fi-FI"/>
      </w:rPr>
      <w:fldChar w:fldCharType="end"/>
    </w:r>
  </w:p>
  <w:p w:rsidR="000B39E7" w:rsidRPr="00F53F59" w:rsidRDefault="000B39E7">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EE6" w:rsidRDefault="00BB1EE6">
      <w:r>
        <w:separator/>
      </w:r>
    </w:p>
  </w:footnote>
  <w:footnote w:type="continuationSeparator" w:id="0">
    <w:p w:rsidR="00BB1EE6" w:rsidRDefault="00BB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Default="00C87222">
    <w:pPr>
      <w:pStyle w:val="Header"/>
      <w:tabs>
        <w:tab w:val="clear" w:pos="6480"/>
        <w:tab w:val="center" w:pos="4680"/>
        <w:tab w:val="right" w:pos="9360"/>
      </w:tabs>
    </w:pPr>
    <w:fldSimple w:instr=" KEYWORDS  \* MERGEFORMAT ">
      <w:r w:rsidR="007D72DD">
        <w:t>May</w:t>
      </w:r>
      <w:r w:rsidR="00E231A2">
        <w:t xml:space="preserve"> 201</w:t>
      </w:r>
      <w:r w:rsidR="007D72DD">
        <w:t>1</w:t>
      </w:r>
    </w:fldSimple>
    <w:r w:rsidR="000B39E7">
      <w:tab/>
    </w:r>
    <w:r w:rsidR="000B39E7">
      <w:tab/>
    </w:r>
    <w:fldSimple w:instr=" TITLE  \* MERGEFORMAT ">
      <w:r w:rsidR="000B39E7">
        <w:t>doc.: IEEE 802.19-11/</w:t>
      </w:r>
      <w:r w:rsidR="007D72DD">
        <w:t>0051</w:t>
      </w:r>
      <w:r w:rsidR="000B39E7">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7">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1">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4">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5">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7"/>
  </w:num>
  <w:num w:numId="2">
    <w:abstractNumId w:val="17"/>
  </w:num>
  <w:num w:numId="3">
    <w:abstractNumId w:val="31"/>
  </w:num>
  <w:num w:numId="4">
    <w:abstractNumId w:val="26"/>
  </w:num>
  <w:num w:numId="5">
    <w:abstractNumId w:val="12"/>
  </w:num>
  <w:num w:numId="6">
    <w:abstractNumId w:val="13"/>
  </w:num>
  <w:num w:numId="7">
    <w:abstractNumId w:val="25"/>
  </w:num>
  <w:num w:numId="8">
    <w:abstractNumId w:val="23"/>
  </w:num>
  <w:num w:numId="9">
    <w:abstractNumId w:val="14"/>
  </w:num>
  <w:num w:numId="10">
    <w:abstractNumId w:val="7"/>
  </w:num>
  <w:num w:numId="11">
    <w:abstractNumId w:val="15"/>
  </w:num>
  <w:num w:numId="12">
    <w:abstractNumId w:val="0"/>
  </w:num>
  <w:num w:numId="13">
    <w:abstractNumId w:val="32"/>
  </w:num>
  <w:num w:numId="14">
    <w:abstractNumId w:val="35"/>
  </w:num>
  <w:num w:numId="15">
    <w:abstractNumId w:val="8"/>
  </w:num>
  <w:num w:numId="16">
    <w:abstractNumId w:val="5"/>
  </w:num>
  <w:num w:numId="17">
    <w:abstractNumId w:val="2"/>
  </w:num>
  <w:num w:numId="18">
    <w:abstractNumId w:val="28"/>
  </w:num>
  <w:num w:numId="19">
    <w:abstractNumId w:val="24"/>
  </w:num>
  <w:num w:numId="20">
    <w:abstractNumId w:val="9"/>
  </w:num>
  <w:num w:numId="21">
    <w:abstractNumId w:val="11"/>
  </w:num>
  <w:num w:numId="22">
    <w:abstractNumId w:val="16"/>
  </w:num>
  <w:num w:numId="23">
    <w:abstractNumId w:val="34"/>
  </w:num>
  <w:num w:numId="24">
    <w:abstractNumId w:val="30"/>
  </w:num>
  <w:num w:numId="25">
    <w:abstractNumId w:val="29"/>
  </w:num>
  <w:num w:numId="26">
    <w:abstractNumId w:val="33"/>
  </w:num>
  <w:num w:numId="27">
    <w:abstractNumId w:val="3"/>
  </w:num>
  <w:num w:numId="28">
    <w:abstractNumId w:val="19"/>
  </w:num>
  <w:num w:numId="29">
    <w:abstractNumId w:val="22"/>
  </w:num>
  <w:num w:numId="30">
    <w:abstractNumId w:val="18"/>
  </w:num>
  <w:num w:numId="31">
    <w:abstractNumId w:val="10"/>
  </w:num>
  <w:num w:numId="32">
    <w:abstractNumId w:val="1"/>
  </w:num>
  <w:num w:numId="33">
    <w:abstractNumId w:val="21"/>
  </w:num>
  <w:num w:numId="34">
    <w:abstractNumId w:val="20"/>
  </w:num>
  <w:num w:numId="35">
    <w:abstractNumId w:val="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7B4"/>
    <w:rsid w:val="00004654"/>
    <w:rsid w:val="000057A1"/>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DF0"/>
    <w:rsid w:val="00046019"/>
    <w:rsid w:val="00047B57"/>
    <w:rsid w:val="00052FE4"/>
    <w:rsid w:val="0005443E"/>
    <w:rsid w:val="00061E72"/>
    <w:rsid w:val="00063A76"/>
    <w:rsid w:val="000641B6"/>
    <w:rsid w:val="0007095B"/>
    <w:rsid w:val="000719BB"/>
    <w:rsid w:val="00073AF4"/>
    <w:rsid w:val="00075963"/>
    <w:rsid w:val="0008150F"/>
    <w:rsid w:val="00081724"/>
    <w:rsid w:val="00084D29"/>
    <w:rsid w:val="00085C82"/>
    <w:rsid w:val="00086F5A"/>
    <w:rsid w:val="00087955"/>
    <w:rsid w:val="00090E0E"/>
    <w:rsid w:val="00093E11"/>
    <w:rsid w:val="000959BA"/>
    <w:rsid w:val="000976E0"/>
    <w:rsid w:val="000A1F18"/>
    <w:rsid w:val="000A3118"/>
    <w:rsid w:val="000A4042"/>
    <w:rsid w:val="000A7579"/>
    <w:rsid w:val="000B1888"/>
    <w:rsid w:val="000B39E7"/>
    <w:rsid w:val="000B63A8"/>
    <w:rsid w:val="000C3C92"/>
    <w:rsid w:val="000C490A"/>
    <w:rsid w:val="000C652C"/>
    <w:rsid w:val="000D0ADC"/>
    <w:rsid w:val="000D0DA4"/>
    <w:rsid w:val="000D1545"/>
    <w:rsid w:val="000D1EF5"/>
    <w:rsid w:val="000D2770"/>
    <w:rsid w:val="000D4302"/>
    <w:rsid w:val="000D4D42"/>
    <w:rsid w:val="000E1556"/>
    <w:rsid w:val="000E3C8A"/>
    <w:rsid w:val="000E3F93"/>
    <w:rsid w:val="000E4190"/>
    <w:rsid w:val="000E4A23"/>
    <w:rsid w:val="000F4F44"/>
    <w:rsid w:val="000F5ED6"/>
    <w:rsid w:val="000F7A5E"/>
    <w:rsid w:val="001000FC"/>
    <w:rsid w:val="001007E4"/>
    <w:rsid w:val="00103BDA"/>
    <w:rsid w:val="00104FA1"/>
    <w:rsid w:val="0010545E"/>
    <w:rsid w:val="00106122"/>
    <w:rsid w:val="0011034E"/>
    <w:rsid w:val="00110FED"/>
    <w:rsid w:val="00112ECE"/>
    <w:rsid w:val="00113A4B"/>
    <w:rsid w:val="00114126"/>
    <w:rsid w:val="0012005A"/>
    <w:rsid w:val="00121BBF"/>
    <w:rsid w:val="00130287"/>
    <w:rsid w:val="00130657"/>
    <w:rsid w:val="00131953"/>
    <w:rsid w:val="001359AA"/>
    <w:rsid w:val="001377DD"/>
    <w:rsid w:val="001437FA"/>
    <w:rsid w:val="001467DA"/>
    <w:rsid w:val="00146FB1"/>
    <w:rsid w:val="00147FE9"/>
    <w:rsid w:val="00150964"/>
    <w:rsid w:val="001510D6"/>
    <w:rsid w:val="001513BB"/>
    <w:rsid w:val="001513E4"/>
    <w:rsid w:val="00152100"/>
    <w:rsid w:val="001557D2"/>
    <w:rsid w:val="001608A3"/>
    <w:rsid w:val="00163B01"/>
    <w:rsid w:val="00167829"/>
    <w:rsid w:val="00177935"/>
    <w:rsid w:val="00177B0E"/>
    <w:rsid w:val="0018068F"/>
    <w:rsid w:val="00180B43"/>
    <w:rsid w:val="00181942"/>
    <w:rsid w:val="00181C16"/>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E50"/>
    <w:rsid w:val="001C427A"/>
    <w:rsid w:val="001C458B"/>
    <w:rsid w:val="001C4FD3"/>
    <w:rsid w:val="001C64A5"/>
    <w:rsid w:val="001C75AF"/>
    <w:rsid w:val="001E05FA"/>
    <w:rsid w:val="001E1408"/>
    <w:rsid w:val="001E29A1"/>
    <w:rsid w:val="001E57E4"/>
    <w:rsid w:val="001E68EA"/>
    <w:rsid w:val="001F0B6D"/>
    <w:rsid w:val="001F3F33"/>
    <w:rsid w:val="001F4217"/>
    <w:rsid w:val="001F4E27"/>
    <w:rsid w:val="001F60BA"/>
    <w:rsid w:val="001F6E32"/>
    <w:rsid w:val="001F7257"/>
    <w:rsid w:val="0020237F"/>
    <w:rsid w:val="00202460"/>
    <w:rsid w:val="00203476"/>
    <w:rsid w:val="002034C0"/>
    <w:rsid w:val="00203B1E"/>
    <w:rsid w:val="002061A5"/>
    <w:rsid w:val="00210F49"/>
    <w:rsid w:val="00210FC0"/>
    <w:rsid w:val="00213A2D"/>
    <w:rsid w:val="00214802"/>
    <w:rsid w:val="00214882"/>
    <w:rsid w:val="00215188"/>
    <w:rsid w:val="002177D3"/>
    <w:rsid w:val="002207F2"/>
    <w:rsid w:val="00224DFE"/>
    <w:rsid w:val="00227362"/>
    <w:rsid w:val="00232372"/>
    <w:rsid w:val="00233BF6"/>
    <w:rsid w:val="0023405E"/>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67F1"/>
    <w:rsid w:val="002B5528"/>
    <w:rsid w:val="002B6EE2"/>
    <w:rsid w:val="002C4215"/>
    <w:rsid w:val="002D72FB"/>
    <w:rsid w:val="002E203E"/>
    <w:rsid w:val="002E62C2"/>
    <w:rsid w:val="002E6556"/>
    <w:rsid w:val="002E7F71"/>
    <w:rsid w:val="002F2B0C"/>
    <w:rsid w:val="002F5F8A"/>
    <w:rsid w:val="003004F0"/>
    <w:rsid w:val="00300E65"/>
    <w:rsid w:val="003015AE"/>
    <w:rsid w:val="00302809"/>
    <w:rsid w:val="00304B34"/>
    <w:rsid w:val="00305771"/>
    <w:rsid w:val="0030662E"/>
    <w:rsid w:val="00306EA1"/>
    <w:rsid w:val="00307930"/>
    <w:rsid w:val="003107CB"/>
    <w:rsid w:val="00312099"/>
    <w:rsid w:val="00313FE4"/>
    <w:rsid w:val="00315FE4"/>
    <w:rsid w:val="00317F2F"/>
    <w:rsid w:val="003212D9"/>
    <w:rsid w:val="00322346"/>
    <w:rsid w:val="00324312"/>
    <w:rsid w:val="00325448"/>
    <w:rsid w:val="0032642B"/>
    <w:rsid w:val="00330F8E"/>
    <w:rsid w:val="0033365A"/>
    <w:rsid w:val="00333E08"/>
    <w:rsid w:val="00334E9D"/>
    <w:rsid w:val="00337EDC"/>
    <w:rsid w:val="00347BC0"/>
    <w:rsid w:val="00351B26"/>
    <w:rsid w:val="00353D85"/>
    <w:rsid w:val="00354057"/>
    <w:rsid w:val="00356107"/>
    <w:rsid w:val="00360D3D"/>
    <w:rsid w:val="00365BD7"/>
    <w:rsid w:val="00370EE7"/>
    <w:rsid w:val="00371CFE"/>
    <w:rsid w:val="003753C7"/>
    <w:rsid w:val="00376623"/>
    <w:rsid w:val="00381B77"/>
    <w:rsid w:val="00382C85"/>
    <w:rsid w:val="00383EF4"/>
    <w:rsid w:val="003841A4"/>
    <w:rsid w:val="00386D8B"/>
    <w:rsid w:val="00390E9F"/>
    <w:rsid w:val="00392151"/>
    <w:rsid w:val="00394D5B"/>
    <w:rsid w:val="003956AE"/>
    <w:rsid w:val="003959FD"/>
    <w:rsid w:val="003A5725"/>
    <w:rsid w:val="003A6E2E"/>
    <w:rsid w:val="003A7431"/>
    <w:rsid w:val="003B2F50"/>
    <w:rsid w:val="003B3D47"/>
    <w:rsid w:val="003B697A"/>
    <w:rsid w:val="003B6F16"/>
    <w:rsid w:val="003C118A"/>
    <w:rsid w:val="003C1ABC"/>
    <w:rsid w:val="003C23DD"/>
    <w:rsid w:val="003C30C3"/>
    <w:rsid w:val="003C3F14"/>
    <w:rsid w:val="003C4895"/>
    <w:rsid w:val="003C7BA5"/>
    <w:rsid w:val="003E04F1"/>
    <w:rsid w:val="003E2083"/>
    <w:rsid w:val="003E2DB7"/>
    <w:rsid w:val="003E2DFD"/>
    <w:rsid w:val="003E695B"/>
    <w:rsid w:val="003F466F"/>
    <w:rsid w:val="004011CD"/>
    <w:rsid w:val="00406AEB"/>
    <w:rsid w:val="00407431"/>
    <w:rsid w:val="004216AA"/>
    <w:rsid w:val="004243CD"/>
    <w:rsid w:val="004259C9"/>
    <w:rsid w:val="00431463"/>
    <w:rsid w:val="00432D0C"/>
    <w:rsid w:val="00433621"/>
    <w:rsid w:val="004345B6"/>
    <w:rsid w:val="00436224"/>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4455"/>
    <w:rsid w:val="00477A7C"/>
    <w:rsid w:val="0048228C"/>
    <w:rsid w:val="00485498"/>
    <w:rsid w:val="0049018C"/>
    <w:rsid w:val="004903A3"/>
    <w:rsid w:val="00493D2B"/>
    <w:rsid w:val="004945D5"/>
    <w:rsid w:val="004A0C5D"/>
    <w:rsid w:val="004A163D"/>
    <w:rsid w:val="004A413A"/>
    <w:rsid w:val="004A4E42"/>
    <w:rsid w:val="004A55B0"/>
    <w:rsid w:val="004B0710"/>
    <w:rsid w:val="004B3AD5"/>
    <w:rsid w:val="004B54A0"/>
    <w:rsid w:val="004C2304"/>
    <w:rsid w:val="004C3CBB"/>
    <w:rsid w:val="004D2108"/>
    <w:rsid w:val="004D76DB"/>
    <w:rsid w:val="004D7C26"/>
    <w:rsid w:val="004E4794"/>
    <w:rsid w:val="004E4D6F"/>
    <w:rsid w:val="004E512B"/>
    <w:rsid w:val="005004C8"/>
    <w:rsid w:val="005044EF"/>
    <w:rsid w:val="00504B14"/>
    <w:rsid w:val="00505C16"/>
    <w:rsid w:val="0050671E"/>
    <w:rsid w:val="00515B64"/>
    <w:rsid w:val="00515E5C"/>
    <w:rsid w:val="00522FA9"/>
    <w:rsid w:val="00524456"/>
    <w:rsid w:val="00526B2A"/>
    <w:rsid w:val="0053041C"/>
    <w:rsid w:val="0053547A"/>
    <w:rsid w:val="0053784D"/>
    <w:rsid w:val="0054345E"/>
    <w:rsid w:val="00543906"/>
    <w:rsid w:val="00547016"/>
    <w:rsid w:val="005513BE"/>
    <w:rsid w:val="00552B63"/>
    <w:rsid w:val="00552E28"/>
    <w:rsid w:val="00553229"/>
    <w:rsid w:val="00556236"/>
    <w:rsid w:val="005568C1"/>
    <w:rsid w:val="005604BE"/>
    <w:rsid w:val="005639B4"/>
    <w:rsid w:val="00565953"/>
    <w:rsid w:val="0057065B"/>
    <w:rsid w:val="00574E1D"/>
    <w:rsid w:val="00575758"/>
    <w:rsid w:val="00575FE0"/>
    <w:rsid w:val="00576DBC"/>
    <w:rsid w:val="005773B5"/>
    <w:rsid w:val="0057785A"/>
    <w:rsid w:val="00582EDF"/>
    <w:rsid w:val="00584694"/>
    <w:rsid w:val="005904F6"/>
    <w:rsid w:val="00592809"/>
    <w:rsid w:val="005A2BC1"/>
    <w:rsid w:val="005A2DE8"/>
    <w:rsid w:val="005A301C"/>
    <w:rsid w:val="005A42D7"/>
    <w:rsid w:val="005A5C5D"/>
    <w:rsid w:val="005B11E8"/>
    <w:rsid w:val="005B19E4"/>
    <w:rsid w:val="005B2751"/>
    <w:rsid w:val="005B3745"/>
    <w:rsid w:val="005C2E80"/>
    <w:rsid w:val="005C3649"/>
    <w:rsid w:val="005D0CE8"/>
    <w:rsid w:val="005D536F"/>
    <w:rsid w:val="005D70F7"/>
    <w:rsid w:val="005D7FF0"/>
    <w:rsid w:val="005E3100"/>
    <w:rsid w:val="005E42A7"/>
    <w:rsid w:val="005E5DEF"/>
    <w:rsid w:val="005F1550"/>
    <w:rsid w:val="005F23E7"/>
    <w:rsid w:val="005F2598"/>
    <w:rsid w:val="005F3720"/>
    <w:rsid w:val="005F604A"/>
    <w:rsid w:val="005F79D9"/>
    <w:rsid w:val="00601826"/>
    <w:rsid w:val="00602776"/>
    <w:rsid w:val="00603C16"/>
    <w:rsid w:val="006073DC"/>
    <w:rsid w:val="0060793F"/>
    <w:rsid w:val="006161B2"/>
    <w:rsid w:val="00617568"/>
    <w:rsid w:val="00621743"/>
    <w:rsid w:val="006218A9"/>
    <w:rsid w:val="00622097"/>
    <w:rsid w:val="00626220"/>
    <w:rsid w:val="006314DC"/>
    <w:rsid w:val="006355AB"/>
    <w:rsid w:val="00635B17"/>
    <w:rsid w:val="006362F7"/>
    <w:rsid w:val="00643C3C"/>
    <w:rsid w:val="00643F2E"/>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C1A98"/>
    <w:rsid w:val="006C3328"/>
    <w:rsid w:val="006C51F4"/>
    <w:rsid w:val="006C5EDE"/>
    <w:rsid w:val="006C714B"/>
    <w:rsid w:val="006C73EE"/>
    <w:rsid w:val="006D6E89"/>
    <w:rsid w:val="006E0E85"/>
    <w:rsid w:val="006E4319"/>
    <w:rsid w:val="006F1885"/>
    <w:rsid w:val="006F213F"/>
    <w:rsid w:val="006F34F1"/>
    <w:rsid w:val="006F5AD1"/>
    <w:rsid w:val="006F5E74"/>
    <w:rsid w:val="006F6F99"/>
    <w:rsid w:val="006F704E"/>
    <w:rsid w:val="00700547"/>
    <w:rsid w:val="00700C68"/>
    <w:rsid w:val="007028F6"/>
    <w:rsid w:val="00705F52"/>
    <w:rsid w:val="00706C96"/>
    <w:rsid w:val="00710188"/>
    <w:rsid w:val="00712916"/>
    <w:rsid w:val="007143FA"/>
    <w:rsid w:val="0072035C"/>
    <w:rsid w:val="007204F4"/>
    <w:rsid w:val="00721BAD"/>
    <w:rsid w:val="00722A9B"/>
    <w:rsid w:val="00722B8B"/>
    <w:rsid w:val="00725060"/>
    <w:rsid w:val="00734AB0"/>
    <w:rsid w:val="00735DFF"/>
    <w:rsid w:val="00736D62"/>
    <w:rsid w:val="00736FC1"/>
    <w:rsid w:val="007402B9"/>
    <w:rsid w:val="007413B7"/>
    <w:rsid w:val="007427A3"/>
    <w:rsid w:val="00743A4B"/>
    <w:rsid w:val="00743FD9"/>
    <w:rsid w:val="00764491"/>
    <w:rsid w:val="0077714B"/>
    <w:rsid w:val="00780104"/>
    <w:rsid w:val="00780A31"/>
    <w:rsid w:val="00784D09"/>
    <w:rsid w:val="007874F9"/>
    <w:rsid w:val="00790BD0"/>
    <w:rsid w:val="007912A5"/>
    <w:rsid w:val="00791835"/>
    <w:rsid w:val="007953D6"/>
    <w:rsid w:val="007979F7"/>
    <w:rsid w:val="00797E50"/>
    <w:rsid w:val="007A1A47"/>
    <w:rsid w:val="007A20B9"/>
    <w:rsid w:val="007A245E"/>
    <w:rsid w:val="007A387B"/>
    <w:rsid w:val="007A4F9B"/>
    <w:rsid w:val="007A5671"/>
    <w:rsid w:val="007B070B"/>
    <w:rsid w:val="007B1235"/>
    <w:rsid w:val="007B131D"/>
    <w:rsid w:val="007B1AB2"/>
    <w:rsid w:val="007B2F43"/>
    <w:rsid w:val="007B368B"/>
    <w:rsid w:val="007B4A59"/>
    <w:rsid w:val="007B64F1"/>
    <w:rsid w:val="007C4B57"/>
    <w:rsid w:val="007C4EF6"/>
    <w:rsid w:val="007C5928"/>
    <w:rsid w:val="007D055A"/>
    <w:rsid w:val="007D0B50"/>
    <w:rsid w:val="007D1830"/>
    <w:rsid w:val="007D2C05"/>
    <w:rsid w:val="007D3D9D"/>
    <w:rsid w:val="007D411F"/>
    <w:rsid w:val="007D6602"/>
    <w:rsid w:val="007D72DD"/>
    <w:rsid w:val="007E210A"/>
    <w:rsid w:val="007E4EF5"/>
    <w:rsid w:val="007E6605"/>
    <w:rsid w:val="007F0B50"/>
    <w:rsid w:val="007F3FE3"/>
    <w:rsid w:val="007F4494"/>
    <w:rsid w:val="007F638F"/>
    <w:rsid w:val="008011CC"/>
    <w:rsid w:val="00806D15"/>
    <w:rsid w:val="0081003B"/>
    <w:rsid w:val="00811769"/>
    <w:rsid w:val="00814936"/>
    <w:rsid w:val="00816259"/>
    <w:rsid w:val="008201CE"/>
    <w:rsid w:val="00820E3C"/>
    <w:rsid w:val="008221E1"/>
    <w:rsid w:val="00823494"/>
    <w:rsid w:val="00824469"/>
    <w:rsid w:val="00825A2F"/>
    <w:rsid w:val="00827E17"/>
    <w:rsid w:val="00830A2F"/>
    <w:rsid w:val="00833873"/>
    <w:rsid w:val="00833D83"/>
    <w:rsid w:val="00840649"/>
    <w:rsid w:val="0084144C"/>
    <w:rsid w:val="0084276A"/>
    <w:rsid w:val="00844CC2"/>
    <w:rsid w:val="00850DCA"/>
    <w:rsid w:val="00851804"/>
    <w:rsid w:val="0085477C"/>
    <w:rsid w:val="00857251"/>
    <w:rsid w:val="0086158E"/>
    <w:rsid w:val="008620FC"/>
    <w:rsid w:val="008631A0"/>
    <w:rsid w:val="0086611E"/>
    <w:rsid w:val="00866B39"/>
    <w:rsid w:val="008702B5"/>
    <w:rsid w:val="00872780"/>
    <w:rsid w:val="00876F97"/>
    <w:rsid w:val="008815FA"/>
    <w:rsid w:val="00883814"/>
    <w:rsid w:val="00883D7B"/>
    <w:rsid w:val="008872F3"/>
    <w:rsid w:val="0089044E"/>
    <w:rsid w:val="008906FE"/>
    <w:rsid w:val="00892956"/>
    <w:rsid w:val="00893BC6"/>
    <w:rsid w:val="00894860"/>
    <w:rsid w:val="00897E65"/>
    <w:rsid w:val="008A1099"/>
    <w:rsid w:val="008A1ACB"/>
    <w:rsid w:val="008A28B3"/>
    <w:rsid w:val="008A41CE"/>
    <w:rsid w:val="008A46C9"/>
    <w:rsid w:val="008A6C80"/>
    <w:rsid w:val="008A6C8D"/>
    <w:rsid w:val="008B0384"/>
    <w:rsid w:val="008B0F1F"/>
    <w:rsid w:val="008B0F75"/>
    <w:rsid w:val="008B2AF3"/>
    <w:rsid w:val="008B4F2F"/>
    <w:rsid w:val="008B6A50"/>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103A"/>
    <w:rsid w:val="00911A00"/>
    <w:rsid w:val="00914416"/>
    <w:rsid w:val="00917914"/>
    <w:rsid w:val="00917B4E"/>
    <w:rsid w:val="00917F54"/>
    <w:rsid w:val="00920EB0"/>
    <w:rsid w:val="009230E2"/>
    <w:rsid w:val="009262E4"/>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520DB"/>
    <w:rsid w:val="009533EB"/>
    <w:rsid w:val="00955B9E"/>
    <w:rsid w:val="0095623D"/>
    <w:rsid w:val="0095749C"/>
    <w:rsid w:val="00960F5A"/>
    <w:rsid w:val="0097629E"/>
    <w:rsid w:val="00980086"/>
    <w:rsid w:val="00986E54"/>
    <w:rsid w:val="00987D7F"/>
    <w:rsid w:val="00990A63"/>
    <w:rsid w:val="00992153"/>
    <w:rsid w:val="00992208"/>
    <w:rsid w:val="009961D1"/>
    <w:rsid w:val="009968A4"/>
    <w:rsid w:val="009A1688"/>
    <w:rsid w:val="009A26E4"/>
    <w:rsid w:val="009A3046"/>
    <w:rsid w:val="009A33AB"/>
    <w:rsid w:val="009A43F0"/>
    <w:rsid w:val="009A4E8D"/>
    <w:rsid w:val="009A5A9A"/>
    <w:rsid w:val="009A5CBD"/>
    <w:rsid w:val="009A6664"/>
    <w:rsid w:val="009A6F4F"/>
    <w:rsid w:val="009B4A46"/>
    <w:rsid w:val="009B4B0F"/>
    <w:rsid w:val="009C015E"/>
    <w:rsid w:val="009C1FC6"/>
    <w:rsid w:val="009C2E26"/>
    <w:rsid w:val="009C391C"/>
    <w:rsid w:val="009C3E51"/>
    <w:rsid w:val="009C6894"/>
    <w:rsid w:val="009D11C5"/>
    <w:rsid w:val="009D1302"/>
    <w:rsid w:val="009D3082"/>
    <w:rsid w:val="009D41E3"/>
    <w:rsid w:val="009D43C4"/>
    <w:rsid w:val="009D5D53"/>
    <w:rsid w:val="009D6B4B"/>
    <w:rsid w:val="009E11CB"/>
    <w:rsid w:val="009E2CCD"/>
    <w:rsid w:val="009E35CA"/>
    <w:rsid w:val="009E4970"/>
    <w:rsid w:val="009E4FBA"/>
    <w:rsid w:val="009E605F"/>
    <w:rsid w:val="009E6CBE"/>
    <w:rsid w:val="009F0D83"/>
    <w:rsid w:val="009F380D"/>
    <w:rsid w:val="009F4F96"/>
    <w:rsid w:val="009F5A4A"/>
    <w:rsid w:val="009F61D5"/>
    <w:rsid w:val="009F7064"/>
    <w:rsid w:val="009F7BE9"/>
    <w:rsid w:val="00A000D8"/>
    <w:rsid w:val="00A0151E"/>
    <w:rsid w:val="00A036C4"/>
    <w:rsid w:val="00A06D91"/>
    <w:rsid w:val="00A0776A"/>
    <w:rsid w:val="00A07955"/>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50983"/>
    <w:rsid w:val="00A50F05"/>
    <w:rsid w:val="00A55CBF"/>
    <w:rsid w:val="00A574EA"/>
    <w:rsid w:val="00A6100C"/>
    <w:rsid w:val="00A618A0"/>
    <w:rsid w:val="00A63B9D"/>
    <w:rsid w:val="00A6600C"/>
    <w:rsid w:val="00A66A88"/>
    <w:rsid w:val="00A709CB"/>
    <w:rsid w:val="00A74B24"/>
    <w:rsid w:val="00A82CAC"/>
    <w:rsid w:val="00A82E47"/>
    <w:rsid w:val="00A858AB"/>
    <w:rsid w:val="00A8672B"/>
    <w:rsid w:val="00A86FEE"/>
    <w:rsid w:val="00A874E8"/>
    <w:rsid w:val="00A90BCE"/>
    <w:rsid w:val="00A91881"/>
    <w:rsid w:val="00A92659"/>
    <w:rsid w:val="00A93AAA"/>
    <w:rsid w:val="00A94ACE"/>
    <w:rsid w:val="00A95627"/>
    <w:rsid w:val="00AA06BB"/>
    <w:rsid w:val="00AA14CA"/>
    <w:rsid w:val="00AA1C7E"/>
    <w:rsid w:val="00AA1E0A"/>
    <w:rsid w:val="00AA6B69"/>
    <w:rsid w:val="00AB64E9"/>
    <w:rsid w:val="00AC0717"/>
    <w:rsid w:val="00AC1DAD"/>
    <w:rsid w:val="00AC38DB"/>
    <w:rsid w:val="00AC4E22"/>
    <w:rsid w:val="00AC7804"/>
    <w:rsid w:val="00AD2A30"/>
    <w:rsid w:val="00AD635D"/>
    <w:rsid w:val="00AE1B85"/>
    <w:rsid w:val="00AE1FD0"/>
    <w:rsid w:val="00AE34B0"/>
    <w:rsid w:val="00AE3858"/>
    <w:rsid w:val="00AE6BE9"/>
    <w:rsid w:val="00AE730D"/>
    <w:rsid w:val="00AF199F"/>
    <w:rsid w:val="00AF577B"/>
    <w:rsid w:val="00AF70B3"/>
    <w:rsid w:val="00AF7D17"/>
    <w:rsid w:val="00B02EDC"/>
    <w:rsid w:val="00B030DF"/>
    <w:rsid w:val="00B042AA"/>
    <w:rsid w:val="00B07D94"/>
    <w:rsid w:val="00B129C7"/>
    <w:rsid w:val="00B13799"/>
    <w:rsid w:val="00B152AD"/>
    <w:rsid w:val="00B15D4C"/>
    <w:rsid w:val="00B15FF6"/>
    <w:rsid w:val="00B160DF"/>
    <w:rsid w:val="00B21A00"/>
    <w:rsid w:val="00B267EC"/>
    <w:rsid w:val="00B27E8C"/>
    <w:rsid w:val="00B3528C"/>
    <w:rsid w:val="00B35C8F"/>
    <w:rsid w:val="00B36029"/>
    <w:rsid w:val="00B37A64"/>
    <w:rsid w:val="00B401DA"/>
    <w:rsid w:val="00B40793"/>
    <w:rsid w:val="00B4291C"/>
    <w:rsid w:val="00B42C80"/>
    <w:rsid w:val="00B44E93"/>
    <w:rsid w:val="00B52F9E"/>
    <w:rsid w:val="00B550FD"/>
    <w:rsid w:val="00B57E38"/>
    <w:rsid w:val="00B609A9"/>
    <w:rsid w:val="00B61D6C"/>
    <w:rsid w:val="00B62424"/>
    <w:rsid w:val="00B62489"/>
    <w:rsid w:val="00B70B8F"/>
    <w:rsid w:val="00B739D1"/>
    <w:rsid w:val="00B74D1A"/>
    <w:rsid w:val="00B7691E"/>
    <w:rsid w:val="00B8234F"/>
    <w:rsid w:val="00B823E2"/>
    <w:rsid w:val="00B82746"/>
    <w:rsid w:val="00B860DF"/>
    <w:rsid w:val="00B862EA"/>
    <w:rsid w:val="00B87CC5"/>
    <w:rsid w:val="00B97F5F"/>
    <w:rsid w:val="00BA285F"/>
    <w:rsid w:val="00BA39A1"/>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21DD2"/>
    <w:rsid w:val="00C22CF9"/>
    <w:rsid w:val="00C2391C"/>
    <w:rsid w:val="00C24688"/>
    <w:rsid w:val="00C24884"/>
    <w:rsid w:val="00C248B1"/>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61F49"/>
    <w:rsid w:val="00C62A2D"/>
    <w:rsid w:val="00C64339"/>
    <w:rsid w:val="00C649E6"/>
    <w:rsid w:val="00C76E56"/>
    <w:rsid w:val="00C76F00"/>
    <w:rsid w:val="00C80CEE"/>
    <w:rsid w:val="00C82016"/>
    <w:rsid w:val="00C822FE"/>
    <w:rsid w:val="00C85FD4"/>
    <w:rsid w:val="00C87222"/>
    <w:rsid w:val="00C931A4"/>
    <w:rsid w:val="00CA106A"/>
    <w:rsid w:val="00CA146F"/>
    <w:rsid w:val="00CA63B8"/>
    <w:rsid w:val="00CB1BC0"/>
    <w:rsid w:val="00CB2AAB"/>
    <w:rsid w:val="00CB61D1"/>
    <w:rsid w:val="00CB7771"/>
    <w:rsid w:val="00CC15BB"/>
    <w:rsid w:val="00CC4DD7"/>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9FE"/>
    <w:rsid w:val="00D013E3"/>
    <w:rsid w:val="00D014DA"/>
    <w:rsid w:val="00D05A91"/>
    <w:rsid w:val="00D05D8E"/>
    <w:rsid w:val="00D06EAF"/>
    <w:rsid w:val="00D10AB3"/>
    <w:rsid w:val="00D1251F"/>
    <w:rsid w:val="00D20DC0"/>
    <w:rsid w:val="00D21AB3"/>
    <w:rsid w:val="00D3169E"/>
    <w:rsid w:val="00D3274C"/>
    <w:rsid w:val="00D32904"/>
    <w:rsid w:val="00D33560"/>
    <w:rsid w:val="00D36701"/>
    <w:rsid w:val="00D50B00"/>
    <w:rsid w:val="00D50C82"/>
    <w:rsid w:val="00D572CB"/>
    <w:rsid w:val="00D577C4"/>
    <w:rsid w:val="00D642D5"/>
    <w:rsid w:val="00D64525"/>
    <w:rsid w:val="00D71947"/>
    <w:rsid w:val="00D71FFD"/>
    <w:rsid w:val="00D752C8"/>
    <w:rsid w:val="00D7704F"/>
    <w:rsid w:val="00D811CD"/>
    <w:rsid w:val="00D81453"/>
    <w:rsid w:val="00D82D08"/>
    <w:rsid w:val="00D91D92"/>
    <w:rsid w:val="00D921FF"/>
    <w:rsid w:val="00D9652D"/>
    <w:rsid w:val="00DA3D51"/>
    <w:rsid w:val="00DA6E65"/>
    <w:rsid w:val="00DA77AE"/>
    <w:rsid w:val="00DA7D29"/>
    <w:rsid w:val="00DB1415"/>
    <w:rsid w:val="00DB1550"/>
    <w:rsid w:val="00DB338E"/>
    <w:rsid w:val="00DB466A"/>
    <w:rsid w:val="00DC2DC7"/>
    <w:rsid w:val="00DD088A"/>
    <w:rsid w:val="00DE0443"/>
    <w:rsid w:val="00DE15C2"/>
    <w:rsid w:val="00DE18BB"/>
    <w:rsid w:val="00DE3692"/>
    <w:rsid w:val="00DF0D81"/>
    <w:rsid w:val="00DF15B9"/>
    <w:rsid w:val="00DF2732"/>
    <w:rsid w:val="00DF70CE"/>
    <w:rsid w:val="00E02165"/>
    <w:rsid w:val="00E038E4"/>
    <w:rsid w:val="00E05D2C"/>
    <w:rsid w:val="00E06C6C"/>
    <w:rsid w:val="00E106F6"/>
    <w:rsid w:val="00E1131D"/>
    <w:rsid w:val="00E14C9F"/>
    <w:rsid w:val="00E16911"/>
    <w:rsid w:val="00E231A2"/>
    <w:rsid w:val="00E23C5D"/>
    <w:rsid w:val="00E25659"/>
    <w:rsid w:val="00E25D29"/>
    <w:rsid w:val="00E33051"/>
    <w:rsid w:val="00E34093"/>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7122F"/>
    <w:rsid w:val="00E712E9"/>
    <w:rsid w:val="00E731E6"/>
    <w:rsid w:val="00E80133"/>
    <w:rsid w:val="00E80424"/>
    <w:rsid w:val="00E8167B"/>
    <w:rsid w:val="00E82B99"/>
    <w:rsid w:val="00E83DB7"/>
    <w:rsid w:val="00E83F86"/>
    <w:rsid w:val="00E86D1E"/>
    <w:rsid w:val="00E92083"/>
    <w:rsid w:val="00E976C9"/>
    <w:rsid w:val="00EA1031"/>
    <w:rsid w:val="00EA155A"/>
    <w:rsid w:val="00EA1E12"/>
    <w:rsid w:val="00EA2FF3"/>
    <w:rsid w:val="00EA511B"/>
    <w:rsid w:val="00EA66B8"/>
    <w:rsid w:val="00EA73A2"/>
    <w:rsid w:val="00EA7E49"/>
    <w:rsid w:val="00EB0C39"/>
    <w:rsid w:val="00EB3A72"/>
    <w:rsid w:val="00EB6194"/>
    <w:rsid w:val="00EB7630"/>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23FC"/>
    <w:rsid w:val="00F02685"/>
    <w:rsid w:val="00F02B14"/>
    <w:rsid w:val="00F03B90"/>
    <w:rsid w:val="00F067D4"/>
    <w:rsid w:val="00F0752E"/>
    <w:rsid w:val="00F1304D"/>
    <w:rsid w:val="00F13578"/>
    <w:rsid w:val="00F13688"/>
    <w:rsid w:val="00F140F3"/>
    <w:rsid w:val="00F148A1"/>
    <w:rsid w:val="00F16B47"/>
    <w:rsid w:val="00F20B21"/>
    <w:rsid w:val="00F21773"/>
    <w:rsid w:val="00F22007"/>
    <w:rsid w:val="00F22540"/>
    <w:rsid w:val="00F22AD1"/>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44CB"/>
    <w:rsid w:val="00F66882"/>
    <w:rsid w:val="00F7316D"/>
    <w:rsid w:val="00F7424D"/>
    <w:rsid w:val="00F77925"/>
    <w:rsid w:val="00F77ACB"/>
    <w:rsid w:val="00F8244E"/>
    <w:rsid w:val="00F82954"/>
    <w:rsid w:val="00F82E50"/>
    <w:rsid w:val="00F84441"/>
    <w:rsid w:val="00F85D19"/>
    <w:rsid w:val="00FA02F6"/>
    <w:rsid w:val="00FA13BB"/>
    <w:rsid w:val="00FA6214"/>
    <w:rsid w:val="00FB1E0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DE4F-4DF2-4649-9DCA-3637EB36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246</TotalTime>
  <Pages>6</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802.19-10/0156r0</vt:lpstr>
    </vt:vector>
  </TitlesOfParts>
  <Company>Some Company</Company>
  <LinksUpToDate>false</LinksUpToDate>
  <CharactersWithSpaces>8767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kasslin</cp:lastModifiedBy>
  <cp:revision>36</cp:revision>
  <cp:lastPrinted>1900-12-31T21:00:00Z</cp:lastPrinted>
  <dcterms:created xsi:type="dcterms:W3CDTF">2011-01-14T12:27:00Z</dcterms:created>
  <dcterms:modified xsi:type="dcterms:W3CDTF">2011-05-11T17:30:00Z</dcterms:modified>
</cp:coreProperties>
</file>