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F20611E" w:rsidR="002E16F1" w:rsidRDefault="00970CB9" w:rsidP="005C5C3F">
            <w:pPr>
              <w:pStyle w:val="T2"/>
              <w:widowControl w:val="0"/>
              <w:rPr>
                <w:b w:val="0"/>
              </w:rPr>
            </w:pPr>
            <w:r>
              <w:rPr>
                <w:b w:val="0"/>
                <w:bCs/>
              </w:rPr>
              <w:t>Draft</w:t>
            </w:r>
            <w:r w:rsidR="00C7299F">
              <w:rPr>
                <w:b w:val="0"/>
                <w:bCs/>
              </w:rPr>
              <w:t xml:space="preserve"> </w:t>
            </w:r>
            <w:r w:rsidR="00E640DE" w:rsidRPr="00E640DE">
              <w:rPr>
                <w:b w:val="0"/>
                <w:bCs/>
              </w:rPr>
              <w:t>response to</w:t>
            </w:r>
            <w:r>
              <w:rPr>
                <w:b w:val="0"/>
                <w:bCs/>
              </w:rPr>
              <w:t xml:space="preserve"> </w:t>
            </w:r>
            <w:r w:rsidR="009720BE">
              <w:rPr>
                <w:b w:val="0"/>
                <w:bCs/>
              </w:rPr>
              <w:t>Lithuania RRT’s</w:t>
            </w:r>
            <w:r w:rsidR="007C5F7C">
              <w:rPr>
                <w:b w:val="0"/>
                <w:bCs/>
              </w:rPr>
              <w:t xml:space="preserve"> consultation </w:t>
            </w:r>
            <w:r w:rsidR="009720BE">
              <w:rPr>
                <w:b w:val="0"/>
                <w:bCs/>
              </w:rPr>
              <w:t>re the upper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37FD5FFC" w:rsidR="002E16F1" w:rsidRDefault="007C1BD0" w:rsidP="005C5C3F">
            <w:pPr>
              <w:pStyle w:val="T2"/>
              <w:widowControl w:val="0"/>
              <w:ind w:left="0"/>
              <w:rPr>
                <w:b w:val="0"/>
                <w:sz w:val="20"/>
              </w:rPr>
            </w:pPr>
            <w:r>
              <w:rPr>
                <w:b w:val="0"/>
                <w:sz w:val="20"/>
              </w:rPr>
              <w:t>Date:  202</w:t>
            </w:r>
            <w:r w:rsidR="005C5C3F">
              <w:rPr>
                <w:b w:val="0"/>
                <w:sz w:val="20"/>
              </w:rPr>
              <w:t>5</w:t>
            </w:r>
            <w:r>
              <w:rPr>
                <w:b w:val="0"/>
                <w:sz w:val="20"/>
              </w:rPr>
              <w:t>-</w:t>
            </w:r>
            <w:r w:rsidR="005C5C3F">
              <w:rPr>
                <w:b w:val="0"/>
                <w:sz w:val="20"/>
              </w:rPr>
              <w:t>0</w:t>
            </w:r>
            <w:r w:rsidR="00485A12">
              <w:rPr>
                <w:b w:val="0"/>
                <w:sz w:val="20"/>
              </w:rPr>
              <w:t>3</w:t>
            </w:r>
            <w:r>
              <w:rPr>
                <w:b w:val="0"/>
                <w:sz w:val="20"/>
              </w:rPr>
              <w:t>-</w:t>
            </w:r>
            <w:r w:rsidR="009720BE">
              <w:rPr>
                <w:b w:val="0"/>
                <w:sz w:val="20"/>
              </w:rPr>
              <w:t>2</w:t>
            </w:r>
            <w:r w:rsidR="00934B25">
              <w:rPr>
                <w:b w:val="0"/>
                <w:sz w:val="20"/>
              </w:rPr>
              <w:t>8</w:t>
            </w:r>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14C2C2CA" w:rsidR="002E16F1" w:rsidRDefault="00DD713D">
            <w:pPr>
              <w:pStyle w:val="T2"/>
              <w:widowControl w:val="0"/>
              <w:spacing w:after="0"/>
              <w:ind w:left="0" w:right="0"/>
              <w:jc w:val="left"/>
              <w:rPr>
                <w:b w:val="0"/>
                <w:sz w:val="20"/>
              </w:rPr>
            </w:pPr>
            <w:r>
              <w:rPr>
                <w:b w:val="0"/>
                <w:sz w:val="20"/>
              </w:rPr>
              <w:t>E</w:t>
            </w:r>
            <w:r w:rsidR="00BB50B1">
              <w:rPr>
                <w:b w:val="0"/>
                <w:sz w:val="20"/>
              </w:rPr>
              <w:t>mail</w:t>
            </w:r>
          </w:p>
        </w:tc>
      </w:tr>
      <w:tr w:rsidR="00485A12" w14:paraId="047ED363"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B5197C4" w14:textId="77777777" w:rsidR="00485A12" w:rsidRDefault="00485A12" w:rsidP="006929E7">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44380FEC" w14:textId="77777777" w:rsidR="00485A12" w:rsidRDefault="00485A12"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35C7A2C8" w14:textId="77777777" w:rsidR="00485A12" w:rsidRDefault="00485A12"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6BCA886" w14:textId="77777777" w:rsidR="00485A12" w:rsidRDefault="00485A12"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4E99FCAA" w14:textId="77777777" w:rsidR="00485A12" w:rsidRDefault="00485A12" w:rsidP="006929E7">
            <w:pPr>
              <w:pStyle w:val="T2"/>
              <w:widowControl w:val="0"/>
              <w:spacing w:after="0"/>
              <w:ind w:left="0" w:right="0"/>
              <w:jc w:val="left"/>
              <w:rPr>
                <w:b w:val="0"/>
                <w:sz w:val="20"/>
              </w:rPr>
            </w:pPr>
            <w:r>
              <w:rPr>
                <w:rStyle w:val="Hyperlink"/>
                <w:b w:val="0"/>
                <w:sz w:val="20"/>
              </w:rPr>
              <w:t>edward.ks.au@gmail.com</w:t>
            </w:r>
          </w:p>
        </w:tc>
      </w:tr>
      <w:tr w:rsidR="00263008" w14:paraId="4E812AB8" w14:textId="77777777" w:rsidTr="009039A0">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254CDD8F" w14:textId="77777777" w:rsidR="00263008" w:rsidRDefault="00263008" w:rsidP="009039A0">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10DC78E4" w14:textId="77777777" w:rsidR="00263008" w:rsidRDefault="00263008" w:rsidP="009039A0">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7516704F" w14:textId="77777777" w:rsidR="00263008" w:rsidRDefault="00263008" w:rsidP="009039A0">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8DF6A5A" w14:textId="77777777" w:rsidR="00263008" w:rsidRDefault="00263008" w:rsidP="009039A0">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DFFEF04" w14:textId="77777777" w:rsidR="00263008" w:rsidRDefault="00263008" w:rsidP="009039A0">
            <w:pPr>
              <w:pStyle w:val="T2"/>
              <w:widowControl w:val="0"/>
              <w:spacing w:after="0"/>
              <w:ind w:left="0" w:right="0"/>
              <w:jc w:val="left"/>
              <w:rPr>
                <w:rStyle w:val="Hyperlink"/>
                <w:b w:val="0"/>
                <w:sz w:val="20"/>
              </w:rPr>
            </w:pPr>
          </w:p>
        </w:tc>
      </w:tr>
      <w:tr w:rsidR="00F11C57" w14:paraId="6BCE4EEA" w14:textId="77777777" w:rsidTr="006929E7">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802440" w14:textId="0ACF4689" w:rsidR="00F11C57" w:rsidRDefault="00263008" w:rsidP="006929E7">
            <w:pPr>
              <w:pStyle w:val="T2"/>
              <w:widowControl w:val="0"/>
              <w:spacing w:after="0"/>
              <w:ind w:left="0" w:right="0"/>
              <w:jc w:val="left"/>
              <w:rPr>
                <w:b w:val="0"/>
                <w:sz w:val="20"/>
              </w:rPr>
            </w:pPr>
            <w:r>
              <w:rPr>
                <w:b w:val="0"/>
                <w:sz w:val="20"/>
              </w:rPr>
              <w:t>Vijay Auluck</w:t>
            </w:r>
          </w:p>
        </w:tc>
        <w:tc>
          <w:tcPr>
            <w:tcW w:w="2430" w:type="dxa"/>
            <w:tcBorders>
              <w:top w:val="single" w:sz="4" w:space="0" w:color="000000"/>
              <w:left w:val="single" w:sz="4" w:space="0" w:color="000000"/>
              <w:bottom w:val="single" w:sz="4" w:space="0" w:color="000000"/>
              <w:right w:val="single" w:sz="4" w:space="0" w:color="000000"/>
            </w:tcBorders>
            <w:vAlign w:val="center"/>
          </w:tcPr>
          <w:p w14:paraId="6CFB731B" w14:textId="56B8D982" w:rsidR="00F11C57" w:rsidRDefault="00263008" w:rsidP="006929E7">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057BB412" w14:textId="77777777" w:rsidR="00F11C57" w:rsidRDefault="00F11C57" w:rsidP="006929E7">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75B7C12C" w14:textId="77777777" w:rsidR="00F11C57" w:rsidRDefault="00F11C57" w:rsidP="006929E7">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57A9C63" w14:textId="77777777" w:rsidR="00F11C57" w:rsidRDefault="00F11C57" w:rsidP="006929E7">
            <w:pPr>
              <w:pStyle w:val="T2"/>
              <w:widowControl w:val="0"/>
              <w:spacing w:after="0"/>
              <w:ind w:left="0" w:right="0"/>
              <w:jc w:val="left"/>
              <w:rPr>
                <w:rStyle w:val="Hyperlink"/>
                <w:b w:val="0"/>
                <w:sz w:val="20"/>
              </w:rPr>
            </w:pP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wps:txbx>
                      <wps:bodyPr anchor="t">
                        <a:noAutofit/>
                      </wps:bodyPr>
                    </wps:wsp>
                  </a:graphicData>
                </a:graphic>
              </wp:anchor>
            </w:drawing>
          </mc:Choice>
          <mc:Fallback>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9ozgEAAAIEAAAOAAAAZHJzL2Uyb0RvYy54bWysU8Fu2zAMvQ/YPwi6L06CNOiMOMWwIrsM&#10;W7F2H6DIUixAEgVJjZ2/H0W7TredOswHWbLeI/ke6d3d4Cw7q5gM+IavFkvOlJfQGn9q+M+nw4db&#10;zlIWvhUWvGr4RSV+t3//bteHWq2hA9uqyDCIT3UfGt7lHOqqSrJTTqQFBOXxUkN0IuMxnqo2ih6j&#10;O1utl8tt1UNsQwSpUsKv9+Ml31N8rZXM37VOKjPbcKwt0xppPZa12u9EfYoidEZOZYh/qMIJ4zHp&#10;HOpeZMGeo/krlDMyQgKdFxJcBVobqUgDqlkt/1Dz2ImgSAuak8JsU/p/YeW382N4iGhDH1KdcFtU&#10;DDq68sb62EBmXWaz1JCZxI83Hzc3yw16KvFufbvZrrZkZ3Wlh5jyFwWOlU3DI3aDTBLnryljSoS+&#10;QEq2BNa0B2MtHeLp+NlGdhbYuQM9pVlI+Q1mPetLaYXioZBHkPWIvUqiXb5YVXDW/1CamZaUUS45&#10;JRsHAycXZb2MB2YkQgFqjP9G7kQpbEXz+Eb+TKL84PPMd8ZDJE9eqSvbPByHqaFHaC8PkQkvO0Bx&#10;o/0ePj1n0IZaUAgjajIMB41snn6KMsmvz4S6/rr7XwAAAP//AwBQSwMEFAAGAAgAAAAhAEZ/tQ/g&#10;AAAACQEAAA8AAABkcnMvZG93bnJldi54bWxMj0FPg0AUhO8m/ofNM/Fi2qWUEEAejWliYr1ZPXjc&#10;sq9AZd8Sdkvpv3c92eNkJjPflJvZ9GKi0XWWEVbLCARxbXXHDcLX5+siA+G8Yq16y4RwJQeb6v6u&#10;VIW2F/6gae8bEUrYFQqh9X4opHR1S0a5pR2Ig3e0o1E+yLGRelSXUG56GUdRKo3qOCy0aqBtS/XP&#10;/mwQ6jeZbZ9WJzMdr6dd8n71u+9EIz4+zC/PIDzN/j8Mf/gBHarAdLBn1k70CIs8D0mEdZyACH4e&#10;p2sQB4Qki1KQVSlvH1S/AAAA//8DAFBLAQItABQABgAIAAAAIQC2gziS/gAAAOEBAAATAAAAAAAA&#10;AAAAAAAAAAAAAABbQ29udGVudF9UeXBlc10ueG1sUEsBAi0AFAAGAAgAAAAhADj9If/WAAAAlAEA&#10;AAsAAAAAAAAAAAAAAAAALwEAAF9yZWxzLy5yZWxzUEsBAi0AFAAGAAgAAAAhALrzv2jOAQAAAgQA&#10;AA4AAAAAAAAAAAAAAAAALgIAAGRycy9lMm9Eb2MueG1sUEsBAi0AFAAGAAgAAAAhAEZ/tQ/gAAAA&#10;CQEAAA8AAAAAAAAAAAAAAAAAKAQAAGRycy9kb3ducmV2LnhtbFBLBQYAAAAABAAEAPMAAAA1BQAA&#10;AAA=&#10;" o:allowincell="f" stroked="f" strokeweight="0">
                <v:textbox>
                  <w:txbxContent>
                    <w:p w14:paraId="4ABCFBE0" w14:textId="0E48EA5C"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9720BE">
                        <w:rPr>
                          <w:color w:val="000000"/>
                        </w:rPr>
                        <w:t>Lithuania Communications Regulatory Authority</w:t>
                      </w:r>
                      <w:r w:rsidR="005C5C3F">
                        <w:rPr>
                          <w:color w:val="000000"/>
                        </w:rPr>
                        <w:t xml:space="preserve"> (</w:t>
                      </w:r>
                      <w:r w:rsidR="009720BE">
                        <w:rPr>
                          <w:color w:val="000000"/>
                        </w:rPr>
                        <w:t>RRT</w:t>
                      </w:r>
                      <w:r w:rsidR="005C5C3F">
                        <w:rPr>
                          <w:color w:val="000000"/>
                        </w:rPr>
                        <w:t>)</w:t>
                      </w:r>
                      <w:r w:rsidR="00F62DF3">
                        <w:rPr>
                          <w:color w:val="000000"/>
                        </w:rPr>
                        <w:t>’s</w:t>
                      </w:r>
                      <w:r w:rsidR="00A80C31" w:rsidRPr="00A80C31">
                        <w:rPr>
                          <w:color w:val="000000"/>
                        </w:rPr>
                        <w:t xml:space="preserve"> </w:t>
                      </w:r>
                      <w:r w:rsidR="00CD4962">
                        <w:rPr>
                          <w:color w:val="000000"/>
                        </w:rPr>
                        <w:t>c</w:t>
                      </w:r>
                      <w:r w:rsidR="00CD4962" w:rsidRPr="00CD4962">
                        <w:rPr>
                          <w:color w:val="000000"/>
                        </w:rPr>
                        <w:t>onsultation “</w:t>
                      </w:r>
                      <w:r w:rsidR="009720BE" w:rsidRPr="009720BE">
                        <w:rPr>
                          <w:color w:val="000000"/>
                        </w:rPr>
                        <w:t>Public survey on the prospects for the use of the radio frequency band 6425-7125 MHz</w:t>
                      </w:r>
                      <w:r w:rsidR="005C5C3F">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6mo3wEAAD0EAAAOAAAAZHJzL2Uyb0RvYy54bWysU8Fu2zAMvQ/YPwi+N3baJeuMOEWxIrsM&#10;W9FuH6DIUixAEgVJiZ2/H8W4Trrt0mE+yJLI90g+Uqu7wRp2kCFqcE0xn1UFk05Aq92uKX7+2Fzd&#10;Fiwm7lpuwMmmOMpY3K3fv1v1vpbX0IFpZWBI4mLd+6boUvJ1WUbRScvjDLx0aFQQLE94DLuyDbxH&#10;dmvK66palj2E1gcQMka8fTgZizXxKyVF+q5UlImZpsDcEq2B1m1ey/WK17vAfafFmAb/hyws1w6D&#10;TlQPPHG2D/oPKqtFgAgqzQTYEpTSQlINWM28+q2a5457SbWgONFPMsX/Ryu+HZ79Y0AZeh/riNtc&#10;xaCCzX/Mjw0k1nESSw6JCbxcVotP8yVqKtC2+Hjz4ZbULM9oH2L6IsGyvGmKgM0gjfjha0wYEV1f&#10;XHKwCEa3G20MHcJu+9kEduDYuA19uVcIeeVmHOsxlZsFEb8yxUuGir6/MQTYu/bEbBwGOMtAu3Q0&#10;Mudj3JNUTLekBiUoRv7TMOG0oxQvI4VpEiA7KqzojdgRktGSZviN+AlE8cGlCW+1g0AyXFSXt2nY&#10;DlgePuFszTdbaI+PgXEnOsAaT61zcL9PoDS17+w16oYzSi0a31N+BJdn8jq/+vUvAAAA//8DAFBL&#10;AwQUAAYACAAAACEAP6MVv+AAAAAOAQAADwAAAGRycy9kb3ducmV2LnhtbEyPO2/CQBCE+0j5D6eN&#10;lC6cHwEjx2eEQG7oABeUh73xWdzD8p3B+fdZqqSb0Y5mvyk2s9HsjqPvnRUQLyJgaBvX9rYTUJ+r&#10;jzUwH6RtpXYWBfygh035+lLIvHUPe8T7KXSMSqzPpQAVwpBz7huFRvqFG9DS7duNRgayY8fbUT6o&#10;3GieRNGKG9lb+qDkgDuFze00GQGHy/G8U1Uf11WiDvNledPTvhbi/W3efgELOIe/MDzxCR1KYrq6&#10;ybaeafLLlLYEEmmSpcCekTjKEmBXUp9xtgJeFvz/jPIXAAD//wMAUEsBAi0AFAAGAAgAAAAhALaD&#10;OJL+AAAA4QEAABMAAAAAAAAAAAAAAAAAAAAAAFtDb250ZW50X1R5cGVzXS54bWxQSwECLQAUAAYA&#10;CAAAACEAOP0h/9YAAACUAQAACwAAAAAAAAAAAAAAAAAvAQAAX3JlbHMvLnJlbHNQSwECLQAUAAYA&#10;CAAAACEAESOpqN8BAAA9BAAADgAAAAAAAAAAAAAAAAAuAgAAZHJzL2Uyb0RvYy54bWxQSwECLQAU&#10;AAYACAAAACEAP6MVv+AAAAAOAQAADwAAAAAAAAAAAAAAAAA5BAAAZHJzL2Rvd25yZXYueG1sUEsF&#10;BgAAAAAEAAQA8wAAAEYFA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7243C2C"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B97BFD">
        <w:rPr>
          <w:sz w:val="24"/>
          <w:szCs w:val="24"/>
        </w:rPr>
        <w:t xml:space="preserve">     </w:t>
      </w:r>
      <w:r w:rsidR="000C6D1C">
        <w:rPr>
          <w:sz w:val="24"/>
          <w:szCs w:val="24"/>
        </w:rPr>
        <w:t xml:space="preserve"> </w:t>
      </w:r>
      <w:r w:rsidR="00BA0AFF">
        <w:rPr>
          <w:sz w:val="24"/>
          <w:szCs w:val="24"/>
        </w:rPr>
        <w:t xml:space="preserve">   April 18</w:t>
      </w:r>
      <w:r w:rsidRPr="008F605B">
        <w:rPr>
          <w:sz w:val="24"/>
          <w:szCs w:val="24"/>
        </w:rPr>
        <w:t>, 202</w:t>
      </w:r>
      <w:r w:rsidR="00F5259D">
        <w:rPr>
          <w:sz w:val="24"/>
          <w:szCs w:val="24"/>
        </w:rPr>
        <w:t>5</w:t>
      </w:r>
    </w:p>
    <w:p w14:paraId="2E58D05D" w14:textId="77777777" w:rsidR="002E16F1" w:rsidRPr="00B902C8" w:rsidRDefault="002E16F1">
      <w:pPr>
        <w:rPr>
          <w:color w:val="000000"/>
          <w:sz w:val="24"/>
          <w:szCs w:val="24"/>
        </w:rPr>
      </w:pPr>
    </w:p>
    <w:p w14:paraId="7D8AF27C" w14:textId="43B25DD4" w:rsidR="00B77446" w:rsidRPr="00BA0AFF"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2A548E">
        <w:rPr>
          <w:sz w:val="24"/>
          <w:szCs w:val="24"/>
        </w:rPr>
        <w:t>“</w:t>
      </w:r>
      <w:r w:rsidR="00BA0AFF" w:rsidRPr="009720BE">
        <w:rPr>
          <w:color w:val="000000"/>
        </w:rPr>
        <w:t xml:space="preserve">Public survey on the prospects for the use of the radio frequency band 6425-7125 </w:t>
      </w:r>
      <w:r w:rsidR="00BA0AFF" w:rsidRPr="00BA0AFF">
        <w:rPr>
          <w:color w:val="000000"/>
          <w:sz w:val="24"/>
          <w:szCs w:val="24"/>
        </w:rPr>
        <w:t>MHz”</w:t>
      </w:r>
    </w:p>
    <w:p w14:paraId="3224BE2E" w14:textId="77777777" w:rsidR="001B321C" w:rsidRPr="00BA0AFF" w:rsidRDefault="001B321C" w:rsidP="00B77446">
      <w:pPr>
        <w:jc w:val="both"/>
        <w:rPr>
          <w:bCs/>
          <w:sz w:val="24"/>
          <w:szCs w:val="24"/>
        </w:rPr>
      </w:pPr>
    </w:p>
    <w:p w14:paraId="1512EBCE" w14:textId="35BF060B" w:rsidR="007C1BD0" w:rsidRPr="00BA0AFF" w:rsidRDefault="007C1BD0" w:rsidP="00784130">
      <w:pPr>
        <w:pStyle w:val="PlainText"/>
        <w:rPr>
          <w:rFonts w:ascii="Times New Roman" w:hAnsi="Times New Roman"/>
          <w:bCs/>
          <w:sz w:val="24"/>
          <w:szCs w:val="24"/>
        </w:rPr>
      </w:pPr>
      <w:r w:rsidRPr="00BA0AFF">
        <w:rPr>
          <w:rFonts w:ascii="Times New Roman" w:hAnsi="Times New Roman"/>
          <w:bCs/>
          <w:sz w:val="24"/>
          <w:szCs w:val="24"/>
        </w:rPr>
        <w:t>Dear</w:t>
      </w:r>
      <w:r w:rsidR="007D236C" w:rsidRPr="00BA0AFF">
        <w:rPr>
          <w:rFonts w:ascii="Times New Roman" w:hAnsi="Times New Roman"/>
          <w:bCs/>
          <w:sz w:val="24"/>
          <w:szCs w:val="24"/>
        </w:rPr>
        <w:t xml:space="preserve"> </w:t>
      </w:r>
      <w:r w:rsidR="00BE567A" w:rsidRPr="00BA0AFF">
        <w:rPr>
          <w:rFonts w:ascii="Times New Roman" w:hAnsi="Times New Roman"/>
          <w:bCs/>
          <w:sz w:val="24"/>
          <w:szCs w:val="24"/>
        </w:rPr>
        <w:t>R</w:t>
      </w:r>
      <w:r w:rsidR="00B77446" w:rsidRPr="00BA0AFF">
        <w:rPr>
          <w:rFonts w:ascii="Times New Roman" w:hAnsi="Times New Roman"/>
          <w:bCs/>
          <w:sz w:val="24"/>
          <w:szCs w:val="24"/>
        </w:rPr>
        <w:t xml:space="preserve">espected </w:t>
      </w:r>
      <w:r w:rsidR="00BE567A" w:rsidRPr="00BA0AFF">
        <w:rPr>
          <w:rFonts w:ascii="Times New Roman" w:hAnsi="Times New Roman"/>
          <w:bCs/>
          <w:sz w:val="24"/>
          <w:szCs w:val="24"/>
        </w:rPr>
        <w:t>O</w:t>
      </w:r>
      <w:r w:rsidR="00B77446" w:rsidRPr="00BA0AFF">
        <w:rPr>
          <w:rFonts w:ascii="Times New Roman" w:hAnsi="Times New Roman"/>
          <w:bCs/>
          <w:sz w:val="24"/>
          <w:szCs w:val="24"/>
        </w:rPr>
        <w:t>fficer,</w:t>
      </w:r>
    </w:p>
    <w:p w14:paraId="11ECEE2B" w14:textId="77777777" w:rsidR="007C1BD0" w:rsidRPr="00BA0AFF" w:rsidRDefault="007C1BD0" w:rsidP="007C1BD0">
      <w:pPr>
        <w:pStyle w:val="PlainText"/>
        <w:rPr>
          <w:rFonts w:ascii="Times New Roman" w:hAnsi="Times New Roman"/>
          <w:sz w:val="24"/>
          <w:szCs w:val="24"/>
        </w:rPr>
      </w:pPr>
    </w:p>
    <w:p w14:paraId="277BE7F1" w14:textId="465ECED8" w:rsidR="009A2E06" w:rsidRPr="00BA0AFF" w:rsidRDefault="00FB5724" w:rsidP="00DB1DC3">
      <w:pPr>
        <w:pStyle w:val="BodyA"/>
        <w:jc w:val="both"/>
        <w:rPr>
          <w:rStyle w:val="None"/>
          <w:sz w:val="24"/>
          <w:szCs w:val="24"/>
        </w:rPr>
      </w:pPr>
      <w:r w:rsidRPr="00BA0AFF">
        <w:rPr>
          <w:rStyle w:val="None"/>
          <w:sz w:val="24"/>
          <w:szCs w:val="24"/>
        </w:rPr>
        <w:t xml:space="preserve">IEEE 802 LAN/MAN Standards Committee (LMSC) thanks </w:t>
      </w:r>
      <w:r w:rsidR="00BA0AFF">
        <w:rPr>
          <w:rStyle w:val="None"/>
          <w:sz w:val="24"/>
          <w:szCs w:val="24"/>
        </w:rPr>
        <w:t>Communications Regulatory Authority</w:t>
      </w:r>
      <w:r w:rsidR="00A9748D" w:rsidRPr="00BA0AFF">
        <w:rPr>
          <w:rStyle w:val="None"/>
          <w:sz w:val="24"/>
          <w:szCs w:val="24"/>
        </w:rPr>
        <w:t xml:space="preserve"> (</w:t>
      </w:r>
      <w:r w:rsidR="00BA0AFF">
        <w:rPr>
          <w:rStyle w:val="None"/>
          <w:sz w:val="24"/>
          <w:szCs w:val="24"/>
        </w:rPr>
        <w:t>RRT</w:t>
      </w:r>
      <w:r w:rsidR="00CD4962" w:rsidRPr="00BA0AFF">
        <w:rPr>
          <w:rStyle w:val="None"/>
          <w:sz w:val="24"/>
          <w:szCs w:val="24"/>
        </w:rPr>
        <w:t>)</w:t>
      </w:r>
      <w:r w:rsidRPr="00BA0AFF">
        <w:rPr>
          <w:rStyle w:val="None"/>
          <w:sz w:val="24"/>
          <w:szCs w:val="24"/>
        </w:rPr>
        <w:t xml:space="preserve"> for providing an opportunity to comment on </w:t>
      </w:r>
      <w:r w:rsidR="00315419" w:rsidRPr="00BA0AFF">
        <w:rPr>
          <w:rStyle w:val="None"/>
          <w:sz w:val="24"/>
          <w:szCs w:val="24"/>
        </w:rPr>
        <w:t xml:space="preserve">the </w:t>
      </w:r>
      <w:r w:rsidR="00462319" w:rsidRPr="00BA0AFF">
        <w:rPr>
          <w:sz w:val="24"/>
          <w:szCs w:val="24"/>
        </w:rPr>
        <w:t>consultation “</w:t>
      </w:r>
      <w:r w:rsidR="00BA0AFF" w:rsidRPr="00BA0AFF">
        <w:rPr>
          <w:sz w:val="24"/>
          <w:szCs w:val="24"/>
        </w:rPr>
        <w:t>Public survey on the prospects for the use of the radio frequency band 6425-7125 MHz</w:t>
      </w:r>
      <w:r w:rsidR="00462319" w:rsidRPr="00BA0AFF">
        <w:rPr>
          <w:sz w:val="24"/>
          <w:szCs w:val="24"/>
        </w:rPr>
        <w:t>”</w:t>
      </w:r>
      <w:r w:rsidRPr="00BA0AFF">
        <w:rPr>
          <w:rStyle w:val="None"/>
          <w:sz w:val="24"/>
          <w:szCs w:val="24"/>
        </w:rPr>
        <w:t>.</w:t>
      </w:r>
    </w:p>
    <w:p w14:paraId="577DDA85" w14:textId="77777777" w:rsidR="009A2E06" w:rsidRPr="00BA0AFF" w:rsidRDefault="009A2E06" w:rsidP="009A2E06">
      <w:pPr>
        <w:pStyle w:val="BodyA"/>
        <w:jc w:val="both"/>
        <w:rPr>
          <w:rStyle w:val="None"/>
          <w:sz w:val="24"/>
          <w:szCs w:val="24"/>
        </w:rPr>
      </w:pPr>
    </w:p>
    <w:p w14:paraId="68BD7875" w14:textId="77777777" w:rsidR="00EE2707" w:rsidRPr="002443B2" w:rsidRDefault="00EE2707" w:rsidP="00EE2707">
      <w:pPr>
        <w:pStyle w:val="BodyA"/>
        <w:jc w:val="both"/>
        <w:rPr>
          <w:rStyle w:val="None"/>
          <w:sz w:val="24"/>
          <w:szCs w:val="24"/>
        </w:rPr>
      </w:pPr>
      <w:r w:rsidRPr="00BA0AFF">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w:t>
      </w:r>
      <w:r w:rsidRPr="002443B2">
        <w:rPr>
          <w:rStyle w:val="None"/>
          <w:sz w:val="24"/>
          <w:szCs w:val="24"/>
        </w:rPr>
        <w:t xml:space="preserve"> wireless reg</w:t>
      </w:r>
      <w:r>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47C31684" w14:textId="77777777" w:rsidR="00EE2707" w:rsidRPr="002443B2" w:rsidRDefault="00EE2707" w:rsidP="00EE2707">
      <w:pPr>
        <w:pStyle w:val="BodyA"/>
        <w:jc w:val="both"/>
        <w:rPr>
          <w:rStyle w:val="None"/>
          <w:sz w:val="24"/>
          <w:szCs w:val="24"/>
        </w:rPr>
      </w:pPr>
    </w:p>
    <w:p w14:paraId="2243A304" w14:textId="77777777" w:rsidR="00EE2707" w:rsidRPr="00B902C8" w:rsidRDefault="00EE2707" w:rsidP="00EE2707">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Pr>
          <w:rStyle w:val="None"/>
          <w:sz w:val="24"/>
          <w:szCs w:val="24"/>
        </w:rPr>
        <w:t xml:space="preserve"> </w:t>
      </w:r>
      <w:r w:rsidRPr="002443B2">
        <w:rPr>
          <w:rStyle w:val="None"/>
          <w:sz w:val="24"/>
          <w:szCs w:val="24"/>
        </w:rPr>
        <w:t xml:space="preserve">IEEE has </w:t>
      </w:r>
      <w:r>
        <w:rPr>
          <w:rStyle w:val="None"/>
          <w:sz w:val="24"/>
          <w:szCs w:val="24"/>
        </w:rPr>
        <w:t>over</w:t>
      </w:r>
      <w:r w:rsidRPr="002443B2">
        <w:rPr>
          <w:rStyle w:val="None"/>
          <w:sz w:val="24"/>
          <w:szCs w:val="24"/>
        </w:rPr>
        <w:t xml:space="preserve"> </w:t>
      </w:r>
      <w:r w:rsidRPr="00D54F1F">
        <w:rPr>
          <w:rStyle w:val="None"/>
          <w:sz w:val="24"/>
          <w:szCs w:val="24"/>
        </w:rPr>
        <w:t>460,000 members</w:t>
      </w:r>
      <w:r>
        <w:rPr>
          <w:rStyle w:val="None"/>
          <w:sz w:val="24"/>
          <w:szCs w:val="24"/>
        </w:rPr>
        <w:t xml:space="preserve"> in more than </w:t>
      </w:r>
      <w:r w:rsidRPr="002443B2">
        <w:rPr>
          <w:rStyle w:val="None"/>
          <w:sz w:val="24"/>
          <w:szCs w:val="24"/>
        </w:rPr>
        <w:t>1</w:t>
      </w:r>
      <w:r>
        <w:rPr>
          <w:rStyle w:val="None"/>
          <w:sz w:val="24"/>
          <w:szCs w:val="24"/>
        </w:rPr>
        <w:t>9</w:t>
      </w:r>
      <w:r w:rsidRPr="002443B2">
        <w:rPr>
          <w:rStyle w:val="None"/>
          <w:sz w:val="24"/>
          <w:szCs w:val="24"/>
        </w:rPr>
        <w:t>0 countries and its core purpose is to foster technological innovation and excellenc</w:t>
      </w:r>
      <w:r>
        <w:rPr>
          <w:rStyle w:val="None"/>
          <w:sz w:val="24"/>
          <w:szCs w:val="24"/>
        </w:rPr>
        <w:t xml:space="preserve">e for the benefit of humanity. </w:t>
      </w:r>
      <w:r w:rsidRPr="002443B2">
        <w:rPr>
          <w:rStyle w:val="None"/>
          <w:sz w:val="24"/>
          <w:szCs w:val="24"/>
        </w:rPr>
        <w:t>IEEE is also a major accredited standards development organization whose sta</w:t>
      </w:r>
      <w:r>
        <w:rPr>
          <w:rStyle w:val="None"/>
          <w:sz w:val="24"/>
          <w:szCs w:val="24"/>
        </w:rPr>
        <w:t>ndards are recognized worldwide.</w:t>
      </w:r>
      <w:r w:rsidRPr="002443B2">
        <w:rPr>
          <w:rStyle w:val="None"/>
          <w:sz w:val="24"/>
          <w:szCs w:val="24"/>
        </w:rPr>
        <w:t xml:space="preserve"> In submitting this document, IEEE 802 LMSC acknowledges and respects that other components of IEEE Organizational Units may have perspectives that differ from, or compete with, those of </w:t>
      </w:r>
      <w:r>
        <w:rPr>
          <w:rStyle w:val="None"/>
          <w:sz w:val="24"/>
          <w:szCs w:val="24"/>
        </w:rPr>
        <w:t>IEEE 802 LMSC.</w:t>
      </w:r>
      <w:r w:rsidRPr="002443B2">
        <w:rPr>
          <w:rStyle w:val="None"/>
          <w:sz w:val="24"/>
          <w:szCs w:val="24"/>
        </w:rPr>
        <w:t xml:space="preserve"> Therefore, this submission should not be construed as representing the views of IEEE as a</w:t>
      </w:r>
      <w:r>
        <w:rPr>
          <w:rStyle w:val="None"/>
          <w:sz w:val="24"/>
          <w:szCs w:val="24"/>
        </w:rPr>
        <w:t xml:space="preserve"> </w:t>
      </w:r>
      <w:r w:rsidRPr="00B902C8">
        <w:rPr>
          <w:sz w:val="24"/>
          <w:szCs w:val="24"/>
        </w:rPr>
        <w:t>whole</w:t>
      </w:r>
      <w:r w:rsidRPr="00B902C8">
        <w:rPr>
          <w:rStyle w:val="FootnoteAnchor"/>
          <w:sz w:val="24"/>
          <w:szCs w:val="24"/>
        </w:rPr>
        <w:footnoteReference w:id="1"/>
      </w:r>
      <w:r w:rsidRPr="00B902C8">
        <w:rPr>
          <w:sz w:val="24"/>
          <w:szCs w:val="24"/>
        </w:rPr>
        <w:t>.</w:t>
      </w:r>
    </w:p>
    <w:p w14:paraId="5D301292" w14:textId="77777777" w:rsidR="007C1BD0" w:rsidRPr="00B902C8" w:rsidRDefault="007C1BD0" w:rsidP="007C1BD0">
      <w:pPr>
        <w:jc w:val="both"/>
        <w:rPr>
          <w:sz w:val="24"/>
          <w:szCs w:val="24"/>
        </w:rPr>
      </w:pPr>
    </w:p>
    <w:p w14:paraId="76E01720" w14:textId="7525249A" w:rsidR="00DA7932" w:rsidRPr="00DA7932" w:rsidRDefault="006438BF" w:rsidP="00D64B57">
      <w:pPr>
        <w:jc w:val="both"/>
        <w:rPr>
          <w:sz w:val="24"/>
          <w:szCs w:val="24"/>
        </w:rPr>
      </w:pPr>
      <w:r w:rsidRPr="006438BF">
        <w:rPr>
          <w:sz w:val="24"/>
          <w:szCs w:val="24"/>
        </w:rPr>
        <w:t xml:space="preserve">IEEE 802 LMSC applauds </w:t>
      </w:r>
      <w:r w:rsidR="00BA0AFF">
        <w:rPr>
          <w:sz w:val="24"/>
          <w:szCs w:val="24"/>
        </w:rPr>
        <w:t>RRT</w:t>
      </w:r>
      <w:r w:rsidRPr="006438BF">
        <w:rPr>
          <w:sz w:val="24"/>
          <w:szCs w:val="24"/>
        </w:rPr>
        <w:t xml:space="preserve"> for </w:t>
      </w:r>
      <w:r w:rsidR="00BA0AFF">
        <w:rPr>
          <w:sz w:val="24"/>
          <w:szCs w:val="24"/>
        </w:rPr>
        <w:t>issuing a public survey in collecting stakeholders’ opinions on their use of the 6425 MHz to 7125 MHz frequency band (i.e., the upper 6 GHz band)</w:t>
      </w:r>
      <w:r>
        <w:rPr>
          <w:sz w:val="24"/>
          <w:szCs w:val="24"/>
        </w:rPr>
        <w:t xml:space="preserve">. </w:t>
      </w:r>
      <w:r w:rsidR="00397105" w:rsidRPr="00397105">
        <w:rPr>
          <w:sz w:val="24"/>
          <w:szCs w:val="24"/>
        </w:rPr>
        <w:t xml:space="preserve">Please find below the responses of IEEE 802 </w:t>
      </w:r>
      <w:r w:rsidR="00397105" w:rsidRPr="007414F0">
        <w:rPr>
          <w:sz w:val="24"/>
          <w:szCs w:val="24"/>
        </w:rPr>
        <w:t xml:space="preserve">LMSC to </w:t>
      </w:r>
      <w:r w:rsidR="001A7991" w:rsidRPr="007414F0">
        <w:rPr>
          <w:sz w:val="24"/>
          <w:szCs w:val="24"/>
        </w:rPr>
        <w:t>selected questions in</w:t>
      </w:r>
      <w:r w:rsidR="001A7991">
        <w:rPr>
          <w:sz w:val="24"/>
          <w:szCs w:val="24"/>
        </w:rPr>
        <w:t xml:space="preserve"> </w:t>
      </w:r>
      <w:r w:rsidR="00DA7932">
        <w:rPr>
          <w:sz w:val="24"/>
          <w:szCs w:val="24"/>
        </w:rPr>
        <w:t xml:space="preserve">Part B of </w:t>
      </w:r>
      <w:r w:rsidR="00397105" w:rsidRPr="00397105">
        <w:rPr>
          <w:sz w:val="24"/>
          <w:szCs w:val="24"/>
        </w:rPr>
        <w:t>this consultation</w:t>
      </w:r>
      <w:r w:rsidR="00DA7932">
        <w:rPr>
          <w:sz w:val="24"/>
          <w:szCs w:val="24"/>
        </w:rPr>
        <w:t xml:space="preserve"> </w:t>
      </w:r>
      <w:r w:rsidR="00DA7932" w:rsidRPr="00DA7932">
        <w:rPr>
          <w:sz w:val="24"/>
          <w:szCs w:val="24"/>
        </w:rPr>
        <w:t>(</w:t>
      </w:r>
      <w:r w:rsidR="00DA7932" w:rsidRPr="00DA7932">
        <w:rPr>
          <w:i/>
          <w:iCs/>
          <w:sz w:val="24"/>
          <w:szCs w:val="24"/>
        </w:rPr>
        <w:t>What would be the need to use the 6425–7125 MHz (U6 GHz) radio frequency band for wireless access systems in Lithuania, including radio local area networks (WAS/RLAN), and when could such a need arise?)</w:t>
      </w:r>
    </w:p>
    <w:p w14:paraId="6E019230" w14:textId="77777777" w:rsidR="00DA7932" w:rsidRDefault="00DA7932" w:rsidP="00D64B57">
      <w:pPr>
        <w:jc w:val="both"/>
        <w:rPr>
          <w:b/>
          <w:sz w:val="24"/>
          <w:szCs w:val="24"/>
        </w:rPr>
      </w:pPr>
    </w:p>
    <w:p w14:paraId="3E13723F" w14:textId="6285C929" w:rsidR="00DA7932" w:rsidRPr="001D48EC" w:rsidRDefault="00DA7932" w:rsidP="00D64B57">
      <w:pPr>
        <w:jc w:val="both"/>
        <w:rPr>
          <w:b/>
          <w:sz w:val="24"/>
          <w:szCs w:val="24"/>
        </w:rPr>
      </w:pPr>
      <w:r w:rsidRPr="001D48EC">
        <w:rPr>
          <w:b/>
          <w:sz w:val="24"/>
          <w:szCs w:val="24"/>
        </w:rPr>
        <w:t>Question 1</w:t>
      </w:r>
      <w:r w:rsidR="005A1236">
        <w:rPr>
          <w:b/>
          <w:sz w:val="24"/>
          <w:szCs w:val="24"/>
        </w:rPr>
        <w:t>.</w:t>
      </w:r>
      <w:r w:rsidRPr="001D48EC">
        <w:rPr>
          <w:b/>
          <w:sz w:val="24"/>
          <w:szCs w:val="24"/>
        </w:rPr>
        <w:t xml:space="preserve"> What is the current need for new radio frequency resources? Please indicate how crowded the available spectrum resources are (2400–2483.5 MHz, 5150–5350 MHz, 5470–5850 MHz and 5945–6425 MHz)?</w:t>
      </w:r>
    </w:p>
    <w:p w14:paraId="45CC263C" w14:textId="77777777" w:rsidR="00DA7932" w:rsidRDefault="00DA7932" w:rsidP="00D64B57">
      <w:pPr>
        <w:jc w:val="both"/>
        <w:rPr>
          <w:b/>
          <w:sz w:val="24"/>
          <w:szCs w:val="24"/>
        </w:rPr>
      </w:pPr>
    </w:p>
    <w:p w14:paraId="7B5B28BE" w14:textId="77777777" w:rsidR="00C7562B" w:rsidRDefault="00C7562B" w:rsidP="00C7562B">
      <w:pPr>
        <w:jc w:val="both"/>
        <w:rPr>
          <w:sz w:val="24"/>
          <w:szCs w:val="24"/>
        </w:rPr>
      </w:pPr>
      <w:r w:rsidRPr="00BA4451">
        <w:rPr>
          <w:rFonts w:cs="Calibri"/>
          <w:iCs/>
          <w:sz w:val="24"/>
          <w:szCs w:val="22"/>
        </w:rPr>
        <w:t xml:space="preserve">Wi-Fi access to the </w:t>
      </w:r>
      <w:r>
        <w:rPr>
          <w:rFonts w:cs="Calibri"/>
          <w:iCs/>
          <w:sz w:val="24"/>
          <w:szCs w:val="22"/>
        </w:rPr>
        <w:t xml:space="preserve">upper 6 GHz band </w:t>
      </w:r>
      <w:r w:rsidRPr="00BA4451">
        <w:rPr>
          <w:rFonts w:cs="Calibri"/>
          <w:iCs/>
          <w:sz w:val="24"/>
          <w:szCs w:val="22"/>
        </w:rPr>
        <w:t xml:space="preserve">is </w:t>
      </w:r>
      <w:r>
        <w:rPr>
          <w:rFonts w:cs="Calibri"/>
          <w:iCs/>
          <w:sz w:val="24"/>
          <w:szCs w:val="22"/>
        </w:rPr>
        <w:t xml:space="preserve">critical </w:t>
      </w:r>
      <w:r w:rsidRPr="00BA4451">
        <w:rPr>
          <w:rFonts w:cs="Calibri"/>
          <w:iCs/>
          <w:sz w:val="24"/>
          <w:szCs w:val="22"/>
        </w:rPr>
        <w:t xml:space="preserve">to </w:t>
      </w:r>
      <w:r>
        <w:rPr>
          <w:rFonts w:cs="Calibri"/>
          <w:iCs/>
          <w:sz w:val="24"/>
          <w:szCs w:val="22"/>
        </w:rPr>
        <w:t xml:space="preserve">meeting </w:t>
      </w:r>
      <w:r w:rsidRPr="00CE60D8">
        <w:rPr>
          <w:rFonts w:cs="Calibri"/>
          <w:iCs/>
          <w:sz w:val="24"/>
          <w:szCs w:val="22"/>
        </w:rPr>
        <w:t>the</w:t>
      </w:r>
      <w:r>
        <w:rPr>
          <w:rFonts w:cs="Calibri"/>
          <w:iCs/>
          <w:sz w:val="24"/>
          <w:szCs w:val="22"/>
        </w:rPr>
        <w:t xml:space="preserve"> goals of the </w:t>
      </w:r>
      <w:r w:rsidRPr="00CE60D8">
        <w:rPr>
          <w:rFonts w:cs="Calibri"/>
          <w:iCs/>
          <w:sz w:val="24"/>
          <w:szCs w:val="22"/>
        </w:rPr>
        <w:t>E</w:t>
      </w:r>
      <w:r>
        <w:rPr>
          <w:rFonts w:cs="Calibri"/>
          <w:iCs/>
          <w:sz w:val="24"/>
          <w:szCs w:val="22"/>
        </w:rPr>
        <w:t>uropean Union</w:t>
      </w:r>
      <w:r w:rsidRPr="00CE60D8">
        <w:rPr>
          <w:rFonts w:cs="Calibri"/>
          <w:iCs/>
          <w:sz w:val="24"/>
          <w:szCs w:val="22"/>
        </w:rPr>
        <w:t>’s Gigabit Infrastructure Act</w:t>
      </w:r>
      <w:r>
        <w:rPr>
          <w:rStyle w:val="FootnoteReference"/>
          <w:rFonts w:cs="Calibri"/>
          <w:iCs/>
          <w:sz w:val="24"/>
          <w:szCs w:val="22"/>
        </w:rPr>
        <w:footnoteReference w:id="2"/>
      </w:r>
      <w:r>
        <w:rPr>
          <w:rFonts w:cs="Calibri"/>
          <w:iCs/>
          <w:sz w:val="24"/>
          <w:szCs w:val="22"/>
        </w:rPr>
        <w:t xml:space="preserve"> </w:t>
      </w:r>
      <w:r w:rsidRPr="00C42618">
        <w:rPr>
          <w:rFonts w:cs="Calibri"/>
          <w:iCs/>
          <w:sz w:val="24"/>
          <w:szCs w:val="22"/>
        </w:rPr>
        <w:t>and the Digital Decade Policy Programme</w:t>
      </w:r>
      <w:r>
        <w:rPr>
          <w:rFonts w:cs="Calibri"/>
          <w:iCs/>
          <w:sz w:val="24"/>
          <w:szCs w:val="22"/>
        </w:rPr>
        <w:t xml:space="preserve"> 2023</w:t>
      </w:r>
      <w:r>
        <w:rPr>
          <w:rStyle w:val="FootnoteReference"/>
          <w:rFonts w:cs="Calibri"/>
          <w:iCs/>
          <w:sz w:val="24"/>
          <w:szCs w:val="22"/>
        </w:rPr>
        <w:footnoteReference w:id="3"/>
      </w:r>
      <w:r w:rsidRPr="0027366C">
        <w:rPr>
          <w:rFonts w:cs="Calibri"/>
          <w:iCs/>
        </w:rPr>
        <w:t>.</w:t>
      </w:r>
    </w:p>
    <w:p w14:paraId="73370904" w14:textId="77777777" w:rsidR="00C7562B" w:rsidRDefault="00C7562B" w:rsidP="00C7562B">
      <w:pPr>
        <w:jc w:val="both"/>
        <w:rPr>
          <w:sz w:val="24"/>
          <w:szCs w:val="24"/>
        </w:rPr>
      </w:pPr>
    </w:p>
    <w:p w14:paraId="2161D25F" w14:textId="531AF26B" w:rsidR="00C7562B" w:rsidRDefault="00C7562B" w:rsidP="00C7562B">
      <w:pPr>
        <w:jc w:val="both"/>
        <w:rPr>
          <w:rFonts w:cs="Calibri"/>
          <w:iCs/>
        </w:rPr>
      </w:pPr>
      <w:r>
        <w:rPr>
          <w:rFonts w:cs="Calibri"/>
          <w:iCs/>
          <w:sz w:val="24"/>
          <w:szCs w:val="22"/>
        </w:rPr>
        <w:lastRenderedPageBreak/>
        <w:t>According to Plum</w:t>
      </w:r>
      <w:r w:rsidRPr="00367BBA">
        <w:rPr>
          <w:vertAlign w:val="superscript"/>
        </w:rPr>
        <w:footnoteReference w:id="4"/>
      </w:r>
      <w:r>
        <w:rPr>
          <w:rFonts w:cs="Calibri"/>
          <w:iCs/>
          <w:sz w:val="24"/>
          <w:szCs w:val="22"/>
        </w:rPr>
        <w:t xml:space="preserve">, the current spectrum </w:t>
      </w:r>
      <w:r w:rsidRPr="00BA4451">
        <w:rPr>
          <w:rFonts w:cs="Calibri"/>
          <w:iCs/>
          <w:sz w:val="24"/>
          <w:szCs w:val="22"/>
        </w:rPr>
        <w:t xml:space="preserve">for Wi-Fi access in Europe is </w:t>
      </w:r>
      <w:r>
        <w:rPr>
          <w:rFonts w:cs="Calibri"/>
          <w:iCs/>
          <w:sz w:val="24"/>
          <w:szCs w:val="22"/>
        </w:rPr>
        <w:t>not sufficient</w:t>
      </w:r>
      <w:r w:rsidRPr="00BA4451">
        <w:rPr>
          <w:rFonts w:cs="Calibri"/>
          <w:iCs/>
          <w:sz w:val="24"/>
          <w:szCs w:val="22"/>
        </w:rPr>
        <w:t xml:space="preserve"> to support </w:t>
      </w:r>
      <w:r>
        <w:rPr>
          <w:rFonts w:cs="Calibri"/>
          <w:iCs/>
          <w:sz w:val="24"/>
          <w:szCs w:val="22"/>
        </w:rPr>
        <w:t>these goals</w:t>
      </w:r>
      <w:r w:rsidRPr="0027366C">
        <w:rPr>
          <w:rFonts w:cs="Calibri"/>
          <w:iCs/>
        </w:rPr>
        <w:t>.</w:t>
      </w:r>
      <w:r w:rsidRPr="00BA4451">
        <w:rPr>
          <w:rFonts w:cs="Calibri"/>
          <w:iCs/>
          <w:sz w:val="24"/>
          <w:szCs w:val="22"/>
        </w:rPr>
        <w:t xml:space="preserve"> </w:t>
      </w:r>
      <w:r>
        <w:rPr>
          <w:rFonts w:cs="Calibri"/>
          <w:iCs/>
          <w:sz w:val="24"/>
          <w:szCs w:val="22"/>
        </w:rPr>
        <w:t xml:space="preserve"> For example, the </w:t>
      </w:r>
      <w:r w:rsidRPr="00BA4451">
        <w:rPr>
          <w:rFonts w:cs="Calibri"/>
          <w:iCs/>
          <w:sz w:val="24"/>
          <w:szCs w:val="22"/>
        </w:rPr>
        <w:t>current</w:t>
      </w:r>
      <w:r>
        <w:rPr>
          <w:rFonts w:cs="Calibri"/>
          <w:iCs/>
          <w:sz w:val="24"/>
          <w:szCs w:val="22"/>
        </w:rPr>
        <w:t xml:space="preserve"> allocation of</w:t>
      </w:r>
      <w:r w:rsidRPr="00BA4451">
        <w:rPr>
          <w:rFonts w:cs="Calibri"/>
          <w:iCs/>
          <w:sz w:val="24"/>
          <w:szCs w:val="22"/>
        </w:rPr>
        <w:t xml:space="preserve"> five 160 MHz channels </w:t>
      </w:r>
      <w:r>
        <w:rPr>
          <w:rFonts w:cs="Calibri"/>
          <w:iCs/>
          <w:sz w:val="24"/>
          <w:szCs w:val="22"/>
        </w:rPr>
        <w:t xml:space="preserve">in the 5 GHz and lower 6 GHz bands </w:t>
      </w:r>
      <w:r w:rsidRPr="00BA4451">
        <w:rPr>
          <w:rFonts w:cs="Calibri"/>
          <w:iCs/>
          <w:sz w:val="24"/>
          <w:szCs w:val="22"/>
        </w:rPr>
        <w:t>can support gigabit coverage to only approximately 50</w:t>
      </w:r>
      <w:r w:rsidR="008A798F">
        <w:rPr>
          <w:rFonts w:cs="Calibri"/>
          <w:iCs/>
          <w:sz w:val="24"/>
          <w:szCs w:val="22"/>
        </w:rPr>
        <w:t xml:space="preserve">% to </w:t>
      </w:r>
      <w:r w:rsidRPr="00BA4451">
        <w:rPr>
          <w:rFonts w:cs="Calibri"/>
          <w:iCs/>
          <w:sz w:val="24"/>
          <w:szCs w:val="22"/>
        </w:rPr>
        <w:t>60% of residential building area. To ensure</w:t>
      </w:r>
      <w:r>
        <w:rPr>
          <w:rFonts w:cs="Calibri"/>
          <w:iCs/>
          <w:sz w:val="24"/>
          <w:szCs w:val="22"/>
        </w:rPr>
        <w:t xml:space="preserve"> complete</w:t>
      </w:r>
      <w:r w:rsidRPr="00BA4451">
        <w:rPr>
          <w:rFonts w:cs="Calibri"/>
          <w:iCs/>
          <w:sz w:val="24"/>
          <w:szCs w:val="22"/>
        </w:rPr>
        <w:t xml:space="preserve"> </w:t>
      </w:r>
      <w:r>
        <w:rPr>
          <w:rFonts w:cs="Calibri"/>
          <w:iCs/>
          <w:sz w:val="24"/>
          <w:szCs w:val="22"/>
        </w:rPr>
        <w:t xml:space="preserve">gigabit </w:t>
      </w:r>
      <w:r w:rsidRPr="00BA4451">
        <w:rPr>
          <w:rFonts w:cs="Calibri"/>
          <w:iCs/>
          <w:sz w:val="24"/>
          <w:szCs w:val="22"/>
        </w:rPr>
        <w:t>coverage, a minimum of ten channels is necessary</w:t>
      </w:r>
      <w:r w:rsidR="00056177">
        <w:rPr>
          <w:rFonts w:cs="Calibri"/>
          <w:iCs/>
          <w:sz w:val="24"/>
          <w:szCs w:val="22"/>
        </w:rPr>
        <w:t>,</w:t>
      </w:r>
      <w:r>
        <w:rPr>
          <w:rFonts w:cs="Calibri"/>
          <w:iCs/>
          <w:sz w:val="24"/>
          <w:szCs w:val="22"/>
        </w:rPr>
        <w:t xml:space="preserve"> </w:t>
      </w:r>
      <w:r>
        <w:rPr>
          <w:sz w:val="24"/>
          <w:szCs w:val="24"/>
        </w:rPr>
        <w:t>thus necessitating operation of Wi-Fi technologies in the upper 6 GHz band</w:t>
      </w:r>
      <w:r w:rsidRPr="00BA4451">
        <w:rPr>
          <w:rFonts w:cs="Calibri"/>
          <w:iCs/>
          <w:sz w:val="24"/>
          <w:szCs w:val="22"/>
        </w:rPr>
        <w:t xml:space="preserve">. </w:t>
      </w:r>
    </w:p>
    <w:p w14:paraId="537C1DF3" w14:textId="0C3AF62F" w:rsidR="00112B13" w:rsidRDefault="00DA7932" w:rsidP="00D64B57">
      <w:pPr>
        <w:jc w:val="both"/>
        <w:rPr>
          <w:b/>
          <w:sz w:val="24"/>
          <w:szCs w:val="24"/>
        </w:rPr>
      </w:pPr>
      <w:r w:rsidRPr="00DA7932">
        <w:rPr>
          <w:b/>
          <w:sz w:val="24"/>
          <w:szCs w:val="24"/>
        </w:rPr>
        <w:br/>
      </w:r>
      <w:r w:rsidR="005A1236">
        <w:rPr>
          <w:b/>
          <w:sz w:val="24"/>
          <w:szCs w:val="24"/>
        </w:rPr>
        <w:t xml:space="preserve">Question 3. </w:t>
      </w:r>
      <w:r w:rsidRPr="00DA7932">
        <w:rPr>
          <w:b/>
          <w:sz w:val="24"/>
          <w:szCs w:val="24"/>
        </w:rPr>
        <w:t>What new services could be offered using the U6 GHz band (or part of it)?</w:t>
      </w:r>
    </w:p>
    <w:p w14:paraId="5C278434" w14:textId="77777777" w:rsidR="00BE6548" w:rsidRDefault="00BE6548" w:rsidP="00D64B57">
      <w:pPr>
        <w:jc w:val="both"/>
        <w:rPr>
          <w:b/>
          <w:sz w:val="24"/>
          <w:szCs w:val="24"/>
        </w:rPr>
      </w:pPr>
    </w:p>
    <w:p w14:paraId="1A435AA8" w14:textId="618E45E7" w:rsidR="00BE6548" w:rsidRPr="008877C9" w:rsidRDefault="00BE6548" w:rsidP="00BE6548">
      <w:pPr>
        <w:jc w:val="both"/>
        <w:rPr>
          <w:sz w:val="24"/>
          <w:szCs w:val="24"/>
        </w:rPr>
      </w:pPr>
      <w:r w:rsidRPr="008877C9">
        <w:rPr>
          <w:sz w:val="24"/>
          <w:szCs w:val="24"/>
        </w:rPr>
        <w:t>Wi-Fi is the indoor wireless connectivity technology of choice for people in Europe. According to BNetzA</w:t>
      </w:r>
      <w:r w:rsidRPr="008877C9">
        <w:rPr>
          <w:rStyle w:val="FootnoteReference"/>
          <w:sz w:val="24"/>
          <w:szCs w:val="24"/>
        </w:rPr>
        <w:footnoteReference w:id="5"/>
      </w:r>
      <w:r w:rsidRPr="008877C9">
        <w:rPr>
          <w:rStyle w:val="FootnoteReference"/>
          <w:sz w:val="24"/>
          <w:szCs w:val="24"/>
        </w:rPr>
        <w:t xml:space="preserve"> </w:t>
      </w:r>
      <w:r w:rsidRPr="008877C9">
        <w:rPr>
          <w:sz w:val="24"/>
          <w:szCs w:val="24"/>
        </w:rPr>
        <w:t>and Ofcom</w:t>
      </w:r>
      <w:r w:rsidRPr="008877C9">
        <w:rPr>
          <w:rStyle w:val="FootnoteReference"/>
          <w:sz w:val="24"/>
          <w:szCs w:val="24"/>
        </w:rPr>
        <w:footnoteReference w:id="6"/>
      </w:r>
      <w:r w:rsidRPr="008877C9">
        <w:rPr>
          <w:sz w:val="24"/>
          <w:szCs w:val="24"/>
        </w:rPr>
        <w:t xml:space="preserve">, majority of internet use occurs over fixed networks primarily delivered through Wi-Fi.  A recent survey also finds that the vast majority (93.9%) of </w:t>
      </w:r>
      <w:r>
        <w:rPr>
          <w:sz w:val="24"/>
          <w:szCs w:val="24"/>
        </w:rPr>
        <w:t xml:space="preserve">the </w:t>
      </w:r>
      <w:r w:rsidRPr="008877C9">
        <w:rPr>
          <w:sz w:val="24"/>
          <w:szCs w:val="24"/>
        </w:rPr>
        <w:t>European Union’s enterprises use fixed broadband connection</w:t>
      </w:r>
      <w:r>
        <w:rPr>
          <w:sz w:val="24"/>
          <w:szCs w:val="24"/>
        </w:rPr>
        <w:t>s</w:t>
      </w:r>
      <w:r w:rsidRPr="008877C9">
        <w:rPr>
          <w:sz w:val="24"/>
          <w:szCs w:val="24"/>
        </w:rPr>
        <w:t xml:space="preserve"> to access </w:t>
      </w:r>
      <w:r>
        <w:rPr>
          <w:sz w:val="24"/>
          <w:szCs w:val="24"/>
        </w:rPr>
        <w:t xml:space="preserve">the </w:t>
      </w:r>
      <w:r w:rsidRPr="008877C9">
        <w:rPr>
          <w:sz w:val="24"/>
          <w:szCs w:val="24"/>
        </w:rPr>
        <w:t>Internet via Wi-Fi</w:t>
      </w:r>
      <w:r w:rsidRPr="008877C9">
        <w:rPr>
          <w:rStyle w:val="FootnoteReference"/>
          <w:sz w:val="24"/>
          <w:szCs w:val="24"/>
        </w:rPr>
        <w:footnoteReference w:id="7"/>
      </w:r>
      <w:r w:rsidRPr="008877C9">
        <w:rPr>
          <w:sz w:val="24"/>
          <w:szCs w:val="24"/>
        </w:rPr>
        <w:t xml:space="preserve">.  </w:t>
      </w:r>
    </w:p>
    <w:p w14:paraId="24F9A2D8" w14:textId="77777777" w:rsidR="00BE6548" w:rsidRDefault="00BE6548" w:rsidP="00BE6548">
      <w:pPr>
        <w:jc w:val="both"/>
        <w:rPr>
          <w:sz w:val="24"/>
          <w:szCs w:val="24"/>
        </w:rPr>
      </w:pPr>
    </w:p>
    <w:p w14:paraId="17E8FAB5" w14:textId="4E073FF0" w:rsidR="00BE6548" w:rsidRPr="00AA4C86" w:rsidRDefault="00BE6548" w:rsidP="00BE6548">
      <w:pPr>
        <w:jc w:val="both"/>
        <w:rPr>
          <w:rFonts w:cs="Calibri"/>
        </w:rPr>
      </w:pPr>
      <w:r w:rsidRPr="00CE60D8">
        <w:rPr>
          <w:sz w:val="24"/>
          <w:szCs w:val="24"/>
        </w:rPr>
        <w:t>The volume of Wi-Fi traffic is growing much faster than the volume of traffic carried over mobile network</w:t>
      </w:r>
      <w:r>
        <w:rPr>
          <w:sz w:val="24"/>
          <w:szCs w:val="24"/>
        </w:rPr>
        <w:t>s</w:t>
      </w:r>
      <w:r w:rsidRPr="00CE60D8">
        <w:rPr>
          <w:sz w:val="24"/>
          <w:szCs w:val="24"/>
        </w:rPr>
        <w:t xml:space="preserve">. BNetzA reports that the increase in the volume of fixed traffic in 2023 was more than </w:t>
      </w:r>
      <w:r w:rsidR="00674CDA">
        <w:rPr>
          <w:sz w:val="24"/>
          <w:szCs w:val="24"/>
        </w:rPr>
        <w:t>four</w:t>
      </w:r>
      <w:r w:rsidRPr="00CE60D8">
        <w:rPr>
          <w:sz w:val="24"/>
          <w:szCs w:val="24"/>
        </w:rPr>
        <w:t xml:space="preserve"> times the increase in the volume of mobile traffic in the same year</w:t>
      </w:r>
      <w:r>
        <w:rPr>
          <w:rStyle w:val="FootnoteReference"/>
          <w:sz w:val="24"/>
          <w:szCs w:val="24"/>
        </w:rPr>
        <w:footnoteReference w:id="8"/>
      </w:r>
      <w:r w:rsidRPr="00CE60D8">
        <w:rPr>
          <w:sz w:val="24"/>
          <w:szCs w:val="24"/>
        </w:rPr>
        <w:t xml:space="preserve">. </w:t>
      </w:r>
      <w:r>
        <w:rPr>
          <w:sz w:val="24"/>
          <w:szCs w:val="24"/>
        </w:rPr>
        <w:t xml:space="preserve"> </w:t>
      </w:r>
      <w:r w:rsidRPr="00076007">
        <w:rPr>
          <w:sz w:val="24"/>
          <w:szCs w:val="24"/>
        </w:rPr>
        <w:t>Arthur Little</w:t>
      </w:r>
      <w:r>
        <w:rPr>
          <w:rStyle w:val="FootnoteReference"/>
          <w:sz w:val="24"/>
          <w:szCs w:val="24"/>
        </w:rPr>
        <w:footnoteReference w:id="9"/>
      </w:r>
      <w:r w:rsidR="00FB5DB5">
        <w:rPr>
          <w:sz w:val="24"/>
          <w:szCs w:val="24"/>
        </w:rPr>
        <w:t xml:space="preserve"> forecasts</w:t>
      </w:r>
      <w:r>
        <w:rPr>
          <w:sz w:val="24"/>
          <w:szCs w:val="24"/>
        </w:rPr>
        <w:t>,</w:t>
      </w:r>
      <w:r w:rsidR="005C7FB2">
        <w:rPr>
          <w:sz w:val="24"/>
          <w:szCs w:val="24"/>
        </w:rPr>
        <w:t xml:space="preserve"> </w:t>
      </w:r>
      <w:r w:rsidR="00FB5DB5">
        <w:rPr>
          <w:sz w:val="24"/>
          <w:szCs w:val="24"/>
        </w:rPr>
        <w:t xml:space="preserve">that the </w:t>
      </w:r>
      <w:r w:rsidRPr="00076007">
        <w:rPr>
          <w:sz w:val="24"/>
          <w:szCs w:val="24"/>
        </w:rPr>
        <w:t>growth in fixed data traffi</w:t>
      </w:r>
      <w:r>
        <w:rPr>
          <w:sz w:val="24"/>
          <w:szCs w:val="24"/>
        </w:rPr>
        <w:t xml:space="preserve">c (and therefore Wi-Fi traffic) in Europe between 2022 and 2030 </w:t>
      </w:r>
      <w:r w:rsidRPr="00076007">
        <w:rPr>
          <w:sz w:val="24"/>
          <w:szCs w:val="24"/>
        </w:rPr>
        <w:t xml:space="preserve">is </w:t>
      </w:r>
      <w:r>
        <w:rPr>
          <w:sz w:val="24"/>
          <w:szCs w:val="24"/>
        </w:rPr>
        <w:t>s</w:t>
      </w:r>
      <w:r w:rsidRPr="00E227B8">
        <w:rPr>
          <w:sz w:val="24"/>
          <w:szCs w:val="24"/>
        </w:rPr>
        <w:t>imilar to past elevated levels</w:t>
      </w:r>
      <w:r>
        <w:rPr>
          <w:sz w:val="24"/>
          <w:szCs w:val="24"/>
        </w:rPr>
        <w:t>, and the total volume of fixed data traffic is significantly more than that of the</w:t>
      </w:r>
      <w:r w:rsidRPr="00076007">
        <w:rPr>
          <w:sz w:val="24"/>
          <w:szCs w:val="24"/>
        </w:rPr>
        <w:t xml:space="preserve"> mobile data traffic</w:t>
      </w:r>
      <w:r>
        <w:rPr>
          <w:sz w:val="24"/>
          <w:szCs w:val="24"/>
        </w:rPr>
        <w:t xml:space="preserve"> over the same period of time</w:t>
      </w:r>
      <w:r w:rsidRPr="00076007">
        <w:rPr>
          <w:sz w:val="24"/>
          <w:szCs w:val="24"/>
        </w:rPr>
        <w:t>.</w:t>
      </w:r>
      <w:r>
        <w:rPr>
          <w:sz w:val="24"/>
          <w:szCs w:val="24"/>
        </w:rPr>
        <w:t xml:space="preserve"> The estimated significant increase in the volume of fixed data traffic is supported by two recently released marketing reports from</w:t>
      </w:r>
      <w:r>
        <w:rPr>
          <w:rFonts w:cs="Calibri"/>
        </w:rPr>
        <w:t xml:space="preserve"> </w:t>
      </w:r>
      <w:r>
        <w:rPr>
          <w:sz w:val="24"/>
          <w:szCs w:val="24"/>
        </w:rPr>
        <w:t xml:space="preserve">the </w:t>
      </w:r>
      <w:r w:rsidRPr="00D50E1C">
        <w:rPr>
          <w:sz w:val="24"/>
          <w:szCs w:val="24"/>
        </w:rPr>
        <w:t>FTTH Council Europe</w:t>
      </w:r>
      <w:r w:rsidRPr="001152B6">
        <w:rPr>
          <w:vertAlign w:val="superscript"/>
        </w:rPr>
        <w:footnoteReference w:id="10"/>
      </w:r>
      <w:r w:rsidRPr="00BD7AFD">
        <w:rPr>
          <w:sz w:val="24"/>
          <w:szCs w:val="24"/>
          <w:vertAlign w:val="superscript"/>
        </w:rPr>
        <w:t>,</w:t>
      </w:r>
      <w:r>
        <w:rPr>
          <w:rStyle w:val="FootnoteReference"/>
          <w:sz w:val="24"/>
          <w:szCs w:val="24"/>
        </w:rPr>
        <w:footnoteReference w:id="11"/>
      </w:r>
      <w:r w:rsidR="00F315ED">
        <w:rPr>
          <w:sz w:val="24"/>
          <w:szCs w:val="24"/>
        </w:rPr>
        <w:t xml:space="preserve">. The report shows </w:t>
      </w:r>
      <w:r>
        <w:rPr>
          <w:sz w:val="24"/>
          <w:szCs w:val="24"/>
        </w:rPr>
        <w:t xml:space="preserve">that </w:t>
      </w:r>
      <w:r w:rsidRPr="00CE60D8">
        <w:rPr>
          <w:sz w:val="24"/>
          <w:szCs w:val="24"/>
        </w:rPr>
        <w:t>the number of FTTH/</w:t>
      </w:r>
      <w:r>
        <w:rPr>
          <w:sz w:val="24"/>
          <w:szCs w:val="24"/>
        </w:rPr>
        <w:t>FTT</w:t>
      </w:r>
      <w:r w:rsidRPr="00CE60D8">
        <w:rPr>
          <w:sz w:val="24"/>
          <w:szCs w:val="24"/>
        </w:rPr>
        <w:t>B (</w:t>
      </w:r>
      <w:r>
        <w:rPr>
          <w:sz w:val="24"/>
          <w:szCs w:val="24"/>
        </w:rPr>
        <w:t>F</w:t>
      </w:r>
      <w:r w:rsidRPr="00B8296C">
        <w:rPr>
          <w:sz w:val="24"/>
          <w:szCs w:val="24"/>
        </w:rPr>
        <w:t>iber</w:t>
      </w:r>
      <w:r w:rsidRPr="00CE60D8">
        <w:rPr>
          <w:sz w:val="24"/>
          <w:szCs w:val="24"/>
        </w:rPr>
        <w:t>-</w:t>
      </w:r>
      <w:r>
        <w:rPr>
          <w:sz w:val="24"/>
          <w:szCs w:val="24"/>
        </w:rPr>
        <w:t>T</w:t>
      </w:r>
      <w:r w:rsidRPr="00CE60D8">
        <w:rPr>
          <w:sz w:val="24"/>
          <w:szCs w:val="24"/>
        </w:rPr>
        <w:t>o-</w:t>
      </w:r>
      <w:r>
        <w:rPr>
          <w:sz w:val="24"/>
          <w:szCs w:val="24"/>
        </w:rPr>
        <w:t>T</w:t>
      </w:r>
      <w:r w:rsidRPr="00CE60D8">
        <w:rPr>
          <w:sz w:val="24"/>
          <w:szCs w:val="24"/>
        </w:rPr>
        <w:t>he-</w:t>
      </w:r>
      <w:r>
        <w:rPr>
          <w:sz w:val="24"/>
          <w:szCs w:val="24"/>
        </w:rPr>
        <w:t>H</w:t>
      </w:r>
      <w:r w:rsidRPr="00CE60D8">
        <w:rPr>
          <w:sz w:val="24"/>
          <w:szCs w:val="24"/>
        </w:rPr>
        <w:t xml:space="preserve">ome or </w:t>
      </w:r>
      <w:r>
        <w:rPr>
          <w:sz w:val="24"/>
          <w:szCs w:val="24"/>
        </w:rPr>
        <w:t>B</w:t>
      </w:r>
      <w:r w:rsidRPr="00CE60D8">
        <w:rPr>
          <w:sz w:val="24"/>
          <w:szCs w:val="24"/>
        </w:rPr>
        <w:t>uilding) se</w:t>
      </w:r>
      <w:r>
        <w:rPr>
          <w:sz w:val="24"/>
          <w:szCs w:val="24"/>
        </w:rPr>
        <w:t>rvices</w:t>
      </w:r>
      <w:r w:rsidRPr="00CE60D8">
        <w:rPr>
          <w:sz w:val="24"/>
          <w:szCs w:val="24"/>
        </w:rPr>
        <w:t xml:space="preserve"> is</w:t>
      </w:r>
      <w:r>
        <w:rPr>
          <w:sz w:val="24"/>
          <w:szCs w:val="24"/>
        </w:rPr>
        <w:t xml:space="preserve"> expected to increase from 121 million in 2023 </w:t>
      </w:r>
      <w:r w:rsidRPr="00CE60D8">
        <w:rPr>
          <w:sz w:val="24"/>
          <w:szCs w:val="24"/>
        </w:rPr>
        <w:t>to 201 million by 2029</w:t>
      </w:r>
      <w:r>
        <w:rPr>
          <w:sz w:val="24"/>
          <w:szCs w:val="24"/>
        </w:rPr>
        <w:t>, and the number of homes equipped with</w:t>
      </w:r>
      <w:r w:rsidRPr="00DD5720">
        <w:rPr>
          <w:sz w:val="24"/>
          <w:szCs w:val="24"/>
        </w:rPr>
        <w:t xml:space="preserve"> FTTH/</w:t>
      </w:r>
      <w:r>
        <w:rPr>
          <w:sz w:val="24"/>
          <w:szCs w:val="24"/>
        </w:rPr>
        <w:t>FTT</w:t>
      </w:r>
      <w:r w:rsidRPr="00DD5720">
        <w:rPr>
          <w:sz w:val="24"/>
          <w:szCs w:val="24"/>
        </w:rPr>
        <w:t>B</w:t>
      </w:r>
      <w:r>
        <w:rPr>
          <w:sz w:val="24"/>
          <w:szCs w:val="24"/>
        </w:rPr>
        <w:t xml:space="preserve"> </w:t>
      </w:r>
      <w:r w:rsidRPr="00CE60D8">
        <w:rPr>
          <w:sz w:val="24"/>
          <w:szCs w:val="24"/>
        </w:rPr>
        <w:t xml:space="preserve">will </w:t>
      </w:r>
      <w:r>
        <w:rPr>
          <w:sz w:val="24"/>
          <w:szCs w:val="24"/>
        </w:rPr>
        <w:t xml:space="preserve">be increased </w:t>
      </w:r>
      <w:r w:rsidRPr="00C42618">
        <w:rPr>
          <w:sz w:val="24"/>
          <w:szCs w:val="24"/>
        </w:rPr>
        <w:t>from 244 million in 2023</w:t>
      </w:r>
      <w:r>
        <w:rPr>
          <w:sz w:val="24"/>
          <w:szCs w:val="24"/>
        </w:rPr>
        <w:t xml:space="preserve"> to</w:t>
      </w:r>
      <w:r w:rsidRPr="00CE60D8">
        <w:rPr>
          <w:sz w:val="24"/>
          <w:szCs w:val="24"/>
        </w:rPr>
        <w:t xml:space="preserve"> 312 million in 2029 as telcos lay more </w:t>
      </w:r>
      <w:r w:rsidRPr="00DD5720">
        <w:rPr>
          <w:sz w:val="24"/>
          <w:szCs w:val="24"/>
        </w:rPr>
        <w:t>fiber</w:t>
      </w:r>
      <w:r w:rsidRPr="00CE60D8">
        <w:rPr>
          <w:sz w:val="24"/>
          <w:szCs w:val="24"/>
        </w:rPr>
        <w:t xml:space="preserve"> in the ground.</w:t>
      </w:r>
      <w:r>
        <w:rPr>
          <w:sz w:val="24"/>
          <w:szCs w:val="24"/>
        </w:rPr>
        <w:t xml:space="preserve">  </w:t>
      </w:r>
    </w:p>
    <w:p w14:paraId="5FE6BB1B" w14:textId="77777777" w:rsidR="00BE6548" w:rsidRDefault="00BE6548" w:rsidP="00BE6548">
      <w:pPr>
        <w:pStyle w:val="BodyA"/>
        <w:jc w:val="both"/>
        <w:rPr>
          <w:sz w:val="24"/>
          <w:szCs w:val="24"/>
        </w:rPr>
      </w:pPr>
    </w:p>
    <w:p w14:paraId="31A4F458" w14:textId="1EBAD39B" w:rsidR="00BE6548" w:rsidRDefault="00BE6548" w:rsidP="00BE6548">
      <w:pPr>
        <w:jc w:val="both"/>
        <w:rPr>
          <w:sz w:val="24"/>
          <w:szCs w:val="24"/>
        </w:rPr>
      </w:pPr>
      <w:r>
        <w:rPr>
          <w:sz w:val="24"/>
          <w:szCs w:val="24"/>
        </w:rPr>
        <w:t xml:space="preserve">Currently available Wi-Fi 6/6E products based on the </w:t>
      </w:r>
      <w:r>
        <w:rPr>
          <w:rStyle w:val="None"/>
          <w:sz w:val="24"/>
          <w:szCs w:val="24"/>
        </w:rPr>
        <w:t>IEEE Std 802.11ax-2021</w:t>
      </w:r>
      <w:r>
        <w:rPr>
          <w:rStyle w:val="None"/>
          <w:sz w:val="24"/>
          <w:szCs w:val="24"/>
          <w:vertAlign w:val="superscript"/>
        </w:rPr>
        <w:footnoteReference w:id="12"/>
      </w:r>
      <w:r>
        <w:rPr>
          <w:rStyle w:val="None"/>
          <w:sz w:val="24"/>
          <w:szCs w:val="24"/>
        </w:rPr>
        <w:t xml:space="preserve"> </w:t>
      </w:r>
      <w:r>
        <w:rPr>
          <w:sz w:val="24"/>
          <w:szCs w:val="24"/>
        </w:rPr>
        <w:t xml:space="preserve">and Wi-Fi 7 products based on the </w:t>
      </w:r>
      <w:r w:rsidRPr="003860ED">
        <w:rPr>
          <w:rStyle w:val="None"/>
          <w:sz w:val="24"/>
          <w:szCs w:val="24"/>
        </w:rPr>
        <w:t xml:space="preserve">IEEE </w:t>
      </w:r>
      <w:r w:rsidR="00E03821">
        <w:rPr>
          <w:rStyle w:val="None"/>
          <w:sz w:val="24"/>
          <w:szCs w:val="24"/>
        </w:rPr>
        <w:t xml:space="preserve">Std </w:t>
      </w:r>
      <w:r w:rsidRPr="003860ED">
        <w:rPr>
          <w:rStyle w:val="None"/>
          <w:sz w:val="24"/>
          <w:szCs w:val="24"/>
        </w:rPr>
        <w:t>802.11be</w:t>
      </w:r>
      <w:r w:rsidR="00E03821">
        <w:rPr>
          <w:rStyle w:val="None"/>
          <w:sz w:val="24"/>
          <w:szCs w:val="24"/>
        </w:rPr>
        <w:t>-2024</w:t>
      </w:r>
      <w:r w:rsidRPr="003860ED">
        <w:rPr>
          <w:rStyle w:val="None"/>
          <w:sz w:val="24"/>
          <w:szCs w:val="24"/>
          <w:vertAlign w:val="superscript"/>
        </w:rPr>
        <w:footnoteReference w:id="13"/>
      </w:r>
      <w:r>
        <w:rPr>
          <w:sz w:val="24"/>
          <w:szCs w:val="24"/>
        </w:rPr>
        <w:t xml:space="preserve"> are already capable of operating in the entire 6 </w:t>
      </w:r>
      <w:r>
        <w:rPr>
          <w:sz w:val="24"/>
          <w:szCs w:val="24"/>
        </w:rPr>
        <w:lastRenderedPageBreak/>
        <w:t xml:space="preserve">GHz band.  By enabling Wi-Fi operation in the upper 6 GHz band, a significant number of large bandwidth (i.e., 160 MHz and 320 MHz) channels will be available </w:t>
      </w:r>
      <w:r w:rsidR="008152DA">
        <w:rPr>
          <w:sz w:val="24"/>
          <w:szCs w:val="24"/>
        </w:rPr>
        <w:t xml:space="preserve">which would </w:t>
      </w:r>
      <w:r>
        <w:rPr>
          <w:sz w:val="24"/>
          <w:szCs w:val="24"/>
        </w:rPr>
        <w:t>enable</w:t>
      </w:r>
      <w:r w:rsidR="00BC4535" w:rsidRPr="00CA5BBD">
        <w:rPr>
          <w:sz w:val="24"/>
          <w:szCs w:val="24"/>
        </w:rPr>
        <w:t xml:space="preserve"> latency </w:t>
      </w:r>
      <w:r w:rsidR="00BC4535" w:rsidRPr="007414F0">
        <w:rPr>
          <w:sz w:val="24"/>
          <w:szCs w:val="24"/>
        </w:rPr>
        <w:t>sensitive high throughput applications like real-time XR for health, education and gaming, robotics, and industrial automation and sensory</w:t>
      </w:r>
      <w:r w:rsidR="00BC4535" w:rsidRPr="0006599A">
        <w:rPr>
          <w:sz w:val="24"/>
          <w:szCs w:val="24"/>
        </w:rPr>
        <w:t xml:space="preserve">. </w:t>
      </w:r>
      <w:r w:rsidR="005B3AA6" w:rsidRPr="0006599A">
        <w:rPr>
          <w:sz w:val="24"/>
          <w:szCs w:val="24"/>
        </w:rPr>
        <w:t xml:space="preserve">One such example of innovative use case is </w:t>
      </w:r>
      <w:r w:rsidR="0006599A">
        <w:rPr>
          <w:sz w:val="24"/>
          <w:szCs w:val="24"/>
        </w:rPr>
        <w:t xml:space="preserve">in </w:t>
      </w:r>
      <w:r w:rsidR="00546B11" w:rsidRPr="007414F0">
        <w:rPr>
          <w:iCs/>
          <w:sz w:val="24"/>
          <w:szCs w:val="24"/>
        </w:rPr>
        <w:t xml:space="preserve">medical school training </w:t>
      </w:r>
      <w:r w:rsidR="0006599A">
        <w:rPr>
          <w:iCs/>
          <w:sz w:val="24"/>
          <w:szCs w:val="24"/>
        </w:rPr>
        <w:t xml:space="preserve">where </w:t>
      </w:r>
      <w:r w:rsidR="00546B11" w:rsidRPr="007414F0">
        <w:rPr>
          <w:iCs/>
          <w:sz w:val="24"/>
          <w:szCs w:val="24"/>
        </w:rPr>
        <w:t>using AR/VR technologies require</w:t>
      </w:r>
      <w:r w:rsidR="0006599A">
        <w:rPr>
          <w:iCs/>
          <w:sz w:val="24"/>
          <w:szCs w:val="24"/>
        </w:rPr>
        <w:t>s</w:t>
      </w:r>
      <w:r w:rsidR="00546B11" w:rsidRPr="007414F0">
        <w:rPr>
          <w:iCs/>
          <w:sz w:val="24"/>
          <w:szCs w:val="24"/>
        </w:rPr>
        <w:t xml:space="preserve"> the </w:t>
      </w:r>
      <w:r w:rsidR="006B02D5" w:rsidRPr="007414F0">
        <w:rPr>
          <w:iCs/>
          <w:sz w:val="24"/>
          <w:szCs w:val="24"/>
        </w:rPr>
        <w:t>entire 6 GHz band</w:t>
      </w:r>
      <w:r w:rsidR="00546B11" w:rsidRPr="007414F0">
        <w:rPr>
          <w:rStyle w:val="FootnoteReference"/>
          <w:iCs/>
          <w:sz w:val="24"/>
          <w:szCs w:val="24"/>
        </w:rPr>
        <w:footnoteReference w:id="14"/>
      </w:r>
      <w:r w:rsidR="00546B11" w:rsidRPr="007414F0">
        <w:rPr>
          <w:iCs/>
          <w:sz w:val="24"/>
          <w:szCs w:val="24"/>
        </w:rPr>
        <w:t>.</w:t>
      </w:r>
      <w:r w:rsidR="00546B11" w:rsidRPr="007414F0">
        <w:rPr>
          <w:color w:val="000000"/>
          <w:sz w:val="24"/>
          <w:szCs w:val="24"/>
          <w:u w:color="000000"/>
          <w:bdr w:val="nil"/>
          <w:lang w:eastAsia="zh-CN"/>
        </w:rPr>
        <w:t xml:space="preserve"> </w:t>
      </w:r>
      <w:r w:rsidR="00546B11" w:rsidRPr="007414F0">
        <w:rPr>
          <w:sz w:val="24"/>
          <w:szCs w:val="24"/>
        </w:rPr>
        <w:t xml:space="preserve">The </w:t>
      </w:r>
      <w:r w:rsidR="002060D9">
        <w:rPr>
          <w:sz w:val="24"/>
          <w:szCs w:val="24"/>
        </w:rPr>
        <w:t xml:space="preserve">availability of the </w:t>
      </w:r>
      <w:r w:rsidR="00546B11" w:rsidRPr="007414F0">
        <w:rPr>
          <w:sz w:val="24"/>
          <w:szCs w:val="24"/>
        </w:rPr>
        <w:t xml:space="preserve">entire 6 GHz band </w:t>
      </w:r>
      <w:r w:rsidR="00BC4535" w:rsidRPr="007414F0">
        <w:rPr>
          <w:sz w:val="24"/>
          <w:szCs w:val="24"/>
        </w:rPr>
        <w:t xml:space="preserve">is </w:t>
      </w:r>
      <w:r w:rsidR="00546B11" w:rsidRPr="007414F0">
        <w:rPr>
          <w:sz w:val="24"/>
          <w:szCs w:val="24"/>
        </w:rPr>
        <w:t xml:space="preserve">also </w:t>
      </w:r>
      <w:r w:rsidR="00BC4535" w:rsidRPr="007414F0">
        <w:rPr>
          <w:sz w:val="24"/>
          <w:szCs w:val="24"/>
        </w:rPr>
        <w:t xml:space="preserve">critical in enabling relevant applications in dense residential environments </w:t>
      </w:r>
      <w:r w:rsidR="00D64FEC">
        <w:rPr>
          <w:sz w:val="24"/>
          <w:szCs w:val="24"/>
        </w:rPr>
        <w:t>as well as</w:t>
      </w:r>
      <w:r w:rsidR="00BC4535" w:rsidRPr="007414F0">
        <w:rPr>
          <w:sz w:val="24"/>
          <w:szCs w:val="24"/>
        </w:rPr>
        <w:t xml:space="preserve"> scaling of applications in enterprise and industrial</w:t>
      </w:r>
      <w:r w:rsidR="00BC4535" w:rsidRPr="0074650B">
        <w:rPr>
          <w:sz w:val="24"/>
          <w:szCs w:val="24"/>
        </w:rPr>
        <w:t xml:space="preserve"> deployments</w:t>
      </w:r>
      <w:r w:rsidR="00BC4535">
        <w:rPr>
          <w:sz w:val="24"/>
          <w:szCs w:val="24"/>
        </w:rPr>
        <w:t xml:space="preserve"> (e.g., large public venues, university campuses)</w:t>
      </w:r>
      <w:r w:rsidR="00BC4535" w:rsidRPr="0074650B">
        <w:rPr>
          <w:sz w:val="24"/>
          <w:szCs w:val="24"/>
        </w:rPr>
        <w:t xml:space="preserve"> whe</w:t>
      </w:r>
      <w:r w:rsidR="00D64FEC">
        <w:rPr>
          <w:sz w:val="24"/>
          <w:szCs w:val="24"/>
        </w:rPr>
        <w:t>re</w:t>
      </w:r>
      <w:r w:rsidR="00BC4535" w:rsidRPr="0074650B">
        <w:rPr>
          <w:sz w:val="24"/>
          <w:szCs w:val="24"/>
        </w:rPr>
        <w:t xml:space="preserve"> multiple of these application sessions </w:t>
      </w:r>
      <w:r w:rsidR="00D64FEC">
        <w:rPr>
          <w:sz w:val="24"/>
          <w:szCs w:val="24"/>
        </w:rPr>
        <w:t xml:space="preserve">would need to </w:t>
      </w:r>
      <w:r w:rsidR="00BC4535">
        <w:rPr>
          <w:sz w:val="24"/>
          <w:szCs w:val="24"/>
        </w:rPr>
        <w:t xml:space="preserve">be </w:t>
      </w:r>
      <w:r w:rsidR="00BC4535" w:rsidRPr="0074650B">
        <w:rPr>
          <w:sz w:val="24"/>
          <w:szCs w:val="24"/>
        </w:rPr>
        <w:t>support</w:t>
      </w:r>
      <w:r w:rsidR="00BC4535">
        <w:rPr>
          <w:sz w:val="24"/>
          <w:szCs w:val="24"/>
        </w:rPr>
        <w:t>ed</w:t>
      </w:r>
      <w:r w:rsidR="00BC4535" w:rsidRPr="0074650B">
        <w:rPr>
          <w:sz w:val="24"/>
          <w:szCs w:val="24"/>
        </w:rPr>
        <w:t xml:space="preserve"> simultaneously</w:t>
      </w:r>
      <w:r>
        <w:rPr>
          <w:sz w:val="24"/>
          <w:szCs w:val="24"/>
        </w:rPr>
        <w:t xml:space="preserve">. The upper 6 GHz band is also crucial for enabling deployments of wireless mesh networks in 6 GHz, since out-of-band channels are required to establish wireless backhaul links between infrastructure and Wi-Fi access points (in addition to existing wireless links between Wi-Fi access points and client devices).  </w:t>
      </w:r>
    </w:p>
    <w:p w14:paraId="203E9F46" w14:textId="77777777" w:rsidR="00BE6548" w:rsidRDefault="00BE6548" w:rsidP="00BE6548">
      <w:pPr>
        <w:jc w:val="both"/>
        <w:rPr>
          <w:sz w:val="24"/>
          <w:szCs w:val="24"/>
        </w:rPr>
      </w:pPr>
    </w:p>
    <w:p w14:paraId="1D7108F6" w14:textId="585F3F8C" w:rsidR="00BE6548" w:rsidRDefault="00BE6548" w:rsidP="00BE6548">
      <w:pPr>
        <w:jc w:val="both"/>
        <w:rPr>
          <w:rFonts w:cs="Calibri"/>
          <w:iCs/>
        </w:rPr>
      </w:pPr>
      <w:r>
        <w:rPr>
          <w:sz w:val="24"/>
          <w:szCs w:val="24"/>
        </w:rPr>
        <w:t>Projections</w:t>
      </w:r>
      <w:r w:rsidRPr="00CE6A75">
        <w:rPr>
          <w:vertAlign w:val="superscript"/>
        </w:rPr>
        <w:footnoteReference w:id="15"/>
      </w:r>
      <w:r>
        <w:rPr>
          <w:sz w:val="24"/>
          <w:szCs w:val="24"/>
        </w:rPr>
        <w:t xml:space="preserve"> forecasts that real-time locating services are expected to grow by almost 15% a year between 2021 and 2030, and there is an increasing importance of real-time location and sensing services with high (sub-meter) accuracy. By allocating the upper 6 GHz band for license-exempt operation, the above-mentioned large bandwidth channels enable Wi-Fi based location and sensing services with sub-meter positioning and sensing accuracy based on IEEE Std 802.11az-2023</w:t>
      </w:r>
      <w:r>
        <w:rPr>
          <w:rStyle w:val="FootnoteReference"/>
          <w:sz w:val="24"/>
          <w:szCs w:val="24"/>
        </w:rPr>
        <w:footnoteReference w:id="16"/>
      </w:r>
      <w:r>
        <w:rPr>
          <w:sz w:val="24"/>
          <w:szCs w:val="24"/>
        </w:rPr>
        <w:t xml:space="preserve"> and IEEE P802.11bk</w:t>
      </w:r>
      <w:r>
        <w:rPr>
          <w:rStyle w:val="FootnoteReference"/>
          <w:sz w:val="24"/>
          <w:szCs w:val="24"/>
        </w:rPr>
        <w:footnoteReference w:id="17"/>
      </w:r>
      <w:r w:rsidRPr="00CE60D8">
        <w:rPr>
          <w:rFonts w:cs="Calibri"/>
          <w:iCs/>
          <w:sz w:val="24"/>
          <w:szCs w:val="22"/>
        </w:rPr>
        <w:t>.</w:t>
      </w:r>
    </w:p>
    <w:p w14:paraId="1471989E" w14:textId="77777777" w:rsidR="00BE6548" w:rsidRDefault="00BE6548" w:rsidP="00BE6548">
      <w:pPr>
        <w:jc w:val="both"/>
        <w:rPr>
          <w:sz w:val="24"/>
          <w:szCs w:val="24"/>
        </w:rPr>
      </w:pPr>
    </w:p>
    <w:p w14:paraId="5908FC46" w14:textId="66194222" w:rsidR="00112B13" w:rsidRDefault="00157A8C" w:rsidP="00D64B57">
      <w:pPr>
        <w:jc w:val="both"/>
        <w:rPr>
          <w:b/>
          <w:sz w:val="24"/>
          <w:szCs w:val="24"/>
        </w:rPr>
      </w:pPr>
      <w:r>
        <w:rPr>
          <w:b/>
          <w:sz w:val="24"/>
          <w:szCs w:val="24"/>
        </w:rPr>
        <w:t>Question 4</w:t>
      </w:r>
      <w:r w:rsidR="00DA7932" w:rsidRPr="00DA7932">
        <w:rPr>
          <w:b/>
          <w:sz w:val="24"/>
          <w:szCs w:val="24"/>
        </w:rPr>
        <w:t>. What is the minimum amount of radio frequency spectrum resources required for a WAS/RLAN system to meet the quality and diversity of the intended services? What are the requirements for new services (e.g. virtual/augmented reality devices</w:t>
      </w:r>
      <w:r w:rsidR="00112B13">
        <w:rPr>
          <w:b/>
          <w:sz w:val="24"/>
          <w:szCs w:val="24"/>
        </w:rPr>
        <w:t>)?</w:t>
      </w:r>
    </w:p>
    <w:p w14:paraId="6E1204F5" w14:textId="0E0CD748" w:rsidR="00AA5A44" w:rsidRDefault="00AA5A44" w:rsidP="00AA5A44">
      <w:pPr>
        <w:suppressAutoHyphens w:val="0"/>
        <w:spacing w:before="100" w:beforeAutospacing="1" w:after="100" w:afterAutospacing="1"/>
        <w:jc w:val="both"/>
        <w:rPr>
          <w:sz w:val="24"/>
          <w:szCs w:val="24"/>
        </w:rPr>
      </w:pPr>
      <w:r>
        <w:rPr>
          <w:sz w:val="24"/>
          <w:szCs w:val="24"/>
        </w:rPr>
        <w:t xml:space="preserve">RRT’s current </w:t>
      </w:r>
      <w:r w:rsidRPr="007D5C66">
        <w:rPr>
          <w:sz w:val="24"/>
          <w:szCs w:val="24"/>
        </w:rPr>
        <w:t>designation of 500 MHz of the 6 GHz band from 59</w:t>
      </w:r>
      <w:r>
        <w:rPr>
          <w:sz w:val="24"/>
          <w:szCs w:val="24"/>
        </w:rPr>
        <w:t>4</w:t>
      </w:r>
      <w:r w:rsidRPr="007D5C66">
        <w:rPr>
          <w:sz w:val="24"/>
          <w:szCs w:val="24"/>
        </w:rPr>
        <w:t xml:space="preserve">5 MHz to 6425 MHz for </w:t>
      </w:r>
      <w:r>
        <w:rPr>
          <w:sz w:val="24"/>
          <w:szCs w:val="24"/>
        </w:rPr>
        <w:t>Wi-Fi</w:t>
      </w:r>
      <w:r w:rsidRPr="007D5C66">
        <w:rPr>
          <w:sz w:val="24"/>
          <w:szCs w:val="24"/>
        </w:rPr>
        <w:t xml:space="preserve"> operation provides for only one contiguous 320 MHz channel, while the 59</w:t>
      </w:r>
      <w:r w:rsidR="007A526E">
        <w:rPr>
          <w:sz w:val="24"/>
          <w:szCs w:val="24"/>
        </w:rPr>
        <w:t>4</w:t>
      </w:r>
      <w:r w:rsidRPr="007D5C66">
        <w:rPr>
          <w:sz w:val="24"/>
          <w:szCs w:val="24"/>
        </w:rPr>
        <w:t xml:space="preserve">5 MHz to 7125 MHz </w:t>
      </w:r>
      <w:r>
        <w:rPr>
          <w:sz w:val="24"/>
          <w:szCs w:val="24"/>
        </w:rPr>
        <w:t xml:space="preserve">frequency </w:t>
      </w:r>
      <w:r w:rsidRPr="007D5C66">
        <w:rPr>
          <w:sz w:val="24"/>
          <w:szCs w:val="24"/>
        </w:rPr>
        <w:t xml:space="preserve">band would allow three such channels to support Gigabit connectivity </w:t>
      </w:r>
      <w:r>
        <w:rPr>
          <w:sz w:val="24"/>
          <w:szCs w:val="24"/>
        </w:rPr>
        <w:t xml:space="preserve">with the intended services as noted in </w:t>
      </w:r>
      <w:r w:rsidR="00056177">
        <w:rPr>
          <w:sz w:val="24"/>
          <w:szCs w:val="24"/>
        </w:rPr>
        <w:t xml:space="preserve">the response to </w:t>
      </w:r>
      <w:r>
        <w:rPr>
          <w:sz w:val="24"/>
          <w:szCs w:val="24"/>
        </w:rPr>
        <w:t>Question 3</w:t>
      </w:r>
      <w:r w:rsidRPr="007D5C66">
        <w:rPr>
          <w:sz w:val="24"/>
          <w:szCs w:val="24"/>
        </w:rPr>
        <w:t>.</w:t>
      </w:r>
      <w:r>
        <w:rPr>
          <w:sz w:val="24"/>
          <w:szCs w:val="24"/>
        </w:rPr>
        <w:t xml:space="preserve"> </w:t>
      </w:r>
    </w:p>
    <w:p w14:paraId="742FBF19" w14:textId="77777777" w:rsidR="009876BA" w:rsidRDefault="00157A8C" w:rsidP="00D64B57">
      <w:pPr>
        <w:jc w:val="both"/>
        <w:rPr>
          <w:b/>
          <w:sz w:val="24"/>
          <w:szCs w:val="24"/>
        </w:rPr>
      </w:pPr>
      <w:r>
        <w:rPr>
          <w:b/>
          <w:sz w:val="24"/>
          <w:szCs w:val="24"/>
        </w:rPr>
        <w:t xml:space="preserve">Question </w:t>
      </w:r>
      <w:r w:rsidR="00DA7932" w:rsidRPr="00DA7932">
        <w:rPr>
          <w:b/>
          <w:sz w:val="24"/>
          <w:szCs w:val="24"/>
        </w:rPr>
        <w:t>5. What types of locations (e.g. airports, hospitals, universities, residential areas, etc.) currently have the greatest demand for radio frequency resources?</w:t>
      </w:r>
    </w:p>
    <w:p w14:paraId="25066834" w14:textId="77777777" w:rsidR="009876BA" w:rsidRDefault="009876BA" w:rsidP="00D64B57">
      <w:pPr>
        <w:jc w:val="both"/>
        <w:rPr>
          <w:b/>
          <w:sz w:val="24"/>
          <w:szCs w:val="24"/>
        </w:rPr>
      </w:pPr>
    </w:p>
    <w:p w14:paraId="45753DA7" w14:textId="1373A94A" w:rsidR="009876BA" w:rsidRDefault="009876BA" w:rsidP="009876BA">
      <w:pPr>
        <w:jc w:val="both"/>
        <w:rPr>
          <w:sz w:val="24"/>
          <w:szCs w:val="24"/>
        </w:rPr>
      </w:pPr>
      <w:r w:rsidRPr="0088271F">
        <w:rPr>
          <w:sz w:val="24"/>
          <w:szCs w:val="24"/>
        </w:rPr>
        <w:t xml:space="preserve">It is </w:t>
      </w:r>
      <w:r>
        <w:rPr>
          <w:sz w:val="24"/>
          <w:szCs w:val="24"/>
        </w:rPr>
        <w:t xml:space="preserve">quite </w:t>
      </w:r>
      <w:r w:rsidRPr="0088271F">
        <w:rPr>
          <w:sz w:val="24"/>
          <w:szCs w:val="24"/>
        </w:rPr>
        <w:t xml:space="preserve">common that for carpeted office environments, </w:t>
      </w:r>
      <w:r>
        <w:rPr>
          <w:sz w:val="24"/>
          <w:szCs w:val="24"/>
        </w:rPr>
        <w:t>Wi-Fi</w:t>
      </w:r>
      <w:r w:rsidRPr="0088271F">
        <w:rPr>
          <w:sz w:val="24"/>
          <w:szCs w:val="24"/>
        </w:rPr>
        <w:t xml:space="preserve"> networking fully replace</w:t>
      </w:r>
      <w:r>
        <w:rPr>
          <w:sz w:val="24"/>
          <w:szCs w:val="24"/>
        </w:rPr>
        <w:t>s</w:t>
      </w:r>
      <w:r w:rsidRPr="0088271F">
        <w:rPr>
          <w:sz w:val="24"/>
          <w:szCs w:val="24"/>
        </w:rPr>
        <w:t xml:space="preserve"> wireline </w:t>
      </w:r>
      <w:r>
        <w:rPr>
          <w:sz w:val="24"/>
          <w:szCs w:val="24"/>
        </w:rPr>
        <w:t>E</w:t>
      </w:r>
      <w:r w:rsidRPr="0088271F">
        <w:rPr>
          <w:sz w:val="24"/>
          <w:szCs w:val="24"/>
        </w:rPr>
        <w:t xml:space="preserve">thernet </w:t>
      </w:r>
      <w:r>
        <w:rPr>
          <w:sz w:val="24"/>
          <w:szCs w:val="24"/>
        </w:rPr>
        <w:t xml:space="preserve">networks </w:t>
      </w:r>
      <w:r w:rsidRPr="0088271F">
        <w:rPr>
          <w:sz w:val="24"/>
          <w:szCs w:val="24"/>
        </w:rPr>
        <w:t>for device connectivity. In those environments all enterprise applications (</w:t>
      </w:r>
      <w:r w:rsidR="00101506">
        <w:rPr>
          <w:sz w:val="24"/>
          <w:szCs w:val="24"/>
        </w:rPr>
        <w:t xml:space="preserve">e.g., </w:t>
      </w:r>
      <w:r w:rsidRPr="0088271F">
        <w:rPr>
          <w:sz w:val="24"/>
          <w:szCs w:val="24"/>
        </w:rPr>
        <w:t>voice/video conferencing, office productivity applications, access to server/cloud</w:t>
      </w:r>
      <w:r>
        <w:rPr>
          <w:sz w:val="24"/>
          <w:szCs w:val="24"/>
        </w:rPr>
        <w:t>-</w:t>
      </w:r>
      <w:r w:rsidRPr="0088271F">
        <w:rPr>
          <w:sz w:val="24"/>
          <w:szCs w:val="24"/>
        </w:rPr>
        <w:t xml:space="preserve">based systems) run over </w:t>
      </w:r>
      <w:r>
        <w:rPr>
          <w:sz w:val="24"/>
          <w:szCs w:val="24"/>
        </w:rPr>
        <w:t>the Wi-Fi network</w:t>
      </w:r>
      <w:r w:rsidRPr="0088271F">
        <w:rPr>
          <w:sz w:val="24"/>
          <w:szCs w:val="24"/>
        </w:rPr>
        <w:t xml:space="preserve">. </w:t>
      </w:r>
      <w:r>
        <w:rPr>
          <w:sz w:val="24"/>
          <w:szCs w:val="24"/>
        </w:rPr>
        <w:t>Wi-Fi networking for enterprise users is not restricted to office environments. One European construction customer for example has deployed a software-defined b</w:t>
      </w:r>
      <w:r w:rsidRPr="007A7A80">
        <w:rPr>
          <w:sz w:val="24"/>
          <w:szCs w:val="24"/>
        </w:rPr>
        <w:t xml:space="preserve">ranch solution including </w:t>
      </w:r>
      <w:r>
        <w:rPr>
          <w:sz w:val="24"/>
          <w:szCs w:val="24"/>
        </w:rPr>
        <w:t>Wi-Fi</w:t>
      </w:r>
      <w:r w:rsidRPr="007A7A80">
        <w:rPr>
          <w:sz w:val="24"/>
          <w:szCs w:val="24"/>
        </w:rPr>
        <w:t xml:space="preserve"> for offices </w:t>
      </w:r>
      <w:r>
        <w:rPr>
          <w:sz w:val="24"/>
          <w:szCs w:val="24"/>
        </w:rPr>
        <w:t xml:space="preserve">and for </w:t>
      </w:r>
      <w:r w:rsidRPr="007A7A80">
        <w:rPr>
          <w:sz w:val="24"/>
          <w:szCs w:val="24"/>
        </w:rPr>
        <w:t xml:space="preserve">large and medium construction sites across </w:t>
      </w:r>
      <w:r>
        <w:rPr>
          <w:sz w:val="24"/>
          <w:szCs w:val="24"/>
        </w:rPr>
        <w:lastRenderedPageBreak/>
        <w:t>Europe and beyond</w:t>
      </w:r>
      <w:r w:rsidRPr="007A7A80">
        <w:rPr>
          <w:sz w:val="24"/>
          <w:szCs w:val="24"/>
        </w:rPr>
        <w:t>. Currently approximately 1</w:t>
      </w:r>
      <w:r>
        <w:rPr>
          <w:sz w:val="24"/>
          <w:szCs w:val="24"/>
        </w:rPr>
        <w:t>,</w:t>
      </w:r>
      <w:r w:rsidRPr="007A7A80">
        <w:rPr>
          <w:sz w:val="24"/>
          <w:szCs w:val="24"/>
        </w:rPr>
        <w:t>400 A</w:t>
      </w:r>
      <w:r>
        <w:rPr>
          <w:sz w:val="24"/>
          <w:szCs w:val="24"/>
        </w:rPr>
        <w:t xml:space="preserve">ccess </w:t>
      </w:r>
      <w:r w:rsidRPr="007A7A80">
        <w:rPr>
          <w:sz w:val="24"/>
          <w:szCs w:val="24"/>
        </w:rPr>
        <w:t>P</w:t>
      </w:r>
      <w:r>
        <w:rPr>
          <w:sz w:val="24"/>
          <w:szCs w:val="24"/>
        </w:rPr>
        <w:t>oint</w:t>
      </w:r>
      <w:r w:rsidRPr="007A7A80">
        <w:rPr>
          <w:sz w:val="24"/>
          <w:szCs w:val="24"/>
        </w:rPr>
        <w:t>s</w:t>
      </w:r>
      <w:r>
        <w:rPr>
          <w:sz w:val="24"/>
          <w:szCs w:val="24"/>
        </w:rPr>
        <w:t xml:space="preserve"> (APs) </w:t>
      </w:r>
      <w:r w:rsidRPr="007A7A80">
        <w:rPr>
          <w:sz w:val="24"/>
          <w:szCs w:val="24"/>
        </w:rPr>
        <w:t xml:space="preserve">are in use on approximately 200 sites, providing connectivity for office areas as well as for construction sites. </w:t>
      </w:r>
      <w:r>
        <w:rPr>
          <w:sz w:val="24"/>
          <w:szCs w:val="24"/>
        </w:rPr>
        <w:t>Wi-Fi</w:t>
      </w:r>
      <w:r w:rsidRPr="007A7A80">
        <w:rPr>
          <w:sz w:val="24"/>
          <w:szCs w:val="24"/>
        </w:rPr>
        <w:t xml:space="preserve"> is critical for </w:t>
      </w:r>
      <w:r>
        <w:rPr>
          <w:sz w:val="24"/>
          <w:szCs w:val="24"/>
        </w:rPr>
        <w:t xml:space="preserve">both </w:t>
      </w:r>
      <w:r w:rsidRPr="007A7A80">
        <w:rPr>
          <w:sz w:val="24"/>
          <w:szCs w:val="24"/>
        </w:rPr>
        <w:t xml:space="preserve">business operation </w:t>
      </w:r>
      <w:r>
        <w:rPr>
          <w:sz w:val="24"/>
          <w:szCs w:val="24"/>
        </w:rPr>
        <w:t>and</w:t>
      </w:r>
      <w:r w:rsidRPr="007A7A80">
        <w:rPr>
          <w:sz w:val="24"/>
          <w:szCs w:val="24"/>
        </w:rPr>
        <w:t xml:space="preserve"> for the needs of the digitized construction site. </w:t>
      </w:r>
    </w:p>
    <w:p w14:paraId="3DCAFC05" w14:textId="77777777" w:rsidR="009876BA" w:rsidRDefault="009876BA" w:rsidP="009876BA">
      <w:pPr>
        <w:rPr>
          <w:sz w:val="24"/>
          <w:szCs w:val="24"/>
        </w:rPr>
      </w:pPr>
    </w:p>
    <w:p w14:paraId="2F33292E" w14:textId="56896515" w:rsidR="009876BA" w:rsidRPr="007A7A80" w:rsidRDefault="009876BA" w:rsidP="009876BA">
      <w:pPr>
        <w:jc w:val="both"/>
        <w:rPr>
          <w:sz w:val="24"/>
          <w:szCs w:val="24"/>
        </w:rPr>
      </w:pPr>
      <w:r>
        <w:rPr>
          <w:sz w:val="24"/>
          <w:szCs w:val="24"/>
        </w:rPr>
        <w:t xml:space="preserve">Below are </w:t>
      </w:r>
      <w:r w:rsidRPr="007A7A80">
        <w:rPr>
          <w:sz w:val="24"/>
          <w:szCs w:val="24"/>
        </w:rPr>
        <w:t xml:space="preserve">a few </w:t>
      </w:r>
      <w:r>
        <w:rPr>
          <w:sz w:val="24"/>
          <w:szCs w:val="24"/>
        </w:rPr>
        <w:t xml:space="preserve">publicly available </w:t>
      </w:r>
      <w:r w:rsidRPr="007A7A80">
        <w:rPr>
          <w:sz w:val="24"/>
          <w:szCs w:val="24"/>
        </w:rPr>
        <w:t xml:space="preserve">examples </w:t>
      </w:r>
      <w:r w:rsidR="00460800">
        <w:rPr>
          <w:sz w:val="24"/>
          <w:szCs w:val="24"/>
        </w:rPr>
        <w:t>of</w:t>
      </w:r>
      <w:r>
        <w:rPr>
          <w:sz w:val="24"/>
          <w:szCs w:val="24"/>
        </w:rPr>
        <w:t xml:space="preserve"> the types of locations that currently have the greatest demand for radio frequency resources</w:t>
      </w:r>
      <w:r w:rsidR="00273C15">
        <w:rPr>
          <w:sz w:val="24"/>
          <w:szCs w:val="24"/>
        </w:rPr>
        <w:t>.</w:t>
      </w:r>
    </w:p>
    <w:p w14:paraId="58BF89A0"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sz w:val="24"/>
          <w:szCs w:val="24"/>
        </w:rPr>
        <w:t>Universities:</w:t>
      </w:r>
    </w:p>
    <w:p w14:paraId="470F96A4" w14:textId="2A7BFE9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sz w:val="24"/>
          <w:szCs w:val="24"/>
        </w:rPr>
        <w:t>Cyprus University of Technology</w:t>
      </w:r>
      <w:r w:rsidR="00DD74A9">
        <w:rPr>
          <w:rStyle w:val="FootnoteReference"/>
          <w:rFonts w:ascii="Times New Roman" w:hAnsi="Times New Roman" w:cs="Times New Roman"/>
          <w:sz w:val="24"/>
          <w:szCs w:val="24"/>
        </w:rPr>
        <w:footnoteReference w:id="18"/>
      </w:r>
      <w:r>
        <w:rPr>
          <w:rFonts w:ascii="Times New Roman" w:hAnsi="Times New Roman" w:cs="Times New Roman"/>
          <w:sz w:val="24"/>
          <w:szCs w:val="24"/>
        </w:rPr>
        <w:t>, Cyprus</w:t>
      </w:r>
      <w:r w:rsidRPr="0088271F">
        <w:rPr>
          <w:rFonts w:ascii="Times New Roman" w:hAnsi="Times New Roman" w:cs="Times New Roman"/>
          <w:color w:val="000000"/>
          <w:sz w:val="24"/>
          <w:szCs w:val="24"/>
        </w:rPr>
        <w:t xml:space="preserve"> </w:t>
      </w:r>
    </w:p>
    <w:p w14:paraId="2A537A2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Stadiums:</w:t>
      </w:r>
    </w:p>
    <w:p w14:paraId="5F817CE9" w14:textId="0788A143"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Ghelamco Stadium</w:t>
      </w:r>
      <w:r w:rsidR="00EC7697">
        <w:rPr>
          <w:rStyle w:val="FootnoteReference"/>
          <w:rFonts w:ascii="Times New Roman" w:hAnsi="Times New Roman" w:cs="Times New Roman"/>
          <w:color w:val="000000"/>
          <w:sz w:val="24"/>
          <w:szCs w:val="24"/>
        </w:rPr>
        <w:footnoteReference w:id="19"/>
      </w:r>
      <w:r w:rsidRPr="0088271F">
        <w:rPr>
          <w:rFonts w:ascii="Times New Roman" w:hAnsi="Times New Roman" w:cs="Times New Roman"/>
          <w:color w:val="000000"/>
          <w:sz w:val="24"/>
          <w:szCs w:val="24"/>
        </w:rPr>
        <w:t>, Belgium</w:t>
      </w:r>
    </w:p>
    <w:p w14:paraId="2D716394"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Container </w:t>
      </w:r>
      <w:r>
        <w:rPr>
          <w:rFonts w:ascii="Times New Roman" w:hAnsi="Times New Roman" w:cs="Times New Roman"/>
          <w:color w:val="000000"/>
          <w:sz w:val="24"/>
          <w:szCs w:val="24"/>
        </w:rPr>
        <w:t>s</w:t>
      </w:r>
      <w:r w:rsidRPr="0088271F">
        <w:rPr>
          <w:rFonts w:ascii="Times New Roman" w:hAnsi="Times New Roman" w:cs="Times New Roman"/>
          <w:color w:val="000000"/>
          <w:sz w:val="24"/>
          <w:szCs w:val="24"/>
        </w:rPr>
        <w:t xml:space="preserve">hipping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erminals:</w:t>
      </w:r>
    </w:p>
    <w:p w14:paraId="6B898C07" w14:textId="64DC571E" w:rsidR="009876BA"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Port of Thessaloniki</w:t>
      </w:r>
      <w:r w:rsidR="00F351CE">
        <w:rPr>
          <w:rStyle w:val="FootnoteReference"/>
          <w:rFonts w:ascii="Times New Roman" w:hAnsi="Times New Roman" w:cs="Times New Roman"/>
          <w:color w:val="000000"/>
          <w:sz w:val="24"/>
          <w:szCs w:val="24"/>
        </w:rPr>
        <w:footnoteReference w:id="20"/>
      </w:r>
      <w:r w:rsidRPr="0088271F">
        <w:rPr>
          <w:rFonts w:ascii="Times New Roman" w:hAnsi="Times New Roman" w:cs="Times New Roman"/>
          <w:color w:val="000000"/>
          <w:sz w:val="24"/>
          <w:szCs w:val="24"/>
        </w:rPr>
        <w:t xml:space="preserve">, Greece </w:t>
      </w:r>
    </w:p>
    <w:p w14:paraId="14B43FE9" w14:textId="6A53DE3D" w:rsidR="00A8340B" w:rsidRPr="00A8340B" w:rsidRDefault="00A8340B" w:rsidP="00A8340B">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La Spezia Container Termina</w:t>
      </w:r>
      <w:r>
        <w:rPr>
          <w:rStyle w:val="FootnoteReference"/>
          <w:rFonts w:ascii="Times New Roman" w:hAnsi="Times New Roman" w:cs="Times New Roman"/>
          <w:color w:val="000000"/>
          <w:sz w:val="24"/>
          <w:szCs w:val="24"/>
        </w:rPr>
        <w:footnoteReference w:id="21"/>
      </w:r>
      <w:r w:rsidRPr="0088271F">
        <w:rPr>
          <w:rFonts w:ascii="Times New Roman" w:hAnsi="Times New Roman" w:cs="Times New Roman"/>
          <w:color w:val="000000"/>
          <w:sz w:val="24"/>
          <w:szCs w:val="24"/>
        </w:rPr>
        <w:t xml:space="preserve">, Italy </w:t>
      </w:r>
    </w:p>
    <w:p w14:paraId="16CDEA8C" w14:textId="064589B4"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Malta Freeport Terminal</w:t>
      </w:r>
      <w:r w:rsidR="00340FE5">
        <w:rPr>
          <w:rStyle w:val="FootnoteReference"/>
          <w:rFonts w:ascii="Times New Roman" w:hAnsi="Times New Roman" w:cs="Times New Roman"/>
          <w:color w:val="000000"/>
          <w:sz w:val="24"/>
          <w:szCs w:val="24"/>
        </w:rPr>
        <w:footnoteReference w:id="22"/>
      </w:r>
      <w:r>
        <w:rPr>
          <w:rFonts w:ascii="Times New Roman" w:hAnsi="Times New Roman" w:cs="Times New Roman"/>
          <w:color w:val="000000"/>
          <w:sz w:val="24"/>
          <w:szCs w:val="24"/>
        </w:rPr>
        <w:t>, Malta</w:t>
      </w:r>
    </w:p>
    <w:p w14:paraId="74ABB607"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Public </w:t>
      </w:r>
      <w:r>
        <w:rPr>
          <w:rFonts w:ascii="Times New Roman" w:hAnsi="Times New Roman" w:cs="Times New Roman"/>
          <w:color w:val="000000"/>
          <w:sz w:val="24"/>
          <w:szCs w:val="24"/>
        </w:rPr>
        <w:t>t</w:t>
      </w:r>
      <w:r w:rsidRPr="0088271F">
        <w:rPr>
          <w:rFonts w:ascii="Times New Roman" w:hAnsi="Times New Roman" w:cs="Times New Roman"/>
          <w:color w:val="000000"/>
          <w:sz w:val="24"/>
          <w:szCs w:val="24"/>
        </w:rPr>
        <w:t>ransportation:</w:t>
      </w:r>
    </w:p>
    <w:p w14:paraId="7A731B15" w14:textId="5E8F89BD"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Cable Car Operation Cortina d’Ampezzo</w:t>
      </w:r>
      <w:r w:rsidR="0083293D">
        <w:rPr>
          <w:rStyle w:val="FootnoteReference"/>
          <w:rFonts w:ascii="Times New Roman" w:hAnsi="Times New Roman" w:cs="Times New Roman"/>
          <w:color w:val="000000"/>
          <w:sz w:val="24"/>
          <w:szCs w:val="24"/>
        </w:rPr>
        <w:footnoteReference w:id="23"/>
      </w:r>
      <w:r>
        <w:rPr>
          <w:rFonts w:ascii="Times New Roman" w:hAnsi="Times New Roman" w:cs="Times New Roman"/>
          <w:color w:val="000000"/>
          <w:sz w:val="24"/>
          <w:szCs w:val="24"/>
        </w:rPr>
        <w:t>, Italy</w:t>
      </w:r>
      <w:r w:rsidRPr="0088271F">
        <w:rPr>
          <w:rFonts w:ascii="Times New Roman" w:hAnsi="Times New Roman" w:cs="Times New Roman"/>
          <w:color w:val="000000"/>
          <w:sz w:val="24"/>
          <w:szCs w:val="24"/>
        </w:rPr>
        <w:t xml:space="preserve"> </w:t>
      </w:r>
    </w:p>
    <w:p w14:paraId="2CE2EE3D" w14:textId="77777777" w:rsidR="009876BA" w:rsidRPr="0088271F" w:rsidRDefault="009876BA" w:rsidP="009876BA">
      <w:pPr>
        <w:pStyle w:val="xmsonormal"/>
        <w:numPr>
          <w:ilvl w:val="0"/>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 xml:space="preserve">Manufacturing:  </w:t>
      </w:r>
    </w:p>
    <w:p w14:paraId="18DA6C82" w14:textId="676B9821" w:rsidR="009876BA" w:rsidRPr="0088271F" w:rsidRDefault="009876BA" w:rsidP="009876BA">
      <w:pPr>
        <w:pStyle w:val="xmsonormal"/>
        <w:numPr>
          <w:ilvl w:val="1"/>
          <w:numId w:val="28"/>
        </w:numPr>
        <w:rPr>
          <w:rFonts w:ascii="Times New Roman" w:hAnsi="Times New Roman" w:cs="Times New Roman"/>
          <w:color w:val="000000"/>
          <w:sz w:val="24"/>
          <w:szCs w:val="24"/>
        </w:rPr>
      </w:pPr>
      <w:r w:rsidRPr="0088271F">
        <w:rPr>
          <w:rFonts w:ascii="Times New Roman" w:hAnsi="Times New Roman" w:cs="Times New Roman"/>
          <w:color w:val="000000"/>
          <w:sz w:val="24"/>
          <w:szCs w:val="24"/>
        </w:rPr>
        <w:t>Mettis Aerospace</w:t>
      </w:r>
      <w:r w:rsidR="005B00BC">
        <w:rPr>
          <w:rStyle w:val="FootnoteReference"/>
          <w:rFonts w:ascii="Times New Roman" w:hAnsi="Times New Roman" w:cs="Times New Roman"/>
          <w:color w:val="000000"/>
          <w:sz w:val="24"/>
          <w:szCs w:val="24"/>
        </w:rPr>
        <w:footnoteReference w:id="24"/>
      </w:r>
      <w:r w:rsidRPr="0088271F">
        <w:rPr>
          <w:rFonts w:ascii="Times New Roman" w:hAnsi="Times New Roman" w:cs="Times New Roman"/>
          <w:color w:val="000000"/>
          <w:sz w:val="24"/>
          <w:szCs w:val="24"/>
        </w:rPr>
        <w:t xml:space="preserve">, UK </w:t>
      </w:r>
    </w:p>
    <w:p w14:paraId="197C43CF" w14:textId="77777777" w:rsidR="009876BA" w:rsidRPr="0088271F" w:rsidRDefault="009876BA" w:rsidP="009876BA">
      <w:pPr>
        <w:pStyle w:val="xmsonormal"/>
        <w:rPr>
          <w:rFonts w:ascii="Times New Roman" w:hAnsi="Times New Roman" w:cs="Times New Roman"/>
          <w:color w:val="000000"/>
          <w:sz w:val="24"/>
          <w:szCs w:val="24"/>
        </w:rPr>
      </w:pPr>
    </w:p>
    <w:p w14:paraId="6DD64BC4" w14:textId="0037B056" w:rsidR="00112B13" w:rsidRDefault="00157A8C" w:rsidP="00D64B57">
      <w:pPr>
        <w:jc w:val="both"/>
        <w:rPr>
          <w:b/>
          <w:sz w:val="24"/>
          <w:szCs w:val="24"/>
        </w:rPr>
      </w:pPr>
      <w:r>
        <w:rPr>
          <w:b/>
          <w:sz w:val="24"/>
          <w:szCs w:val="24"/>
        </w:rPr>
        <w:t xml:space="preserve">Question </w:t>
      </w:r>
      <w:r w:rsidR="00DA7932" w:rsidRPr="00DA7932">
        <w:rPr>
          <w:b/>
          <w:sz w:val="24"/>
          <w:szCs w:val="24"/>
        </w:rPr>
        <w:t>6. What maximum effective isotropic radiated power (eirp) would you use (e.g. 25 mW, 200 mW, 4 W) in the U6 GHz band (or part thereof) and where would you plan to provide radio communication (e.g. outdoors and indoors, outdoors only, indoors only)?</w:t>
      </w:r>
      <w:r w:rsidR="00DA7932" w:rsidRPr="00DA7932">
        <w:rPr>
          <w:b/>
          <w:sz w:val="24"/>
          <w:szCs w:val="24"/>
        </w:rPr>
        <w:br/>
      </w:r>
    </w:p>
    <w:p w14:paraId="0C5EF312" w14:textId="5187E4D2" w:rsidR="007A2940" w:rsidRPr="007414F0" w:rsidRDefault="007A2940" w:rsidP="007A2940">
      <w:pPr>
        <w:jc w:val="both"/>
        <w:rPr>
          <w:sz w:val="24"/>
          <w:szCs w:val="24"/>
        </w:rPr>
      </w:pPr>
      <w:r w:rsidRPr="007414F0">
        <w:rPr>
          <w:sz w:val="24"/>
          <w:szCs w:val="24"/>
        </w:rPr>
        <w:t>IEEE 802 LMSC respectfully asks RRT to consider allowing Wi-Fi devices to operate between 59</w:t>
      </w:r>
      <w:r w:rsidR="00460800">
        <w:rPr>
          <w:sz w:val="24"/>
          <w:szCs w:val="24"/>
        </w:rPr>
        <w:t>4</w:t>
      </w:r>
      <w:r w:rsidRPr="007414F0">
        <w:rPr>
          <w:sz w:val="24"/>
          <w:szCs w:val="24"/>
        </w:rPr>
        <w:t xml:space="preserve">5 MHz and 7125 MHz </w:t>
      </w:r>
      <w:r w:rsidR="001D7C4B" w:rsidRPr="007414F0">
        <w:rPr>
          <w:sz w:val="24"/>
          <w:szCs w:val="24"/>
        </w:rPr>
        <w:t xml:space="preserve">and </w:t>
      </w:r>
      <w:r w:rsidRPr="007414F0">
        <w:rPr>
          <w:sz w:val="24"/>
          <w:szCs w:val="24"/>
        </w:rPr>
        <w:t>using no greater than 25 mW outdoors (a.k.a., very low power (VLP) mode) or no greater than 200 mW indoors (a.k.a., low power indoor (LPI) mode) without causing harmful interference to existing authorized communications and without protection from any interference caused by existing authorized communications.</w:t>
      </w:r>
    </w:p>
    <w:p w14:paraId="126F4730" w14:textId="77777777" w:rsidR="00552252" w:rsidRPr="007414F0" w:rsidRDefault="00552252" w:rsidP="007A2940">
      <w:pPr>
        <w:jc w:val="both"/>
        <w:rPr>
          <w:sz w:val="24"/>
          <w:szCs w:val="24"/>
        </w:rPr>
      </w:pPr>
    </w:p>
    <w:p w14:paraId="61D8FDCA" w14:textId="3E9829BC" w:rsidR="00925107" w:rsidRDefault="00925107" w:rsidP="00925107">
      <w:pPr>
        <w:jc w:val="both"/>
        <w:rPr>
          <w:sz w:val="24"/>
          <w:szCs w:val="24"/>
        </w:rPr>
      </w:pPr>
      <w:r w:rsidRPr="007414F0">
        <w:rPr>
          <w:sz w:val="24"/>
          <w:szCs w:val="24"/>
        </w:rPr>
        <w:t xml:space="preserve">In addition, IEEE 802 LMSC </w:t>
      </w:r>
      <w:r w:rsidRPr="007414F0">
        <w:rPr>
          <w:rFonts w:eastAsia="Arial Unicode MS"/>
          <w:sz w:val="24"/>
          <w:szCs w:val="24"/>
          <w:bdr w:val="nil"/>
          <w:lang w:val="en-CA"/>
        </w:rPr>
        <w:t xml:space="preserve">respectfully asks RRT </w:t>
      </w:r>
      <w:r w:rsidRPr="007414F0">
        <w:rPr>
          <w:sz w:val="24"/>
          <w:szCs w:val="24"/>
        </w:rPr>
        <w:t xml:space="preserve">to initiate proceedings to authorize </w:t>
      </w:r>
      <w:r w:rsidRPr="007414F0">
        <w:rPr>
          <w:rFonts w:eastAsia="Arial Unicode MS"/>
          <w:sz w:val="24"/>
          <w:szCs w:val="24"/>
          <w:bdr w:val="nil"/>
          <w:lang w:val="en-CA"/>
        </w:rPr>
        <w:t>Standard Power</w:t>
      </w:r>
      <w:r w:rsidR="008F4662" w:rsidRPr="007414F0">
        <w:rPr>
          <w:rFonts w:eastAsia="Arial Unicode MS"/>
          <w:sz w:val="24"/>
          <w:szCs w:val="24"/>
          <w:bdr w:val="nil"/>
          <w:lang w:val="en-CA"/>
        </w:rPr>
        <w:t xml:space="preserve"> (SP)</w:t>
      </w:r>
      <w:r w:rsidRPr="007414F0">
        <w:rPr>
          <w:rFonts w:eastAsia="Arial Unicode MS"/>
          <w:sz w:val="24"/>
          <w:szCs w:val="24"/>
          <w:bdr w:val="nil"/>
          <w:lang w:val="en-CA"/>
        </w:rPr>
        <w:t xml:space="preserve"> </w:t>
      </w:r>
      <w:r w:rsidR="008F4662" w:rsidRPr="007414F0">
        <w:rPr>
          <w:rFonts w:eastAsia="Arial Unicode MS"/>
          <w:sz w:val="24"/>
          <w:szCs w:val="24"/>
          <w:bdr w:val="nil"/>
          <w:lang w:val="en-CA"/>
        </w:rPr>
        <w:t>mode</w:t>
      </w:r>
      <w:r w:rsidRPr="007414F0">
        <w:rPr>
          <w:sz w:val="24"/>
          <w:szCs w:val="24"/>
        </w:rPr>
        <w:t xml:space="preserve"> under supervision of an </w:t>
      </w:r>
      <w:r w:rsidR="00C75A0C">
        <w:rPr>
          <w:sz w:val="24"/>
          <w:szCs w:val="24"/>
        </w:rPr>
        <w:t>automatic frequency coordination (</w:t>
      </w:r>
      <w:r w:rsidRPr="007414F0">
        <w:rPr>
          <w:sz w:val="24"/>
          <w:szCs w:val="24"/>
        </w:rPr>
        <w:t>AFC</w:t>
      </w:r>
      <w:r w:rsidR="00C75A0C">
        <w:rPr>
          <w:sz w:val="24"/>
          <w:szCs w:val="24"/>
        </w:rPr>
        <w:t>)</w:t>
      </w:r>
      <w:r w:rsidRPr="007414F0">
        <w:rPr>
          <w:sz w:val="24"/>
          <w:szCs w:val="24"/>
        </w:rPr>
        <w:t xml:space="preserve"> system in the 6 GHz band. SP mode enables Wi-Fi</w:t>
      </w:r>
      <w:r w:rsidR="00A9009B" w:rsidRPr="007414F0">
        <w:rPr>
          <w:sz w:val="24"/>
          <w:szCs w:val="24"/>
        </w:rPr>
        <w:t xml:space="preserve"> </w:t>
      </w:r>
      <w:r w:rsidRPr="007414F0">
        <w:rPr>
          <w:sz w:val="24"/>
          <w:szCs w:val="24"/>
        </w:rPr>
        <w:t xml:space="preserve">operation at higher power </w:t>
      </w:r>
      <w:r w:rsidRPr="007414F0">
        <w:rPr>
          <w:rFonts w:eastAsia="Arial Unicode MS"/>
          <w:sz w:val="24"/>
          <w:szCs w:val="24"/>
          <w:bdr w:val="nil"/>
        </w:rPr>
        <w:t xml:space="preserve">(up to 36 dBm / 4W EIRP) </w:t>
      </w:r>
      <w:r w:rsidRPr="007414F0">
        <w:rPr>
          <w:sz w:val="24"/>
          <w:szCs w:val="24"/>
        </w:rPr>
        <w:t>than LPI mode, to optimally utilize the 6 GHz spectrum. AFC technology is used to protect incumbent services during SP outdoor and indoor Wi-Fi operation.</w:t>
      </w:r>
      <w:r w:rsidRPr="00677688">
        <w:rPr>
          <w:sz w:val="24"/>
          <w:szCs w:val="24"/>
        </w:rPr>
        <w:t xml:space="preserve"> </w:t>
      </w:r>
    </w:p>
    <w:p w14:paraId="0B05740E" w14:textId="77777777" w:rsidR="0063265B" w:rsidRDefault="0063265B" w:rsidP="00D64B57">
      <w:pPr>
        <w:jc w:val="both"/>
        <w:rPr>
          <w:b/>
          <w:sz w:val="24"/>
          <w:szCs w:val="24"/>
        </w:rPr>
      </w:pPr>
    </w:p>
    <w:p w14:paraId="30B270E4" w14:textId="530A6AAE" w:rsidR="00DA7932" w:rsidRPr="00112B13" w:rsidRDefault="00CF0435" w:rsidP="00D64B57">
      <w:pPr>
        <w:jc w:val="both"/>
        <w:rPr>
          <w:b/>
          <w:sz w:val="24"/>
          <w:szCs w:val="24"/>
        </w:rPr>
      </w:pPr>
      <w:r>
        <w:rPr>
          <w:b/>
          <w:sz w:val="24"/>
          <w:szCs w:val="24"/>
        </w:rPr>
        <w:t>Question 7</w:t>
      </w:r>
      <w:r w:rsidR="00DA7932" w:rsidRPr="00DA7932">
        <w:rPr>
          <w:b/>
          <w:sz w:val="24"/>
          <w:szCs w:val="24"/>
        </w:rPr>
        <w:t>. Would it be relevant to use the entire U6 GHz band for the WAS/RLAN system for a defined period? (e.g. until 2030, 2032) indoors and/or outdoors on a non-interference basis with the proviso that the equipment may be</w:t>
      </w:r>
      <w:r w:rsidR="00DA7932" w:rsidRPr="00DA7932">
        <w:rPr>
          <w:b/>
          <w:sz w:val="24"/>
          <w:szCs w:val="24"/>
        </w:rPr>
        <w:br/>
        <w:t>required to be switched off in the future?</w:t>
      </w:r>
    </w:p>
    <w:p w14:paraId="427BCCB0" w14:textId="77777777" w:rsidR="00A9748D" w:rsidRDefault="00A9748D" w:rsidP="007C1BD0">
      <w:pPr>
        <w:jc w:val="both"/>
        <w:rPr>
          <w:sz w:val="24"/>
          <w:szCs w:val="24"/>
        </w:rPr>
      </w:pPr>
    </w:p>
    <w:p w14:paraId="3CEFFF27" w14:textId="29BD00E1" w:rsidR="00566CAF" w:rsidRPr="007414F0" w:rsidRDefault="00566CAF" w:rsidP="00566CAF">
      <w:pPr>
        <w:pBdr>
          <w:top w:val="nil"/>
          <w:left w:val="nil"/>
          <w:bottom w:val="nil"/>
          <w:right w:val="nil"/>
          <w:between w:val="nil"/>
          <w:bar w:val="nil"/>
        </w:pBdr>
        <w:suppressAutoHyphens w:val="0"/>
        <w:jc w:val="both"/>
        <w:rPr>
          <w:rFonts w:eastAsia="Arial Unicode MS"/>
          <w:sz w:val="24"/>
          <w:szCs w:val="24"/>
          <w:bdr w:val="nil"/>
        </w:rPr>
      </w:pPr>
      <w:r w:rsidRPr="007414F0">
        <w:rPr>
          <w:rFonts w:eastAsia="Arial Unicode MS"/>
          <w:sz w:val="24"/>
          <w:szCs w:val="24"/>
          <w:bdr w:val="nil"/>
        </w:rPr>
        <w:lastRenderedPageBreak/>
        <w:t>IEEE 802 LMSC respectfully asks RRT not to consider any defined period for the WAS/RLA</w:t>
      </w:r>
      <w:r w:rsidR="00227A00" w:rsidRPr="007414F0">
        <w:rPr>
          <w:rFonts w:eastAsia="Arial Unicode MS"/>
          <w:sz w:val="24"/>
          <w:szCs w:val="24"/>
          <w:bdr w:val="nil"/>
        </w:rPr>
        <w:t>N</w:t>
      </w:r>
      <w:r w:rsidRPr="007414F0">
        <w:rPr>
          <w:rFonts w:eastAsia="Arial Unicode MS"/>
          <w:sz w:val="24"/>
          <w:szCs w:val="24"/>
          <w:bdr w:val="nil"/>
        </w:rPr>
        <w:t xml:space="preserve"> system to be switched off from the upper 6 GHz band in the future by </w:t>
      </w:r>
      <w:r w:rsidR="00273C15" w:rsidRPr="007414F0">
        <w:rPr>
          <w:sz w:val="24"/>
          <w:szCs w:val="24"/>
        </w:rPr>
        <w:t>considering</w:t>
      </w:r>
      <w:r w:rsidRPr="007414F0">
        <w:rPr>
          <w:sz w:val="24"/>
          <w:szCs w:val="24"/>
        </w:rPr>
        <w:t xml:space="preserve"> the following two points.</w:t>
      </w:r>
    </w:p>
    <w:p w14:paraId="1EB66C29" w14:textId="77777777" w:rsidR="00566CAF" w:rsidRPr="007414F0" w:rsidRDefault="00566CAF" w:rsidP="00566CAF">
      <w:pPr>
        <w:pBdr>
          <w:top w:val="nil"/>
          <w:left w:val="nil"/>
          <w:bottom w:val="nil"/>
          <w:right w:val="nil"/>
          <w:between w:val="nil"/>
          <w:bar w:val="nil"/>
        </w:pBdr>
        <w:suppressAutoHyphens w:val="0"/>
        <w:jc w:val="both"/>
        <w:rPr>
          <w:rFonts w:eastAsia="Arial Unicode MS"/>
          <w:sz w:val="24"/>
          <w:szCs w:val="24"/>
          <w:bdr w:val="nil"/>
        </w:rPr>
      </w:pPr>
    </w:p>
    <w:p w14:paraId="5E3FF309" w14:textId="157D378A" w:rsidR="00566CAF" w:rsidRPr="007414F0" w:rsidRDefault="00566CAF" w:rsidP="00566CAF">
      <w:pPr>
        <w:pBdr>
          <w:top w:val="nil"/>
          <w:left w:val="nil"/>
          <w:bottom w:val="nil"/>
          <w:right w:val="nil"/>
          <w:between w:val="nil"/>
          <w:bar w:val="nil"/>
        </w:pBdr>
        <w:suppressAutoHyphens w:val="0"/>
        <w:jc w:val="both"/>
        <w:rPr>
          <w:rFonts w:eastAsia="Arial Unicode MS"/>
          <w:sz w:val="24"/>
          <w:szCs w:val="24"/>
          <w:bdr w:val="nil"/>
        </w:rPr>
      </w:pPr>
      <w:r w:rsidRPr="007414F0">
        <w:rPr>
          <w:rFonts w:eastAsia="Arial Unicode MS"/>
          <w:sz w:val="24"/>
          <w:szCs w:val="24"/>
          <w:bdr w:val="nil"/>
        </w:rPr>
        <w:t>A growing number of countries, including Argentina, Canada, Saudi Arabia, South Korea, and the USA have already allocated the entire 6 GHz band for licen</w:t>
      </w:r>
      <w:r w:rsidR="00AB1FD9">
        <w:rPr>
          <w:rFonts w:eastAsia="Arial Unicode MS"/>
          <w:sz w:val="24"/>
          <w:szCs w:val="24"/>
          <w:bdr w:val="nil"/>
        </w:rPr>
        <w:t>s</w:t>
      </w:r>
      <w:r w:rsidRPr="007414F0">
        <w:rPr>
          <w:rFonts w:eastAsia="Arial Unicode MS"/>
          <w:sz w:val="24"/>
          <w:szCs w:val="24"/>
          <w:bdr w:val="nil"/>
        </w:rPr>
        <w:t>e</w:t>
      </w:r>
      <w:r w:rsidR="009427C1" w:rsidRPr="007414F0">
        <w:rPr>
          <w:rFonts w:eastAsia="Arial Unicode MS"/>
          <w:sz w:val="24"/>
          <w:szCs w:val="24"/>
          <w:bdr w:val="nil"/>
        </w:rPr>
        <w:t>-</w:t>
      </w:r>
      <w:r w:rsidRPr="007414F0">
        <w:rPr>
          <w:rFonts w:eastAsia="Arial Unicode MS"/>
          <w:sz w:val="24"/>
          <w:szCs w:val="24"/>
          <w:bdr w:val="nil"/>
        </w:rPr>
        <w:t xml:space="preserve">exempt operation.  </w:t>
      </w:r>
    </w:p>
    <w:p w14:paraId="565B9036" w14:textId="77777777" w:rsidR="00566CAF" w:rsidRPr="007414F0" w:rsidRDefault="00566CAF" w:rsidP="00566CAF">
      <w:pPr>
        <w:pBdr>
          <w:top w:val="nil"/>
          <w:left w:val="nil"/>
          <w:bottom w:val="nil"/>
          <w:right w:val="nil"/>
          <w:between w:val="nil"/>
          <w:bar w:val="nil"/>
        </w:pBdr>
        <w:suppressAutoHyphens w:val="0"/>
        <w:jc w:val="both"/>
        <w:rPr>
          <w:rFonts w:eastAsia="Arial Unicode MS"/>
          <w:sz w:val="24"/>
          <w:szCs w:val="24"/>
          <w:bdr w:val="nil"/>
        </w:rPr>
      </w:pPr>
    </w:p>
    <w:p w14:paraId="11B84FB2" w14:textId="78BC1145" w:rsidR="00566CAF" w:rsidRPr="0015477A" w:rsidRDefault="00566CAF" w:rsidP="00566CAF">
      <w:pPr>
        <w:pBdr>
          <w:top w:val="nil"/>
          <w:left w:val="nil"/>
          <w:bottom w:val="nil"/>
          <w:right w:val="nil"/>
          <w:between w:val="nil"/>
          <w:bar w:val="nil"/>
        </w:pBdr>
        <w:jc w:val="both"/>
        <w:rPr>
          <w:rFonts w:eastAsia="Arial Unicode MS"/>
          <w:sz w:val="24"/>
          <w:szCs w:val="24"/>
          <w:bdr w:val="nil"/>
          <w:lang w:val="en-CA"/>
        </w:rPr>
      </w:pPr>
      <w:r w:rsidRPr="007414F0">
        <w:rPr>
          <w:rFonts w:eastAsia="Arial Unicode MS"/>
          <w:sz w:val="24"/>
          <w:szCs w:val="24"/>
          <w:bdr w:val="nil"/>
        </w:rPr>
        <w:t>In addition, UK Ofcom recently proposed</w:t>
      </w:r>
      <w:r w:rsidRPr="007414F0">
        <w:rPr>
          <w:rStyle w:val="FootnoteReference"/>
          <w:rFonts w:eastAsia="Arial Unicode MS"/>
          <w:sz w:val="24"/>
          <w:szCs w:val="24"/>
          <w:bdr w:val="nil"/>
        </w:rPr>
        <w:footnoteReference w:id="25"/>
      </w:r>
      <w:r w:rsidRPr="007414F0">
        <w:rPr>
          <w:rFonts w:eastAsia="Arial Unicode MS"/>
          <w:sz w:val="24"/>
          <w:szCs w:val="24"/>
          <w:bdr w:val="nil"/>
        </w:rPr>
        <w:t xml:space="preserve"> a phased approach that balances low power indoor Wi-Fi access to the upper 6 GHz band (“</w:t>
      </w:r>
      <w:r w:rsidRPr="007414F0">
        <w:rPr>
          <w:rFonts w:eastAsia="Arial Unicode MS"/>
          <w:i/>
          <w:iCs/>
          <w:sz w:val="24"/>
          <w:szCs w:val="24"/>
          <w:bdr w:val="nil"/>
        </w:rPr>
        <w:t>We intend to do this as early as feasible, ideally before end 2025</w:t>
      </w:r>
      <w:r w:rsidRPr="007414F0">
        <w:rPr>
          <w:rFonts w:eastAsia="Arial Unicode MS"/>
          <w:sz w:val="24"/>
          <w:szCs w:val="24"/>
          <w:bdr w:val="nil"/>
        </w:rPr>
        <w:t>”) with future consideration of IMT operation in the upper 6 GHz band based on the conclusion of ongoing coexistence studies. The benefit of this approach is that it enables UK businesses and consumers to benefit immediately from the latest generation of IEEE 802.11-based Wi-Fi technologies</w:t>
      </w:r>
      <w:r w:rsidRPr="007414F0">
        <w:rPr>
          <w:sz w:val="24"/>
          <w:szCs w:val="24"/>
        </w:rPr>
        <w:t xml:space="preserve">. </w:t>
      </w:r>
      <w:r w:rsidRPr="007414F0">
        <w:rPr>
          <w:rFonts w:eastAsia="Arial Unicode MS"/>
          <w:sz w:val="24"/>
          <w:szCs w:val="24"/>
          <w:bdr w:val="nil"/>
          <w:lang w:val="en-CA"/>
        </w:rPr>
        <w:t>Once the European harmonisation of</w:t>
      </w:r>
      <w:r w:rsidRPr="007414F0">
        <w:rPr>
          <w:rFonts w:eastAsia="Arial Unicode MS"/>
          <w:sz w:val="24"/>
          <w:szCs w:val="24"/>
          <w:bdr w:val="nil"/>
        </w:rPr>
        <w:t xml:space="preserve"> specific sharing mechanism between Wi-Fi and mobile in the same frequency band is available, then IMT operation using a proposed sharing mechanism will be proposed</w:t>
      </w:r>
      <w:r w:rsidRPr="007414F0">
        <w:rPr>
          <w:rFonts w:eastAsia="Arial Unicode MS"/>
          <w:sz w:val="24"/>
          <w:szCs w:val="24"/>
          <w:bdr w:val="nil"/>
          <w:lang w:val="en-CA"/>
        </w:rPr>
        <w:t>.</w:t>
      </w:r>
      <w:r w:rsidRPr="0015477A">
        <w:rPr>
          <w:rFonts w:eastAsia="Arial Unicode MS"/>
          <w:sz w:val="24"/>
          <w:szCs w:val="24"/>
          <w:bdr w:val="nil"/>
          <w:lang w:val="en-CA"/>
        </w:rPr>
        <w:t xml:space="preserve"> </w:t>
      </w:r>
    </w:p>
    <w:p w14:paraId="04432A2E" w14:textId="77777777" w:rsidR="0063265B" w:rsidRDefault="0063265B" w:rsidP="004C48FB">
      <w:pPr>
        <w:jc w:val="both"/>
        <w:rPr>
          <w:sz w:val="24"/>
          <w:szCs w:val="24"/>
        </w:rPr>
      </w:pPr>
    </w:p>
    <w:p w14:paraId="4FF6EC52" w14:textId="4A5238AC" w:rsidR="004C48FB" w:rsidRPr="00091F6C" w:rsidRDefault="00091F6C" w:rsidP="004C48FB">
      <w:pPr>
        <w:jc w:val="both"/>
        <w:rPr>
          <w:b/>
          <w:bCs/>
          <w:sz w:val="24"/>
          <w:szCs w:val="24"/>
        </w:rPr>
      </w:pPr>
      <w:r w:rsidRPr="00091F6C">
        <w:rPr>
          <w:b/>
          <w:bCs/>
          <w:sz w:val="24"/>
          <w:szCs w:val="24"/>
        </w:rPr>
        <w:t>Conclusion</w:t>
      </w:r>
    </w:p>
    <w:p w14:paraId="442CFFA7" w14:textId="77777777" w:rsidR="00091F6C" w:rsidRPr="004C48FB" w:rsidRDefault="00091F6C" w:rsidP="004C48FB">
      <w:pPr>
        <w:jc w:val="both"/>
        <w:rPr>
          <w:sz w:val="24"/>
          <w:szCs w:val="24"/>
        </w:rPr>
      </w:pPr>
    </w:p>
    <w:p w14:paraId="1ABEA96C" w14:textId="586D7D9A" w:rsidR="004D19C4" w:rsidRPr="00662551" w:rsidRDefault="004D19C4" w:rsidP="004D19C4">
      <w:pPr>
        <w:jc w:val="both"/>
        <w:rPr>
          <w:sz w:val="24"/>
          <w:szCs w:val="24"/>
        </w:rPr>
      </w:pPr>
      <w:r w:rsidRPr="00435292">
        <w:rPr>
          <w:sz w:val="24"/>
          <w:szCs w:val="24"/>
        </w:rPr>
        <w:t xml:space="preserve">IEEE 802 LMSC thanks </w:t>
      </w:r>
      <w:r w:rsidR="00BA0AFF">
        <w:rPr>
          <w:sz w:val="24"/>
          <w:szCs w:val="24"/>
        </w:rPr>
        <w:t>RRT</w:t>
      </w:r>
      <w:r w:rsidRPr="00435292">
        <w:rPr>
          <w:sz w:val="24"/>
          <w:szCs w:val="24"/>
        </w:rPr>
        <w:t xml:space="preserve"> for the opportunit</w:t>
      </w:r>
      <w:r>
        <w:rPr>
          <w:sz w:val="24"/>
          <w:szCs w:val="24"/>
        </w:rPr>
        <w:t xml:space="preserve">y to provide this submission and respectfully asks </w:t>
      </w:r>
      <w:r w:rsidR="00BA0AFF">
        <w:rPr>
          <w:sz w:val="24"/>
          <w:szCs w:val="24"/>
        </w:rPr>
        <w:t>RRT</w:t>
      </w:r>
      <w:r>
        <w:rPr>
          <w:sz w:val="24"/>
          <w:szCs w:val="24"/>
        </w:rPr>
        <w:t xml:space="preserve"> </w:t>
      </w:r>
      <w:r w:rsidR="00BA0AFF">
        <w:rPr>
          <w:sz w:val="24"/>
          <w:szCs w:val="24"/>
        </w:rPr>
        <w:t xml:space="preserve">to consider </w:t>
      </w:r>
      <w:r w:rsidR="001E5D84">
        <w:rPr>
          <w:sz w:val="24"/>
          <w:szCs w:val="24"/>
        </w:rPr>
        <w:t>the above responses when deciding the future use of 6 GHz band.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564FD8" w14:textId="77777777" w:rsidR="00567245" w:rsidRDefault="00567245">
      <w:r>
        <w:separator/>
      </w:r>
    </w:p>
  </w:endnote>
  <w:endnote w:type="continuationSeparator" w:id="0">
    <w:p w14:paraId="3A0D287B" w14:textId="77777777" w:rsidR="00567245" w:rsidRDefault="00567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Lt">
    <w:altName w:val="Malgun Gothic"/>
    <w:charset w:val="00"/>
    <w:family w:val="swiss"/>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variable"/>
  </w:font>
  <w:font w:name="Noto Sans Devanagari">
    <w:charset w:val="00"/>
    <w:family w:val="swiss"/>
    <w:pitch w:val="variable"/>
    <w:sig w:usb0="80008023" w:usb1="00002046" w:usb2="00000000" w:usb3="00000000" w:csb0="00000001" w:csb1="00000000"/>
  </w:font>
  <w:font w:name="Liberation Mono">
    <w:altName w:val="Arial"/>
    <w:charset w:val="00"/>
    <w:family w:val="modern"/>
    <w:pitch w:val="fixed"/>
    <w:sig w:usb0="E0000AFF" w:usb1="400078FF" w:usb2="00000001" w:usb3="00000000" w:csb0="000001BF" w:csb1="00000000"/>
  </w:font>
  <w:font w:name="DengXian">
    <w:altName w:val="等线"/>
    <w:panose1 w:val="02010600030101010101"/>
    <w:charset w:val="86"/>
    <w:family w:val="auto"/>
    <w:pitch w:val="variable"/>
    <w:sig w:usb0="A00002BF" w:usb1="38CF7CFA" w:usb2="00000016" w:usb3="00000000" w:csb0="0004000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FD9D94" w14:textId="6B3217F9" w:rsidR="002E0A70" w:rsidRDefault="00907CD8">
    <w:pPr>
      <w:pStyle w:val="Footer"/>
      <w:tabs>
        <w:tab w:val="clear" w:pos="6480"/>
        <w:tab w:val="center" w:pos="4680"/>
        <w:tab w:val="right" w:pos="9360"/>
      </w:tabs>
      <w:rPr>
        <w:lang w:val="fr-CA"/>
      </w:rPr>
    </w:pPr>
    <w:r>
      <w:fldChar w:fldCharType="begin"/>
    </w:r>
    <w:r w:rsidRPr="00F823BD">
      <w:rPr>
        <w:lang w:val="fr-CA"/>
      </w:rPr>
      <w:instrText xml:space="preserve"> SUBJECT </w:instrText>
    </w:r>
    <w:r>
      <w:fldChar w:fldCharType="separate"/>
    </w:r>
    <w:r w:rsidRPr="00F823BD">
      <w:rPr>
        <w:lang w:val="fr-CA"/>
      </w:rPr>
      <w:t>Submission</w:t>
    </w:r>
    <w:r>
      <w:fldChar w:fldCharType="end"/>
    </w:r>
    <w:r w:rsidR="002E0A70">
      <w:rPr>
        <w:lang w:val="fr-CA"/>
      </w:rPr>
      <w:tab/>
      <w:t xml:space="preserve">page </w:t>
    </w:r>
    <w:r w:rsidR="002E0A70">
      <w:fldChar w:fldCharType="begin"/>
    </w:r>
    <w:r w:rsidR="002E0A70" w:rsidRPr="00F823BD">
      <w:rPr>
        <w:lang w:val="fr-CA"/>
      </w:rPr>
      <w:instrText xml:space="preserve"> PAGE </w:instrText>
    </w:r>
    <w:r w:rsidR="002E0A70">
      <w:fldChar w:fldCharType="separate"/>
    </w:r>
    <w:r w:rsidR="006438BF" w:rsidRPr="00F823BD">
      <w:rPr>
        <w:noProof/>
        <w:lang w:val="fr-CA"/>
      </w:rPr>
      <w:t>2</w:t>
    </w:r>
    <w:r w:rsidR="002E0A70">
      <w:fldChar w:fldCharType="end"/>
    </w:r>
    <w:r w:rsidR="002E0A70">
      <w:rPr>
        <w:lang w:val="fr-CA"/>
      </w:rPr>
      <w:tab/>
    </w:r>
    <w:r w:rsidR="005F27D5">
      <w:rPr>
        <w:lang w:val="fr-CA"/>
      </w:rPr>
      <w:t xml:space="preserve">Edward Au </w:t>
    </w:r>
    <w:r w:rsidR="002E0A70">
      <w:rPr>
        <w:lang w:val="fr-CA"/>
      </w:rPr>
      <w:t>(</w:t>
    </w:r>
    <w:r w:rsidR="005C652B">
      <w:rPr>
        <w:lang w:val="fr-CA"/>
      </w:rPr>
      <w:t>Self</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89F753" w14:textId="77777777" w:rsidR="00567245" w:rsidRDefault="00567245">
      <w:pPr>
        <w:rPr>
          <w:sz w:val="12"/>
        </w:rPr>
      </w:pPr>
      <w:r>
        <w:separator/>
      </w:r>
    </w:p>
  </w:footnote>
  <w:footnote w:type="continuationSeparator" w:id="0">
    <w:p w14:paraId="1BFAF793" w14:textId="77777777" w:rsidR="00567245" w:rsidRDefault="00567245">
      <w:pPr>
        <w:rPr>
          <w:sz w:val="12"/>
        </w:rPr>
      </w:pPr>
      <w:r>
        <w:continuationSeparator/>
      </w:r>
    </w:p>
  </w:footnote>
  <w:footnote w:id="1">
    <w:p w14:paraId="17D19ADC" w14:textId="77777777" w:rsidR="00EE2707" w:rsidRPr="00AB1B3A" w:rsidRDefault="00EE2707" w:rsidP="00EE2707">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the IEEE or the IEEE Standards Association or the IEEE Technical Activities.</w:t>
      </w:r>
    </w:p>
  </w:footnote>
  <w:footnote w:id="2">
    <w:p w14:paraId="40D039FD" w14:textId="77777777" w:rsidR="00C7562B" w:rsidRPr="00027711" w:rsidRDefault="00C7562B" w:rsidP="00C7562B">
      <w:pPr>
        <w:pStyle w:val="FootnoteText"/>
        <w:jc w:val="both"/>
        <w:rPr>
          <w:sz w:val="16"/>
          <w:szCs w:val="16"/>
        </w:rPr>
      </w:pPr>
      <w:r w:rsidRPr="00027711">
        <w:rPr>
          <w:rStyle w:val="FootnoteReference"/>
          <w:sz w:val="16"/>
          <w:szCs w:val="16"/>
        </w:rPr>
        <w:footnoteRef/>
      </w:r>
      <w:r w:rsidRPr="00027711">
        <w:rPr>
          <w:sz w:val="16"/>
          <w:szCs w:val="16"/>
        </w:rPr>
        <w:t xml:space="preserve"> See European Commission: Gigabit Infrastructure Act. (“Achieving the targets set out in Decision (EU) 2022/2481 requires that, by 2030, all end users at fixed locations be covered by a gigabit network up to the network termination point and all populated areas be covered by next-generation wireless high-speed networks with performance at least equivalent to that of 5G, in accordance with the principle of technological neutrality.”)</w:t>
      </w:r>
    </w:p>
  </w:footnote>
  <w:footnote w:id="3">
    <w:p w14:paraId="0F4D7096" w14:textId="77777777" w:rsidR="00C7562B" w:rsidRPr="006016DC" w:rsidRDefault="00C7562B" w:rsidP="00C7562B">
      <w:pPr>
        <w:pStyle w:val="oj-normal"/>
        <w:spacing w:before="0" w:beforeAutospacing="0" w:after="0" w:afterAutospacing="0"/>
        <w:jc w:val="both"/>
        <w:rPr>
          <w:color w:val="333333"/>
          <w:sz w:val="16"/>
          <w:szCs w:val="16"/>
        </w:rPr>
      </w:pPr>
      <w:r w:rsidRPr="006016DC">
        <w:rPr>
          <w:rStyle w:val="FootnoteReference"/>
          <w:sz w:val="16"/>
          <w:szCs w:val="16"/>
        </w:rPr>
        <w:footnoteRef/>
      </w:r>
      <w:r w:rsidRPr="006016DC">
        <w:rPr>
          <w:sz w:val="16"/>
          <w:szCs w:val="16"/>
        </w:rPr>
        <w:t xml:space="preserve"> See </w:t>
      </w:r>
      <w:r>
        <w:rPr>
          <w:sz w:val="16"/>
          <w:szCs w:val="16"/>
        </w:rPr>
        <w:t xml:space="preserve">paragraph </w:t>
      </w:r>
      <w:r w:rsidRPr="006016DC">
        <w:rPr>
          <w:sz w:val="16"/>
          <w:szCs w:val="16"/>
        </w:rPr>
        <w:t>1.(2)(a)</w:t>
      </w:r>
      <w:r>
        <w:rPr>
          <w:sz w:val="16"/>
          <w:szCs w:val="16"/>
        </w:rPr>
        <w:t xml:space="preserve"> of </w:t>
      </w:r>
      <w:r w:rsidRPr="006016DC">
        <w:rPr>
          <w:sz w:val="16"/>
          <w:szCs w:val="16"/>
        </w:rPr>
        <w:t>Article 4</w:t>
      </w:r>
      <w:r>
        <w:rPr>
          <w:sz w:val="16"/>
          <w:szCs w:val="16"/>
        </w:rPr>
        <w:t xml:space="preserve"> (Digital Targets)</w:t>
      </w:r>
      <w:r w:rsidRPr="006016DC">
        <w:rPr>
          <w:sz w:val="16"/>
          <w:szCs w:val="16"/>
        </w:rPr>
        <w:t xml:space="preserve">, </w:t>
      </w:r>
      <w:r w:rsidRPr="00381D45">
        <w:rPr>
          <w:sz w:val="16"/>
          <w:szCs w:val="16"/>
        </w:rPr>
        <w:t>Decision (EU) 2022/2481 of the European Parliament and of the Council of 14 December 2022 establishing the Digital Decade Policy Programme 2030 (Text with EEA relevance)</w:t>
      </w:r>
      <w:r>
        <w:rPr>
          <w:sz w:val="16"/>
          <w:szCs w:val="16"/>
        </w:rPr>
        <w:t>, 19 December 2022.                                                                                       (</w:t>
      </w:r>
      <w:r w:rsidRPr="006016DC">
        <w:rPr>
          <w:sz w:val="16"/>
          <w:szCs w:val="16"/>
        </w:rPr>
        <w:t>“</w:t>
      </w:r>
      <w:r w:rsidRPr="006016DC">
        <w:rPr>
          <w:color w:val="333333"/>
          <w:sz w:val="16"/>
          <w:szCs w:val="16"/>
        </w:rPr>
        <w:t>all end users at a fixed location are covered by a gigabit network up to the network termination point, and all populated areas are covered by next-generation wireless high-speed networks with performance at least equivalent to that of 5G, in accordance with the principle of technological neutrality”).</w:t>
      </w:r>
    </w:p>
  </w:footnote>
  <w:footnote w:id="4">
    <w:p w14:paraId="28E4DD85" w14:textId="51A34594" w:rsidR="00C7562B" w:rsidRPr="007E26BD" w:rsidRDefault="00C7562B" w:rsidP="00C7562B">
      <w:pPr>
        <w:pStyle w:val="FootnoteText"/>
        <w:rPr>
          <w:sz w:val="16"/>
          <w:szCs w:val="16"/>
        </w:rPr>
      </w:pPr>
      <w:r w:rsidRPr="007E26BD">
        <w:rPr>
          <w:rStyle w:val="FootnoteReference"/>
          <w:sz w:val="16"/>
          <w:szCs w:val="16"/>
        </w:rPr>
        <w:footnoteRef/>
      </w:r>
      <w:r w:rsidRPr="007E26BD">
        <w:rPr>
          <w:sz w:val="16"/>
          <w:szCs w:val="16"/>
        </w:rPr>
        <w:t xml:space="preserve"> See Plum Consulting</w:t>
      </w:r>
      <w:r>
        <w:rPr>
          <w:sz w:val="16"/>
          <w:szCs w:val="16"/>
        </w:rPr>
        <w:t>:</w:t>
      </w:r>
      <w:r w:rsidRPr="007E26BD">
        <w:rPr>
          <w:sz w:val="16"/>
          <w:szCs w:val="16"/>
        </w:rPr>
        <w:t xml:space="preserve"> Wi-Fi Spectrum requirements, 25 March 2024, </w:t>
      </w:r>
      <w:hyperlink r:id="rId1" w:anchor=":~:text=To%20ensure%20whole%2Dbuilding%20coverage,of%20Wi%2DFi%20in%20Europe" w:history="1">
        <w:r w:rsidRPr="007E26BD">
          <w:rPr>
            <w:rStyle w:val="Hyperlink"/>
            <w:sz w:val="16"/>
            <w:szCs w:val="16"/>
            <w:lang w:val="en-GB"/>
          </w:rPr>
          <w:t>https://plumconsulting.co.uk/wi-fi-spectrum-requirements/#:~:text=To%20ensure%20whole%2Dbuilding%20coverage,of%20Wi%2DFi%20in%20Europe</w:t>
        </w:r>
      </w:hyperlink>
      <w:r w:rsidRPr="007E26BD">
        <w:rPr>
          <w:sz w:val="16"/>
          <w:szCs w:val="16"/>
          <w:lang w:val="en-GB"/>
        </w:rPr>
        <w:t xml:space="preserve"> [accessed: </w:t>
      </w:r>
      <w:r w:rsidR="008A798F">
        <w:rPr>
          <w:sz w:val="16"/>
          <w:szCs w:val="16"/>
        </w:rPr>
        <w:t>2</w:t>
      </w:r>
      <w:r w:rsidR="007414F0">
        <w:rPr>
          <w:sz w:val="16"/>
          <w:szCs w:val="16"/>
        </w:rPr>
        <w:t>8</w:t>
      </w:r>
      <w:r w:rsidR="008A798F">
        <w:rPr>
          <w:sz w:val="16"/>
          <w:szCs w:val="16"/>
        </w:rPr>
        <w:t xml:space="preserve"> March 2025</w:t>
      </w:r>
      <w:r w:rsidRPr="007E26BD">
        <w:rPr>
          <w:sz w:val="16"/>
          <w:szCs w:val="16"/>
          <w:lang w:val="en-GB"/>
        </w:rPr>
        <w:t>]</w:t>
      </w:r>
    </w:p>
  </w:footnote>
  <w:footnote w:id="5">
    <w:p w14:paraId="64F8914E" w14:textId="496E33F2"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Bundesnetzagentur für Elektrizität, Gas, Telekommunikation, Post und Eisenbahnen: Jahresbericht Telekommunikation 2023, 16 May 2024, </w:t>
      </w:r>
      <w:hyperlink r:id="rId2" w:history="1">
        <w:r w:rsidR="005A1236" w:rsidRPr="00436C81">
          <w:rPr>
            <w:rStyle w:val="Hyperlink"/>
            <w:sz w:val="16"/>
            <w:szCs w:val="16"/>
          </w:rPr>
          <w:t>https://www.bundesnetzagentur.de/SharedDocs/Pressemitteilungen/DE/2024/20240516_JB_TK2023.html</w:t>
        </w:r>
      </w:hyperlink>
      <w:r w:rsidR="005A1236" w:rsidRPr="005A1236">
        <w:rPr>
          <w:rStyle w:val="Hyperlink"/>
          <w:sz w:val="16"/>
          <w:szCs w:val="16"/>
          <w:u w:val="none"/>
        </w:rPr>
        <w:t xml:space="preserve"> </w:t>
      </w:r>
      <w:r w:rsidRPr="00D376A7">
        <w:rPr>
          <w:sz w:val="16"/>
          <w:szCs w:val="16"/>
        </w:rPr>
        <w:t xml:space="preserve">[accessed: </w:t>
      </w:r>
      <w:r w:rsidR="005A1236">
        <w:rPr>
          <w:sz w:val="16"/>
          <w:szCs w:val="16"/>
        </w:rPr>
        <w:t>2</w:t>
      </w:r>
      <w:r w:rsidR="007414F0">
        <w:rPr>
          <w:sz w:val="16"/>
          <w:szCs w:val="16"/>
        </w:rPr>
        <w:t>8</w:t>
      </w:r>
      <w:r w:rsidR="005A1236">
        <w:rPr>
          <w:sz w:val="16"/>
          <w:szCs w:val="16"/>
        </w:rPr>
        <w:t xml:space="preserve"> March 2025</w:t>
      </w:r>
      <w:r w:rsidRPr="00D376A7">
        <w:rPr>
          <w:sz w:val="16"/>
          <w:szCs w:val="16"/>
        </w:rPr>
        <w:t>]</w:t>
      </w:r>
    </w:p>
  </w:footnote>
  <w:footnote w:id="6">
    <w:p w14:paraId="2EEB481C" w14:textId="54996783"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Ofcom: Communications Market Report 2024,</w:t>
      </w:r>
      <w:r>
        <w:rPr>
          <w:sz w:val="16"/>
          <w:szCs w:val="16"/>
        </w:rPr>
        <w:t xml:space="preserve"> 18 July 2024,</w:t>
      </w:r>
      <w:r w:rsidRPr="00D376A7">
        <w:rPr>
          <w:sz w:val="16"/>
          <w:szCs w:val="16"/>
        </w:rPr>
        <w:t xml:space="preserve"> </w:t>
      </w:r>
      <w:hyperlink r:id="rId3" w:history="1">
        <w:r w:rsidRPr="00D376A7">
          <w:rPr>
            <w:rStyle w:val="Hyperlink"/>
            <w:sz w:val="16"/>
            <w:szCs w:val="16"/>
          </w:rPr>
          <w:t>https://www.ofcom.org.uk/phones-and-broadband/service-quality/communications-market-2024/</w:t>
        </w:r>
      </w:hyperlink>
      <w:r w:rsidRPr="00D376A7">
        <w:rPr>
          <w:sz w:val="16"/>
          <w:szCs w:val="16"/>
        </w:rPr>
        <w:t xml:space="preserve"> [accessed: </w:t>
      </w:r>
      <w:r w:rsidR="003B6431">
        <w:rPr>
          <w:sz w:val="16"/>
          <w:szCs w:val="16"/>
        </w:rPr>
        <w:t>2</w:t>
      </w:r>
      <w:r w:rsidR="007414F0">
        <w:rPr>
          <w:sz w:val="16"/>
          <w:szCs w:val="16"/>
        </w:rPr>
        <w:t>8</w:t>
      </w:r>
      <w:r w:rsidR="003B6431">
        <w:rPr>
          <w:sz w:val="16"/>
          <w:szCs w:val="16"/>
        </w:rPr>
        <w:t xml:space="preserve"> March 2025</w:t>
      </w:r>
      <w:r w:rsidRPr="00D376A7">
        <w:rPr>
          <w:sz w:val="16"/>
          <w:szCs w:val="16"/>
        </w:rPr>
        <w:t>]</w:t>
      </w:r>
      <w:r>
        <w:rPr>
          <w:sz w:val="16"/>
          <w:szCs w:val="16"/>
        </w:rPr>
        <w:t xml:space="preserve"> (“</w:t>
      </w:r>
      <w:r w:rsidRPr="008877C9">
        <w:rPr>
          <w:sz w:val="16"/>
          <w:szCs w:val="16"/>
        </w:rPr>
        <w:t>Seventy-one per cent of broa</w:t>
      </w:r>
      <w:r>
        <w:rPr>
          <w:sz w:val="16"/>
          <w:szCs w:val="16"/>
        </w:rPr>
        <w:t xml:space="preserve">dband connections were provided </w:t>
      </w:r>
      <w:r w:rsidRPr="008877C9">
        <w:rPr>
          <w:sz w:val="16"/>
          <w:szCs w:val="16"/>
        </w:rPr>
        <w:t>using fibre technologies at the end of 2023.</w:t>
      </w:r>
      <w:r>
        <w:rPr>
          <w:sz w:val="16"/>
          <w:szCs w:val="16"/>
        </w:rPr>
        <w:t>”)</w:t>
      </w:r>
    </w:p>
  </w:footnote>
  <w:footnote w:id="7">
    <w:p w14:paraId="133A2DCB" w14:textId="4EDC994E"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eurostat: Fixed internet connection in 94% of EU enterprises, 25 January 2024, </w:t>
      </w:r>
      <w:hyperlink r:id="rId4" w:history="1">
        <w:r w:rsidRPr="00D376A7">
          <w:rPr>
            <w:rStyle w:val="Hyperlink"/>
            <w:sz w:val="16"/>
            <w:szCs w:val="16"/>
          </w:rPr>
          <w:t>https://ec.europa.eu/eurostat/web/products-eurostat-news/w/ddn-20240125-2</w:t>
        </w:r>
      </w:hyperlink>
      <w:r w:rsidRPr="00D376A7">
        <w:rPr>
          <w:sz w:val="16"/>
          <w:szCs w:val="16"/>
        </w:rPr>
        <w:t xml:space="preserve"> [accessed: </w:t>
      </w:r>
      <w:r w:rsidR="005B007A">
        <w:rPr>
          <w:sz w:val="16"/>
          <w:szCs w:val="16"/>
        </w:rPr>
        <w:t>2</w:t>
      </w:r>
      <w:r w:rsidR="007414F0">
        <w:rPr>
          <w:sz w:val="16"/>
          <w:szCs w:val="16"/>
        </w:rPr>
        <w:t>8</w:t>
      </w:r>
      <w:r w:rsidR="005B007A">
        <w:rPr>
          <w:sz w:val="16"/>
          <w:szCs w:val="16"/>
        </w:rPr>
        <w:t xml:space="preserve"> March 2025</w:t>
      </w:r>
      <w:r w:rsidRPr="00D376A7">
        <w:rPr>
          <w:sz w:val="16"/>
          <w:szCs w:val="16"/>
        </w:rPr>
        <w:t>].</w:t>
      </w:r>
    </w:p>
  </w:footnote>
  <w:footnote w:id="8">
    <w:p w14:paraId="39FB937F" w14:textId="27320EAF" w:rsidR="00BE6548" w:rsidRPr="00EC2A4E" w:rsidRDefault="00BE6548" w:rsidP="00BE6548">
      <w:pPr>
        <w:pStyle w:val="FootnoteText"/>
        <w:jc w:val="both"/>
        <w:rPr>
          <w:sz w:val="16"/>
          <w:szCs w:val="16"/>
        </w:rPr>
      </w:pPr>
      <w:r w:rsidRPr="00EC2A4E">
        <w:rPr>
          <w:rStyle w:val="FootnoteReference"/>
          <w:sz w:val="16"/>
          <w:szCs w:val="16"/>
        </w:rPr>
        <w:footnoteRef/>
      </w:r>
      <w:r w:rsidRPr="00EC2A4E">
        <w:rPr>
          <w:sz w:val="16"/>
          <w:szCs w:val="16"/>
        </w:rPr>
        <w:t xml:space="preserve"> See Bundesnetzagentur für Elektrizität, Gas, Telekommunikation, Post und Eisenbahnen: Press release of Jahresbericht Telekommunikation 2023, 16 May 2024, </w:t>
      </w:r>
      <w:r w:rsidRPr="00EC2A4E">
        <w:rPr>
          <w:rStyle w:val="Hyperlink"/>
          <w:sz w:val="16"/>
          <w:szCs w:val="16"/>
        </w:rPr>
        <w:t>https://www.bundesnetzagentur.de/SharedDocs/Pressemitteilungen/DE/2024/20240516_JB_TK2023.html?nn=659670</w:t>
      </w:r>
      <w:r w:rsidRPr="00EC2A4E">
        <w:rPr>
          <w:sz w:val="16"/>
          <w:szCs w:val="16"/>
        </w:rPr>
        <w:t xml:space="preserve"> [accessed: </w:t>
      </w:r>
      <w:r w:rsidR="00636FAB">
        <w:rPr>
          <w:sz w:val="16"/>
          <w:szCs w:val="16"/>
        </w:rPr>
        <w:t>2</w:t>
      </w:r>
      <w:r w:rsidR="007414F0">
        <w:rPr>
          <w:sz w:val="16"/>
          <w:szCs w:val="16"/>
        </w:rPr>
        <w:t>8</w:t>
      </w:r>
      <w:r w:rsidR="00636FAB">
        <w:rPr>
          <w:sz w:val="16"/>
          <w:szCs w:val="16"/>
        </w:rPr>
        <w:t xml:space="preserve"> March 2025</w:t>
      </w:r>
      <w:r w:rsidRPr="00EC2A4E">
        <w:rPr>
          <w:sz w:val="16"/>
          <w:szCs w:val="16"/>
        </w:rPr>
        <w:t>] (“In 2023, a total data volume of around 132 billion GB was transmitted in fixed networks in Germany. This corresponds to an average data volume of around 287 GB per connection per month. Compared to 2022, the data volume transmitted in fixed networks in Germany increased by around 11 billion GB.”) and (“According to surveys by the Federal Network Agency, the data volume transmitted via mobile networks in Germany in 2023 amounted to 9,118 million GB, compared to 6,714 million GB in 2022.”)</w:t>
      </w:r>
    </w:p>
  </w:footnote>
  <w:footnote w:id="9">
    <w:p w14:paraId="0356454F" w14:textId="713F5F20" w:rsidR="00BE6548" w:rsidRPr="00D376A7" w:rsidRDefault="00BE6548" w:rsidP="00BE6548">
      <w:pPr>
        <w:pStyle w:val="FootnoteText"/>
        <w:jc w:val="both"/>
        <w:rPr>
          <w:sz w:val="16"/>
          <w:szCs w:val="16"/>
        </w:rPr>
      </w:pPr>
      <w:r w:rsidRPr="00D376A7">
        <w:rPr>
          <w:rStyle w:val="FootnoteReference"/>
          <w:sz w:val="16"/>
          <w:szCs w:val="16"/>
        </w:rPr>
        <w:footnoteRef/>
      </w:r>
      <w:r w:rsidRPr="00D376A7">
        <w:rPr>
          <w:sz w:val="16"/>
          <w:szCs w:val="16"/>
        </w:rPr>
        <w:t xml:space="preserve"> See: Arthur Little: The evolution of data grow in Europe, </w:t>
      </w:r>
      <w:hyperlink r:id="rId5" w:history="1">
        <w:r w:rsidRPr="00D376A7">
          <w:rPr>
            <w:rStyle w:val="Hyperlink"/>
            <w:sz w:val="16"/>
            <w:szCs w:val="16"/>
          </w:rPr>
          <w:t>https://www.adlittle.com/en/insights/report/evolution-data-growth-europe</w:t>
        </w:r>
      </w:hyperlink>
      <w:r w:rsidRPr="00D376A7">
        <w:rPr>
          <w:sz w:val="16"/>
          <w:szCs w:val="16"/>
        </w:rPr>
        <w:t xml:space="preserve"> [accessed</w:t>
      </w:r>
      <w:r w:rsidR="00593A85">
        <w:rPr>
          <w:sz w:val="16"/>
          <w:szCs w:val="16"/>
        </w:rPr>
        <w:t>: 2</w:t>
      </w:r>
      <w:r w:rsidR="007414F0">
        <w:rPr>
          <w:sz w:val="16"/>
          <w:szCs w:val="16"/>
        </w:rPr>
        <w:t>8</w:t>
      </w:r>
      <w:r w:rsidR="00593A85">
        <w:rPr>
          <w:sz w:val="16"/>
          <w:szCs w:val="16"/>
        </w:rPr>
        <w:t xml:space="preserve"> March 2025</w:t>
      </w:r>
      <w:r w:rsidRPr="00D376A7">
        <w:rPr>
          <w:sz w:val="16"/>
          <w:szCs w:val="16"/>
        </w:rPr>
        <w:t>]</w:t>
      </w:r>
      <w:r>
        <w:rPr>
          <w:sz w:val="16"/>
          <w:szCs w:val="16"/>
        </w:rPr>
        <w:t xml:space="preserve"> (“</w:t>
      </w:r>
      <w:r w:rsidRPr="00843C18">
        <w:rPr>
          <w:sz w:val="16"/>
          <w:szCs w:val="16"/>
        </w:rPr>
        <w:t>We expect average fixed data consumption to grow from approximately 225 GB/month in 2022 to 900 GB/month per home by 2030, accounting for an overall annual growth rate of 20%, similar to past elevated levels.</w:t>
      </w:r>
      <w:r>
        <w:rPr>
          <w:sz w:val="16"/>
          <w:szCs w:val="16"/>
        </w:rPr>
        <w:t>”) and (“</w:t>
      </w:r>
      <w:r w:rsidRPr="00B9151F">
        <w:rPr>
          <w:sz w:val="16"/>
          <w:szCs w:val="16"/>
        </w:rPr>
        <w:t>We expect Europe’s mobile data consumption per user to continue growing in the coming years, increasing from the 2022 level of approximately 15 GB/month to 75 GB/month by 2030, creating an annual growth rate of 25%</w:t>
      </w:r>
      <w:r>
        <w:rPr>
          <w:sz w:val="16"/>
          <w:szCs w:val="16"/>
        </w:rPr>
        <w:t>.”)</w:t>
      </w:r>
    </w:p>
  </w:footnote>
  <w:footnote w:id="10">
    <w:p w14:paraId="1FAD96D5" w14:textId="2942716B" w:rsidR="00BE6548" w:rsidRPr="00036BB8" w:rsidRDefault="00BE6548" w:rsidP="00BE6548">
      <w:pPr>
        <w:pStyle w:val="FootnoteText"/>
        <w:jc w:val="both"/>
        <w:rPr>
          <w:sz w:val="16"/>
          <w:szCs w:val="16"/>
        </w:rPr>
      </w:pPr>
      <w:r w:rsidRPr="00036BB8">
        <w:rPr>
          <w:rStyle w:val="FootnoteReference"/>
          <w:sz w:val="16"/>
          <w:szCs w:val="16"/>
        </w:rPr>
        <w:footnoteRef/>
      </w:r>
      <w:r w:rsidRPr="00036BB8">
        <w:rPr>
          <w:sz w:val="16"/>
          <w:szCs w:val="16"/>
        </w:rPr>
        <w:t xml:space="preserve"> See FTTH Council Europe: </w:t>
      </w:r>
      <w:r w:rsidRPr="00036BB8">
        <w:rPr>
          <w:rStyle w:val="Hyperlink"/>
          <w:color w:val="auto"/>
          <w:sz w:val="16"/>
          <w:szCs w:val="16"/>
          <w:u w:val="none"/>
        </w:rPr>
        <w:t>European FTTH/B Market Panorama 2024</w:t>
      </w:r>
      <w:r w:rsidRPr="00036BB8">
        <w:rPr>
          <w:sz w:val="16"/>
          <w:szCs w:val="16"/>
        </w:rPr>
        <w:t xml:space="preserve">, </w:t>
      </w:r>
      <w:hyperlink r:id="rId6" w:history="1">
        <w:r w:rsidRPr="00036BB8">
          <w:rPr>
            <w:rStyle w:val="Hyperlink"/>
            <w:sz w:val="16"/>
            <w:szCs w:val="16"/>
          </w:rPr>
          <w:t>https://www.ftthcouncil.eu/committees/market-intelligence/2043/european-ftth-b-market-panorama-2024</w:t>
        </w:r>
      </w:hyperlink>
      <w:r>
        <w:rPr>
          <w:sz w:val="16"/>
          <w:szCs w:val="16"/>
        </w:rPr>
        <w:t xml:space="preserve"> [accessed: </w:t>
      </w:r>
      <w:r w:rsidR="00CD1405">
        <w:rPr>
          <w:sz w:val="16"/>
          <w:szCs w:val="16"/>
        </w:rPr>
        <w:t>2</w:t>
      </w:r>
      <w:r w:rsidR="007414F0">
        <w:rPr>
          <w:sz w:val="16"/>
          <w:szCs w:val="16"/>
        </w:rPr>
        <w:t>8</w:t>
      </w:r>
      <w:r w:rsidR="00CD1405">
        <w:rPr>
          <w:sz w:val="16"/>
          <w:szCs w:val="16"/>
        </w:rPr>
        <w:t xml:space="preserve"> March 2025</w:t>
      </w:r>
      <w:r w:rsidRPr="00036BB8">
        <w:rPr>
          <w:sz w:val="16"/>
          <w:szCs w:val="16"/>
        </w:rPr>
        <w:t>].</w:t>
      </w:r>
    </w:p>
  </w:footnote>
  <w:footnote w:id="11">
    <w:p w14:paraId="61802685" w14:textId="00008856" w:rsidR="00BE6548" w:rsidRDefault="00BE6548" w:rsidP="00BE6548">
      <w:pPr>
        <w:pStyle w:val="FootnoteText"/>
        <w:jc w:val="both"/>
      </w:pPr>
      <w:r w:rsidRPr="00036BB8">
        <w:rPr>
          <w:rStyle w:val="FootnoteReference"/>
          <w:sz w:val="16"/>
          <w:szCs w:val="16"/>
        </w:rPr>
        <w:footnoteRef/>
      </w:r>
      <w:r w:rsidRPr="00036BB8">
        <w:rPr>
          <w:sz w:val="16"/>
          <w:szCs w:val="16"/>
        </w:rPr>
        <w:t xml:space="preserve"> See FTTH Council Europe: FTTH Market Forecast 2023-2029, </w:t>
      </w:r>
      <w:hyperlink r:id="rId7" w:history="1">
        <w:r w:rsidRPr="00036BB8">
          <w:rPr>
            <w:rStyle w:val="Hyperlink"/>
            <w:sz w:val="16"/>
            <w:szCs w:val="16"/>
          </w:rPr>
          <w:t>https://www.ftthcouncil.eu/committees/market-intelligence/2046/ftth-market-forecasts-2023-2029</w:t>
        </w:r>
      </w:hyperlink>
      <w:r w:rsidRPr="00036BB8">
        <w:rPr>
          <w:sz w:val="16"/>
          <w:szCs w:val="16"/>
        </w:rPr>
        <w:t xml:space="preserve"> [accessed:</w:t>
      </w:r>
      <w:r w:rsidR="008C3EE3">
        <w:rPr>
          <w:sz w:val="16"/>
          <w:szCs w:val="16"/>
        </w:rPr>
        <w:t xml:space="preserve"> 2</w:t>
      </w:r>
      <w:r w:rsidR="007414F0">
        <w:rPr>
          <w:sz w:val="16"/>
          <w:szCs w:val="16"/>
        </w:rPr>
        <w:t>8</w:t>
      </w:r>
      <w:r w:rsidR="008C3EE3">
        <w:rPr>
          <w:sz w:val="16"/>
          <w:szCs w:val="16"/>
        </w:rPr>
        <w:t xml:space="preserve"> March 2025</w:t>
      </w:r>
      <w:r w:rsidRPr="00036BB8">
        <w:rPr>
          <w:sz w:val="16"/>
          <w:szCs w:val="16"/>
        </w:rPr>
        <w:t>].</w:t>
      </w:r>
    </w:p>
  </w:footnote>
  <w:footnote w:id="12">
    <w:p w14:paraId="0C529E8D" w14:textId="77777777" w:rsidR="00BE6548" w:rsidRPr="009F4295" w:rsidRDefault="00BE6548" w:rsidP="00BE6548">
      <w:pPr>
        <w:pStyle w:val="FootnoteText"/>
        <w:jc w:val="both"/>
        <w:rPr>
          <w:sz w:val="16"/>
          <w:szCs w:val="16"/>
        </w:rPr>
      </w:pPr>
      <w:r w:rsidRPr="009F4295">
        <w:rPr>
          <w:rStyle w:val="None"/>
          <w:sz w:val="16"/>
          <w:szCs w:val="16"/>
          <w:vertAlign w:val="superscript"/>
        </w:rPr>
        <w:footnoteRef/>
      </w:r>
      <w:r>
        <w:rPr>
          <w:rStyle w:val="None"/>
          <w:sz w:val="16"/>
          <w:szCs w:val="16"/>
        </w:rPr>
        <w:t xml:space="preserve"> </w:t>
      </w:r>
      <w:r w:rsidRPr="009F4295">
        <w:rPr>
          <w:rStyle w:val="None"/>
          <w:sz w:val="16"/>
          <w:szCs w:val="16"/>
        </w:rPr>
        <w:t>“IEEE Standard for Information Technology--Telecommunications and Information Exchange between Systems Local and Metropolitan Area Networks--Specific Requirements Part 11: Wireless LAN Medium Access Control (MAC) and Physical Layer (PHY) Specifications Amendment 1: Enhancements for High-Efficiency WLAN,” in IEEE Std 802.11ax-2021 (Amendment to IEEE Std 802.11-2020), vol., no., pp.1-767, 19 May 2021, doi: 10.1109/IEEESTD.2021.9442429.</w:t>
      </w:r>
    </w:p>
  </w:footnote>
  <w:footnote w:id="13">
    <w:p w14:paraId="58993FB8" w14:textId="6975C9A9" w:rsidR="00BE6548" w:rsidRPr="00C1142F" w:rsidRDefault="00BE6548" w:rsidP="00BE6548">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t>
      </w:r>
      <w:r w:rsidR="00B350A6" w:rsidRPr="0021672C">
        <w:rPr>
          <w:rStyle w:val="None"/>
          <w:sz w:val="16"/>
          <w:szCs w:val="16"/>
        </w:rPr>
        <w:t xml:space="preserve">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8" w:history="1">
        <w:r w:rsidR="00B350A6" w:rsidRPr="00994FED">
          <w:rPr>
            <w:rStyle w:val="Hyperlink"/>
            <w:sz w:val="16"/>
            <w:szCs w:val="16"/>
          </w:rPr>
          <w:t>https://standards.ieee.org/ieee/802.11be/7516</w:t>
        </w:r>
      </w:hyperlink>
      <w:r w:rsidR="00B350A6">
        <w:rPr>
          <w:rStyle w:val="None"/>
          <w:sz w:val="16"/>
          <w:szCs w:val="16"/>
        </w:rPr>
        <w:t xml:space="preserve"> </w:t>
      </w:r>
      <w:r w:rsidR="00B350A6" w:rsidRPr="0021672C">
        <w:rPr>
          <w:rStyle w:val="None"/>
          <w:sz w:val="16"/>
          <w:szCs w:val="16"/>
        </w:rPr>
        <w:t xml:space="preserve">[accessed: </w:t>
      </w:r>
      <w:r w:rsidR="007414F0">
        <w:rPr>
          <w:rStyle w:val="None"/>
          <w:sz w:val="16"/>
          <w:szCs w:val="16"/>
        </w:rPr>
        <w:t>28</w:t>
      </w:r>
      <w:r w:rsidR="00B350A6">
        <w:rPr>
          <w:rStyle w:val="None"/>
          <w:sz w:val="16"/>
          <w:szCs w:val="16"/>
        </w:rPr>
        <w:t xml:space="preserve"> </w:t>
      </w:r>
      <w:r w:rsidR="00B350A6" w:rsidRPr="00C1142F">
        <w:rPr>
          <w:rStyle w:val="None"/>
          <w:sz w:val="16"/>
          <w:szCs w:val="16"/>
        </w:rPr>
        <w:t xml:space="preserve">March 2025]. With introduction of 320 MHz channel bandwidth, Wi-Fi 7 doubles throughputs relative to Wi-Fi 6E and significantly improves latency for Extended Reality, bringing determinism through enablement of Multi-Link Operation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r w:rsidR="00B350A6" w:rsidRPr="00C1142F">
        <w:rPr>
          <w:sz w:val="16"/>
          <w:szCs w:val="16"/>
        </w:rPr>
        <w:t>Of particular relevance is the multi-link operation feature which when used in the 6 GHz band, achieves and exceeds the performance expectations of Wi-Fi 7.</w:t>
      </w:r>
    </w:p>
  </w:footnote>
  <w:footnote w:id="14">
    <w:p w14:paraId="1D263498" w14:textId="5FD7B30F" w:rsidR="00546B11" w:rsidRPr="00C1142F" w:rsidRDefault="00546B11" w:rsidP="00546B11">
      <w:pPr>
        <w:pStyle w:val="FootnoteText"/>
        <w:jc w:val="both"/>
        <w:rPr>
          <w:sz w:val="16"/>
          <w:szCs w:val="16"/>
        </w:rPr>
      </w:pPr>
      <w:r w:rsidRPr="007414F0">
        <w:rPr>
          <w:rStyle w:val="FootnoteReference"/>
          <w:sz w:val="16"/>
          <w:szCs w:val="16"/>
        </w:rPr>
        <w:footnoteRef/>
      </w:r>
      <w:r w:rsidRPr="007414F0">
        <w:rPr>
          <w:sz w:val="16"/>
          <w:szCs w:val="16"/>
        </w:rPr>
        <w:t xml:space="preserve"> </w:t>
      </w:r>
      <w:r w:rsidRPr="007414F0">
        <w:rPr>
          <w:iCs/>
          <w:sz w:val="16"/>
          <w:szCs w:val="16"/>
        </w:rPr>
        <w:t>See Wi-Fi Alliance: Wi-Fi Alliance® demonstrates the impact of 6 GHz Wi-Fi® for advanced AR/VR in healthcare (</w:t>
      </w:r>
      <w:hyperlink r:id="rId9" w:history="1">
        <w:r w:rsidRPr="007414F0">
          <w:rPr>
            <w:rStyle w:val="Hyperlink"/>
            <w:iCs/>
            <w:sz w:val="16"/>
            <w:szCs w:val="16"/>
          </w:rPr>
          <w:t>https://www.wi-fi.org/beacon/the-beacon/wi-fi-alliance-demonstrates-the-impact-of-6-ghz-wi-fi-for-advanced-arvr-in</w:t>
        </w:r>
      </w:hyperlink>
      <w:r w:rsidRPr="007414F0">
        <w:rPr>
          <w:iCs/>
          <w:sz w:val="16"/>
          <w:szCs w:val="16"/>
        </w:rPr>
        <w:t xml:space="preserve">) </w:t>
      </w:r>
      <w:r w:rsidRPr="007414F0">
        <w:rPr>
          <w:sz w:val="16"/>
          <w:szCs w:val="16"/>
        </w:rPr>
        <w:t xml:space="preserve">[accessed: </w:t>
      </w:r>
      <w:r w:rsidR="00C1142F" w:rsidRPr="007414F0">
        <w:rPr>
          <w:sz w:val="16"/>
          <w:szCs w:val="16"/>
        </w:rPr>
        <w:t>2</w:t>
      </w:r>
      <w:r w:rsidR="007414F0">
        <w:rPr>
          <w:sz w:val="16"/>
          <w:szCs w:val="16"/>
        </w:rPr>
        <w:t>8</w:t>
      </w:r>
      <w:r w:rsidR="00C1142F" w:rsidRPr="007414F0">
        <w:rPr>
          <w:sz w:val="16"/>
          <w:szCs w:val="16"/>
        </w:rPr>
        <w:t xml:space="preserve"> March 2025</w:t>
      </w:r>
      <w:r w:rsidRPr="007414F0">
        <w:rPr>
          <w:sz w:val="16"/>
          <w:szCs w:val="16"/>
        </w:rPr>
        <w:t>].</w:t>
      </w:r>
    </w:p>
  </w:footnote>
  <w:footnote w:id="15">
    <w:p w14:paraId="0A2E4E0A" w14:textId="3A4822FF" w:rsidR="00BE6548" w:rsidRPr="00C1142F" w:rsidRDefault="00BE6548" w:rsidP="00BE6548">
      <w:pPr>
        <w:pStyle w:val="FootnoteText"/>
        <w:rPr>
          <w:sz w:val="16"/>
          <w:szCs w:val="16"/>
        </w:rPr>
      </w:pPr>
      <w:r w:rsidRPr="00C1142F">
        <w:rPr>
          <w:rStyle w:val="FootnoteReference"/>
          <w:sz w:val="16"/>
          <w:szCs w:val="16"/>
        </w:rPr>
        <w:footnoteRef/>
      </w:r>
      <w:r w:rsidRPr="00C1142F">
        <w:rPr>
          <w:sz w:val="16"/>
          <w:szCs w:val="16"/>
        </w:rPr>
        <w:t xml:space="preserve"> See ABI Research</w:t>
      </w:r>
      <w:r w:rsidRPr="00C1142F">
        <w:rPr>
          <w:rStyle w:val="Hyperlink"/>
          <w:color w:val="auto"/>
          <w:sz w:val="16"/>
          <w:szCs w:val="16"/>
          <w:u w:val="none"/>
        </w:rPr>
        <w:t>: Indoor Positioning and RTLS: Technology Infrastructure, Applications, and Revenue</w:t>
      </w:r>
      <w:r w:rsidR="009876BA" w:rsidRPr="00C1142F">
        <w:rPr>
          <w:sz w:val="16"/>
          <w:szCs w:val="16"/>
        </w:rPr>
        <w:t xml:space="preserve"> </w:t>
      </w:r>
      <w:hyperlink r:id="rId10" w:history="1">
        <w:r w:rsidR="009876BA" w:rsidRPr="00C1142F">
          <w:rPr>
            <w:rStyle w:val="Hyperlink"/>
            <w:sz w:val="16"/>
            <w:szCs w:val="16"/>
          </w:rPr>
          <w:t>https://www.abiresearch.com/market-research/product/1031357-indoor-positioning-and-rtls-technology-inf</w:t>
        </w:r>
      </w:hyperlink>
      <w:r w:rsidR="009876BA" w:rsidRPr="00C1142F">
        <w:rPr>
          <w:rStyle w:val="Hyperlink"/>
          <w:color w:val="auto"/>
          <w:sz w:val="16"/>
          <w:szCs w:val="16"/>
          <w:u w:val="none"/>
        </w:rPr>
        <w:t xml:space="preserve"> </w:t>
      </w:r>
      <w:r w:rsidRPr="00C1142F">
        <w:rPr>
          <w:sz w:val="16"/>
          <w:szCs w:val="16"/>
        </w:rPr>
        <w:t xml:space="preserve">[accessed: </w:t>
      </w:r>
      <w:r w:rsidR="009876BA" w:rsidRPr="00C1142F">
        <w:rPr>
          <w:sz w:val="16"/>
          <w:szCs w:val="16"/>
        </w:rPr>
        <w:t>2</w:t>
      </w:r>
      <w:r w:rsidR="007414F0">
        <w:rPr>
          <w:sz w:val="16"/>
          <w:szCs w:val="16"/>
        </w:rPr>
        <w:t>8</w:t>
      </w:r>
      <w:r w:rsidR="009876BA" w:rsidRPr="00C1142F">
        <w:rPr>
          <w:sz w:val="16"/>
          <w:szCs w:val="16"/>
        </w:rPr>
        <w:t xml:space="preserve"> March 2025</w:t>
      </w:r>
      <w:r w:rsidRPr="00C1142F">
        <w:rPr>
          <w:sz w:val="16"/>
          <w:szCs w:val="16"/>
        </w:rPr>
        <w:t>]</w:t>
      </w:r>
    </w:p>
  </w:footnote>
  <w:footnote w:id="16">
    <w:p w14:paraId="2D748118" w14:textId="77777777" w:rsidR="00BE6548" w:rsidRPr="00C1142F" w:rsidRDefault="00BE6548" w:rsidP="00BE6548">
      <w:pPr>
        <w:pStyle w:val="FootnoteText"/>
        <w:jc w:val="both"/>
        <w:rPr>
          <w:sz w:val="16"/>
          <w:szCs w:val="16"/>
        </w:rPr>
      </w:pPr>
      <w:r w:rsidRPr="00C1142F">
        <w:rPr>
          <w:rStyle w:val="FootnoteReference"/>
          <w:sz w:val="16"/>
          <w:szCs w:val="16"/>
        </w:rPr>
        <w:footnoteRef/>
      </w:r>
      <w:r w:rsidRPr="00C1142F">
        <w:rPr>
          <w:sz w:val="16"/>
          <w:szCs w:val="16"/>
        </w:rPr>
        <w:t xml:space="preserve"> “IEEE Standard for Information Technology--Telecommunications and Information Exchange between Systems Local and Metropolitan Area Networks--Specific Requirements Part 11: Wireless LAN Medium Access Control (MAC) and Physical Layer (PHY) Specifications Amendment 4: Enhancements for Positioning,” in IEEE Std 802.11az-2022 (Amendment to IEEE Std 802.11-2020 as amended by IEEE Std 802.11ax-2021, IEEE Std 802.11ay-2021, IEEE Std 802.11ba-2021, and IEEE Std 802.11-2020/Cor 1-2022) , vol., no., pp.1-248, 3 March 2023, doi: 10.1109/IEEESTD.2023.10058117.</w:t>
      </w:r>
    </w:p>
  </w:footnote>
  <w:footnote w:id="17">
    <w:p w14:paraId="698936AE" w14:textId="6F2B05A2" w:rsidR="00BE6548" w:rsidRDefault="00BE6548" w:rsidP="00BE6548">
      <w:pPr>
        <w:pStyle w:val="FootnoteText"/>
      </w:pPr>
      <w:r w:rsidRPr="00C1142F">
        <w:rPr>
          <w:rStyle w:val="FootnoteReference"/>
          <w:sz w:val="16"/>
          <w:szCs w:val="16"/>
        </w:rPr>
        <w:footnoteRef/>
      </w:r>
      <w:r w:rsidRPr="00C1142F">
        <w:rPr>
          <w:sz w:val="16"/>
          <w:szCs w:val="16"/>
        </w:rPr>
        <w:t xml:space="preserve"> See IEEE P802.11bk, </w:t>
      </w:r>
      <w:hyperlink r:id="rId11" w:history="1">
        <w:r w:rsidRPr="00C1142F">
          <w:rPr>
            <w:rStyle w:val="Hyperlink"/>
            <w:sz w:val="16"/>
            <w:szCs w:val="16"/>
          </w:rPr>
          <w:t>https://www.ieee802.org/11/Reports/tgbk_update.htm</w:t>
        </w:r>
      </w:hyperlink>
      <w:r w:rsidRPr="00C1142F">
        <w:rPr>
          <w:sz w:val="16"/>
          <w:szCs w:val="16"/>
        </w:rPr>
        <w:t xml:space="preserve"> [accessed: </w:t>
      </w:r>
      <w:r w:rsidR="009876BA" w:rsidRPr="00C1142F">
        <w:rPr>
          <w:sz w:val="16"/>
          <w:szCs w:val="16"/>
        </w:rPr>
        <w:t>2</w:t>
      </w:r>
      <w:r w:rsidR="007414F0">
        <w:rPr>
          <w:sz w:val="16"/>
          <w:szCs w:val="16"/>
        </w:rPr>
        <w:t>8</w:t>
      </w:r>
      <w:r w:rsidR="009876BA" w:rsidRPr="00C1142F">
        <w:rPr>
          <w:sz w:val="16"/>
          <w:szCs w:val="16"/>
        </w:rPr>
        <w:t xml:space="preserve"> March 2025</w:t>
      </w:r>
      <w:r w:rsidRPr="00C1142F">
        <w:rPr>
          <w:sz w:val="16"/>
          <w:szCs w:val="16"/>
        </w:rPr>
        <w:t>].</w:t>
      </w:r>
    </w:p>
  </w:footnote>
  <w:footnote w:id="18">
    <w:p w14:paraId="7751E714" w14:textId="199F3716" w:rsidR="00DD74A9" w:rsidRPr="00DD74A9" w:rsidRDefault="00DD74A9">
      <w:pPr>
        <w:pStyle w:val="FootnoteText"/>
        <w:rPr>
          <w:sz w:val="16"/>
          <w:szCs w:val="16"/>
        </w:rPr>
      </w:pPr>
      <w:r w:rsidRPr="00DD74A9">
        <w:rPr>
          <w:rStyle w:val="FootnoteReference"/>
          <w:sz w:val="16"/>
          <w:szCs w:val="16"/>
        </w:rPr>
        <w:footnoteRef/>
      </w:r>
      <w:r w:rsidRPr="00DD74A9">
        <w:rPr>
          <w:sz w:val="16"/>
          <w:szCs w:val="16"/>
        </w:rPr>
        <w:t xml:space="preserve"> See </w:t>
      </w:r>
      <w:hyperlink r:id="rId12" w:history="1">
        <w:r w:rsidRPr="00DD74A9">
          <w:rPr>
            <w:rStyle w:val="Hyperlink"/>
            <w:sz w:val="16"/>
            <w:szCs w:val="16"/>
          </w:rPr>
          <w:t>https://www.cisco.com/c/dam/en/us/services/collateral/se/cyprus-case-study.pdf</w:t>
        </w:r>
      </w:hyperlink>
      <w:r w:rsidRPr="00DD74A9">
        <w:rPr>
          <w:sz w:val="16"/>
          <w:szCs w:val="16"/>
        </w:rPr>
        <w:t xml:space="preserve"> [accessed: 2</w:t>
      </w:r>
      <w:r w:rsidR="007414F0">
        <w:rPr>
          <w:sz w:val="16"/>
          <w:szCs w:val="16"/>
        </w:rPr>
        <w:t>8</w:t>
      </w:r>
      <w:r w:rsidRPr="00DD74A9">
        <w:rPr>
          <w:sz w:val="16"/>
          <w:szCs w:val="16"/>
        </w:rPr>
        <w:t xml:space="preserve"> March 2025]</w:t>
      </w:r>
      <w:r w:rsidR="00F03A96">
        <w:rPr>
          <w:sz w:val="16"/>
          <w:szCs w:val="16"/>
        </w:rPr>
        <w:t>.</w:t>
      </w:r>
    </w:p>
  </w:footnote>
  <w:footnote w:id="19">
    <w:p w14:paraId="58BEC904" w14:textId="06B84D7B" w:rsidR="00EC7697" w:rsidRPr="00EC7697" w:rsidRDefault="00EC7697">
      <w:pPr>
        <w:pStyle w:val="FootnoteText"/>
        <w:rPr>
          <w:sz w:val="16"/>
          <w:szCs w:val="16"/>
        </w:rPr>
      </w:pPr>
      <w:r w:rsidRPr="00EC7697">
        <w:rPr>
          <w:rStyle w:val="FootnoteReference"/>
          <w:sz w:val="16"/>
          <w:szCs w:val="16"/>
        </w:rPr>
        <w:footnoteRef/>
      </w:r>
      <w:r w:rsidRPr="00EC7697">
        <w:rPr>
          <w:sz w:val="16"/>
          <w:szCs w:val="16"/>
        </w:rPr>
        <w:t xml:space="preserve"> See </w:t>
      </w:r>
      <w:hyperlink r:id="rId13" w:history="1">
        <w:r w:rsidRPr="00EC7697">
          <w:rPr>
            <w:rStyle w:val="Hyperlink"/>
            <w:sz w:val="16"/>
            <w:szCs w:val="16"/>
          </w:rPr>
          <w:t>https://www.commscope.com/resources/case-studies/ghelamco-stadium/</w:t>
        </w:r>
      </w:hyperlink>
      <w:r w:rsidRPr="00EC7697">
        <w:rPr>
          <w:color w:val="000000"/>
          <w:sz w:val="16"/>
          <w:szCs w:val="16"/>
        </w:rPr>
        <w:t xml:space="preserve"> </w:t>
      </w:r>
      <w:r w:rsidRPr="00EC7697">
        <w:rPr>
          <w:sz w:val="16"/>
          <w:szCs w:val="16"/>
        </w:rPr>
        <w:t>[accessed: 2</w:t>
      </w:r>
      <w:r w:rsidR="007414F0">
        <w:rPr>
          <w:sz w:val="16"/>
          <w:szCs w:val="16"/>
        </w:rPr>
        <w:t>8</w:t>
      </w:r>
      <w:r w:rsidRPr="00EC7697">
        <w:rPr>
          <w:sz w:val="16"/>
          <w:szCs w:val="16"/>
        </w:rPr>
        <w:t xml:space="preserve"> March 2025].</w:t>
      </w:r>
    </w:p>
  </w:footnote>
  <w:footnote w:id="20">
    <w:p w14:paraId="68E3A960" w14:textId="5CDC7E02" w:rsidR="00F351CE" w:rsidRPr="00F351CE" w:rsidRDefault="00F351CE">
      <w:pPr>
        <w:pStyle w:val="FootnoteText"/>
        <w:rPr>
          <w:sz w:val="16"/>
          <w:szCs w:val="16"/>
        </w:rPr>
      </w:pPr>
      <w:r w:rsidRPr="00F351CE">
        <w:rPr>
          <w:rStyle w:val="FootnoteReference"/>
          <w:sz w:val="16"/>
          <w:szCs w:val="16"/>
        </w:rPr>
        <w:footnoteRef/>
      </w:r>
      <w:r w:rsidRPr="00F351CE">
        <w:rPr>
          <w:sz w:val="16"/>
          <w:szCs w:val="16"/>
        </w:rPr>
        <w:t xml:space="preserve"> See </w:t>
      </w:r>
      <w:hyperlink r:id="rId14" w:history="1">
        <w:r w:rsidRPr="00F351CE">
          <w:rPr>
            <w:rStyle w:val="Hyperlink"/>
            <w:sz w:val="16"/>
            <w:szCs w:val="16"/>
          </w:rPr>
          <w:t>https://www.cisco.com/c/en/us/about/case-studies-customer-success-stories/thessaloniki-port-authority.html?dtid=odicdc000509</w:t>
        </w:r>
      </w:hyperlink>
      <w:r w:rsidRPr="00F351CE">
        <w:rPr>
          <w:color w:val="000000"/>
          <w:sz w:val="16"/>
          <w:szCs w:val="16"/>
        </w:rPr>
        <w:t xml:space="preserve"> </w:t>
      </w:r>
      <w:r w:rsidRPr="00F351CE">
        <w:rPr>
          <w:sz w:val="16"/>
          <w:szCs w:val="16"/>
        </w:rPr>
        <w:t>[accessed: 2</w:t>
      </w:r>
      <w:r w:rsidR="007414F0">
        <w:rPr>
          <w:sz w:val="16"/>
          <w:szCs w:val="16"/>
        </w:rPr>
        <w:t>8</w:t>
      </w:r>
      <w:r w:rsidRPr="00F351CE">
        <w:rPr>
          <w:sz w:val="16"/>
          <w:szCs w:val="16"/>
        </w:rPr>
        <w:t xml:space="preserve"> March 2025].</w:t>
      </w:r>
    </w:p>
  </w:footnote>
  <w:footnote w:id="21">
    <w:p w14:paraId="2C80C228" w14:textId="185E9515" w:rsidR="00A8340B" w:rsidRPr="00D94449" w:rsidRDefault="00A8340B" w:rsidP="007414F0">
      <w:pPr>
        <w:pStyle w:val="FootnoteText"/>
        <w:jc w:val="both"/>
        <w:rPr>
          <w:sz w:val="16"/>
          <w:szCs w:val="16"/>
        </w:rPr>
      </w:pPr>
      <w:r w:rsidRPr="00D94449">
        <w:rPr>
          <w:rStyle w:val="FootnoteReference"/>
          <w:sz w:val="16"/>
          <w:szCs w:val="16"/>
        </w:rPr>
        <w:footnoteRef/>
      </w:r>
      <w:r w:rsidRPr="00D94449">
        <w:rPr>
          <w:sz w:val="16"/>
          <w:szCs w:val="16"/>
        </w:rPr>
        <w:t xml:space="preserve"> See </w:t>
      </w:r>
      <w:hyperlink r:id="rId15" w:anchor="~customer-stories" w:history="1">
        <w:r w:rsidRPr="00D94449">
          <w:rPr>
            <w:rStyle w:val="Hyperlink"/>
            <w:sz w:val="16"/>
            <w:szCs w:val="16"/>
          </w:rPr>
          <w:t>https://www.cisco.com/c/en/us/products/wireless/ultra-reliable-wireless-backhaul/index.html#~customer-stories</w:t>
        </w:r>
      </w:hyperlink>
      <w:r w:rsidRPr="00D94449">
        <w:rPr>
          <w:sz w:val="16"/>
          <w:szCs w:val="16"/>
        </w:rPr>
        <w:t xml:space="preserve"> [accessed: 2</w:t>
      </w:r>
      <w:r w:rsidR="007414F0">
        <w:rPr>
          <w:sz w:val="16"/>
          <w:szCs w:val="16"/>
        </w:rPr>
        <w:t>8</w:t>
      </w:r>
      <w:r w:rsidRPr="00D94449">
        <w:rPr>
          <w:sz w:val="16"/>
          <w:szCs w:val="16"/>
        </w:rPr>
        <w:t xml:space="preserve"> March 2025].</w:t>
      </w:r>
    </w:p>
  </w:footnote>
  <w:footnote w:id="22">
    <w:p w14:paraId="424414FB" w14:textId="6B32D0A4" w:rsidR="00340FE5" w:rsidRPr="00340FE5" w:rsidRDefault="00340FE5">
      <w:pPr>
        <w:pStyle w:val="FootnoteText"/>
        <w:rPr>
          <w:sz w:val="16"/>
          <w:szCs w:val="16"/>
        </w:rPr>
      </w:pPr>
      <w:r w:rsidRPr="00340FE5">
        <w:rPr>
          <w:rStyle w:val="FootnoteReference"/>
          <w:sz w:val="16"/>
          <w:szCs w:val="16"/>
        </w:rPr>
        <w:footnoteRef/>
      </w:r>
      <w:r w:rsidRPr="00340FE5">
        <w:rPr>
          <w:sz w:val="16"/>
          <w:szCs w:val="16"/>
        </w:rPr>
        <w:t xml:space="preserve"> See </w:t>
      </w:r>
      <w:hyperlink r:id="rId16" w:history="1">
        <w:r w:rsidRPr="00340FE5">
          <w:rPr>
            <w:rStyle w:val="Hyperlink"/>
            <w:sz w:val="16"/>
            <w:szCs w:val="16"/>
          </w:rPr>
          <w:t>https://www.cisco.com/c/en/us/about/case-studies-customer-success-stories/malta-freeport-terminals.html</w:t>
        </w:r>
      </w:hyperlink>
      <w:r w:rsidRPr="00340FE5">
        <w:rPr>
          <w:color w:val="000000"/>
          <w:sz w:val="16"/>
          <w:szCs w:val="16"/>
        </w:rPr>
        <w:t xml:space="preserve"> </w:t>
      </w:r>
      <w:r w:rsidRPr="00340FE5">
        <w:rPr>
          <w:sz w:val="16"/>
          <w:szCs w:val="16"/>
        </w:rPr>
        <w:t>[accessed: 2</w:t>
      </w:r>
      <w:r w:rsidR="007414F0">
        <w:rPr>
          <w:sz w:val="16"/>
          <w:szCs w:val="16"/>
        </w:rPr>
        <w:t>8</w:t>
      </w:r>
      <w:r w:rsidRPr="00340FE5">
        <w:rPr>
          <w:sz w:val="16"/>
          <w:szCs w:val="16"/>
        </w:rPr>
        <w:t xml:space="preserve"> March 2025].</w:t>
      </w:r>
    </w:p>
  </w:footnote>
  <w:footnote w:id="23">
    <w:p w14:paraId="2EE03AFB" w14:textId="69D9443F" w:rsidR="0083293D" w:rsidRPr="00EA6E09" w:rsidRDefault="0083293D">
      <w:pPr>
        <w:pStyle w:val="FootnoteText"/>
        <w:rPr>
          <w:sz w:val="16"/>
          <w:szCs w:val="16"/>
        </w:rPr>
      </w:pPr>
      <w:r w:rsidRPr="00EA6E09">
        <w:rPr>
          <w:rStyle w:val="FootnoteReference"/>
          <w:sz w:val="16"/>
          <w:szCs w:val="16"/>
        </w:rPr>
        <w:footnoteRef/>
      </w:r>
      <w:r w:rsidRPr="00EA6E09">
        <w:rPr>
          <w:sz w:val="16"/>
          <w:szCs w:val="16"/>
        </w:rPr>
        <w:t xml:space="preserve"> See </w:t>
      </w:r>
      <w:hyperlink r:id="rId17" w:history="1">
        <w:r w:rsidRPr="00EA6E09">
          <w:rPr>
            <w:rStyle w:val="Hyperlink"/>
            <w:sz w:val="16"/>
            <w:szCs w:val="16"/>
          </w:rPr>
          <w:t>https://www.cisco.com/c/en/us/solutions/collateral/enterprise-networks/faloria-case-study.html</w:t>
        </w:r>
      </w:hyperlink>
      <w:r w:rsidRPr="00EA6E09">
        <w:rPr>
          <w:sz w:val="16"/>
          <w:szCs w:val="16"/>
        </w:rPr>
        <w:t xml:space="preserve"> [accessed: 2</w:t>
      </w:r>
      <w:r w:rsidR="007414F0">
        <w:rPr>
          <w:sz w:val="16"/>
          <w:szCs w:val="16"/>
        </w:rPr>
        <w:t>8</w:t>
      </w:r>
      <w:r w:rsidRPr="00EA6E09">
        <w:rPr>
          <w:sz w:val="16"/>
          <w:szCs w:val="16"/>
        </w:rPr>
        <w:t xml:space="preserve"> March 2025].</w:t>
      </w:r>
    </w:p>
  </w:footnote>
  <w:footnote w:id="24">
    <w:p w14:paraId="6452B941" w14:textId="1CB6EF98" w:rsidR="005B00BC" w:rsidRPr="005B00BC" w:rsidRDefault="005B00BC" w:rsidP="002133B7">
      <w:pPr>
        <w:pStyle w:val="FootnoteText"/>
        <w:jc w:val="both"/>
        <w:rPr>
          <w:sz w:val="16"/>
          <w:szCs w:val="16"/>
        </w:rPr>
      </w:pPr>
      <w:r w:rsidRPr="005B00BC">
        <w:rPr>
          <w:rStyle w:val="FootnoteReference"/>
          <w:sz w:val="16"/>
          <w:szCs w:val="16"/>
        </w:rPr>
        <w:footnoteRef/>
      </w:r>
      <w:r w:rsidRPr="005B00BC">
        <w:rPr>
          <w:sz w:val="16"/>
          <w:szCs w:val="16"/>
        </w:rPr>
        <w:t xml:space="preserve"> See </w:t>
      </w:r>
      <w:hyperlink r:id="rId18" w:history="1">
        <w:r w:rsidRPr="005B00BC">
          <w:rPr>
            <w:rStyle w:val="Hyperlink"/>
            <w:sz w:val="16"/>
            <w:szCs w:val="16"/>
          </w:rPr>
          <w:t>https://wballiance.com/wireless-broadband-alliance-members-successfully-complete-first-phase-Wi-Fi-6-industry-4-0-trials-with-mettis-aerospace/</w:t>
        </w:r>
      </w:hyperlink>
      <w:r w:rsidRPr="005B00BC">
        <w:rPr>
          <w:color w:val="000000"/>
          <w:sz w:val="16"/>
          <w:szCs w:val="16"/>
        </w:rPr>
        <w:t xml:space="preserve"> </w:t>
      </w:r>
      <w:r w:rsidRPr="005B00BC">
        <w:rPr>
          <w:sz w:val="16"/>
          <w:szCs w:val="16"/>
        </w:rPr>
        <w:t>[accessed: 2</w:t>
      </w:r>
      <w:r w:rsidR="002133B7">
        <w:rPr>
          <w:sz w:val="16"/>
          <w:szCs w:val="16"/>
        </w:rPr>
        <w:t>8</w:t>
      </w:r>
      <w:r w:rsidRPr="005B00BC">
        <w:rPr>
          <w:sz w:val="16"/>
          <w:szCs w:val="16"/>
        </w:rPr>
        <w:t xml:space="preserve"> March 2025].</w:t>
      </w:r>
    </w:p>
  </w:footnote>
  <w:footnote w:id="25">
    <w:p w14:paraId="66D61E9A" w14:textId="77777777" w:rsidR="00566CAF" w:rsidRPr="00273C15" w:rsidRDefault="00566CAF" w:rsidP="00566CAF">
      <w:pPr>
        <w:pStyle w:val="FootnoteText"/>
        <w:jc w:val="both"/>
        <w:rPr>
          <w:sz w:val="16"/>
          <w:szCs w:val="16"/>
        </w:rPr>
      </w:pPr>
      <w:r w:rsidRPr="00273C15">
        <w:rPr>
          <w:rStyle w:val="FootnoteReference"/>
          <w:sz w:val="16"/>
          <w:szCs w:val="16"/>
        </w:rPr>
        <w:footnoteRef/>
      </w:r>
      <w:r w:rsidRPr="00273C15">
        <w:rPr>
          <w:sz w:val="16"/>
          <w:szCs w:val="16"/>
        </w:rPr>
        <w:t xml:space="preserve"> See UK Ofcom consultation “Proposals for AFC in Lower 6 GHz and mobile / Wi-Fi sharing in Upper 6 GHz,” February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5E0C" w14:textId="5367BFD0" w:rsidR="002E0A70" w:rsidRDefault="00944526">
    <w:pPr>
      <w:pStyle w:val="Header"/>
      <w:tabs>
        <w:tab w:val="clear" w:pos="6480"/>
        <w:tab w:val="center" w:pos="4680"/>
        <w:tab w:val="right" w:pos="9360"/>
      </w:tabs>
    </w:pPr>
    <w:r>
      <w:t>March</w:t>
    </w:r>
    <w:r w:rsidR="005C5C3F">
      <w:t xml:space="preserve"> 2025</w:t>
    </w:r>
    <w:r w:rsidR="002E0A70">
      <w:t xml:space="preserve"> </w:t>
    </w:r>
    <w:r w:rsidR="002E0A70">
      <w:tab/>
    </w:r>
    <w:r w:rsidR="002E0A70">
      <w:tab/>
      <w:t>doc.: IEEE 802.18-2</w:t>
    </w:r>
    <w:r w:rsidR="005C5C3F">
      <w:t>5</w:t>
    </w:r>
    <w:r w:rsidR="002E0A70">
      <w:t>/0</w:t>
    </w:r>
    <w:r w:rsidR="005C5C3F">
      <w:t>0</w:t>
    </w:r>
    <w:r w:rsidR="008A0BD7">
      <w:t>24</w:t>
    </w:r>
    <w:r w:rsidR="002E0A70">
      <w:t>r</w:t>
    </w:r>
    <w:r w:rsidR="00934B25">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AEB33AB"/>
    <w:multiLevelType w:val="hybridMultilevel"/>
    <w:tmpl w:val="AF2CB0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663878"/>
    <w:multiLevelType w:val="hybridMultilevel"/>
    <w:tmpl w:val="16E6E166"/>
    <w:lvl w:ilvl="0" w:tplc="BBD68314">
      <w:start w:val="1"/>
      <w:numFmt w:val="bullet"/>
      <w:lvlText w:val="•"/>
      <w:lvlJc w:val="left"/>
      <w:pPr>
        <w:tabs>
          <w:tab w:val="num" w:pos="720"/>
        </w:tabs>
        <w:ind w:left="720" w:hanging="360"/>
      </w:pPr>
      <w:rPr>
        <w:rFonts w:ascii="Times New Roman" w:hAnsi="Times New Roman" w:hint="default"/>
      </w:rPr>
    </w:lvl>
    <w:lvl w:ilvl="1" w:tplc="3C1EC12E" w:tentative="1">
      <w:start w:val="1"/>
      <w:numFmt w:val="bullet"/>
      <w:lvlText w:val="•"/>
      <w:lvlJc w:val="left"/>
      <w:pPr>
        <w:tabs>
          <w:tab w:val="num" w:pos="1440"/>
        </w:tabs>
        <w:ind w:left="1440" w:hanging="360"/>
      </w:pPr>
      <w:rPr>
        <w:rFonts w:ascii="Times New Roman" w:hAnsi="Times New Roman" w:hint="default"/>
      </w:rPr>
    </w:lvl>
    <w:lvl w:ilvl="2" w:tplc="9092CBFC" w:tentative="1">
      <w:start w:val="1"/>
      <w:numFmt w:val="bullet"/>
      <w:lvlText w:val="•"/>
      <w:lvlJc w:val="left"/>
      <w:pPr>
        <w:tabs>
          <w:tab w:val="num" w:pos="2160"/>
        </w:tabs>
        <w:ind w:left="2160" w:hanging="360"/>
      </w:pPr>
      <w:rPr>
        <w:rFonts w:ascii="Times New Roman" w:hAnsi="Times New Roman" w:hint="default"/>
      </w:rPr>
    </w:lvl>
    <w:lvl w:ilvl="3" w:tplc="3A067F34" w:tentative="1">
      <w:start w:val="1"/>
      <w:numFmt w:val="bullet"/>
      <w:lvlText w:val="•"/>
      <w:lvlJc w:val="left"/>
      <w:pPr>
        <w:tabs>
          <w:tab w:val="num" w:pos="2880"/>
        </w:tabs>
        <w:ind w:left="2880" w:hanging="360"/>
      </w:pPr>
      <w:rPr>
        <w:rFonts w:ascii="Times New Roman" w:hAnsi="Times New Roman" w:hint="default"/>
      </w:rPr>
    </w:lvl>
    <w:lvl w:ilvl="4" w:tplc="921267CA" w:tentative="1">
      <w:start w:val="1"/>
      <w:numFmt w:val="bullet"/>
      <w:lvlText w:val="•"/>
      <w:lvlJc w:val="left"/>
      <w:pPr>
        <w:tabs>
          <w:tab w:val="num" w:pos="3600"/>
        </w:tabs>
        <w:ind w:left="3600" w:hanging="360"/>
      </w:pPr>
      <w:rPr>
        <w:rFonts w:ascii="Times New Roman" w:hAnsi="Times New Roman" w:hint="default"/>
      </w:rPr>
    </w:lvl>
    <w:lvl w:ilvl="5" w:tplc="12DE1CE4" w:tentative="1">
      <w:start w:val="1"/>
      <w:numFmt w:val="bullet"/>
      <w:lvlText w:val="•"/>
      <w:lvlJc w:val="left"/>
      <w:pPr>
        <w:tabs>
          <w:tab w:val="num" w:pos="4320"/>
        </w:tabs>
        <w:ind w:left="4320" w:hanging="360"/>
      </w:pPr>
      <w:rPr>
        <w:rFonts w:ascii="Times New Roman" w:hAnsi="Times New Roman" w:hint="default"/>
      </w:rPr>
    </w:lvl>
    <w:lvl w:ilvl="6" w:tplc="A51E188C" w:tentative="1">
      <w:start w:val="1"/>
      <w:numFmt w:val="bullet"/>
      <w:lvlText w:val="•"/>
      <w:lvlJc w:val="left"/>
      <w:pPr>
        <w:tabs>
          <w:tab w:val="num" w:pos="5040"/>
        </w:tabs>
        <w:ind w:left="5040" w:hanging="360"/>
      </w:pPr>
      <w:rPr>
        <w:rFonts w:ascii="Times New Roman" w:hAnsi="Times New Roman" w:hint="default"/>
      </w:rPr>
    </w:lvl>
    <w:lvl w:ilvl="7" w:tplc="20EE9860" w:tentative="1">
      <w:start w:val="1"/>
      <w:numFmt w:val="bullet"/>
      <w:lvlText w:val="•"/>
      <w:lvlJc w:val="left"/>
      <w:pPr>
        <w:tabs>
          <w:tab w:val="num" w:pos="5760"/>
        </w:tabs>
        <w:ind w:left="5760" w:hanging="360"/>
      </w:pPr>
      <w:rPr>
        <w:rFonts w:ascii="Times New Roman" w:hAnsi="Times New Roman" w:hint="default"/>
      </w:rPr>
    </w:lvl>
    <w:lvl w:ilvl="8" w:tplc="2ADCBD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EB3CA7"/>
    <w:multiLevelType w:val="hybridMultilevel"/>
    <w:tmpl w:val="1BCA6462"/>
    <w:lvl w:ilvl="0" w:tplc="86F01AA6">
      <w:start w:val="1"/>
      <w:numFmt w:val="bullet"/>
      <w:lvlText w:val="•"/>
      <w:lvlJc w:val="left"/>
      <w:pPr>
        <w:tabs>
          <w:tab w:val="num" w:pos="720"/>
        </w:tabs>
        <w:ind w:left="720" w:hanging="360"/>
      </w:pPr>
      <w:rPr>
        <w:rFonts w:ascii="Times New Roman" w:hAnsi="Times New Roman" w:hint="default"/>
      </w:rPr>
    </w:lvl>
    <w:lvl w:ilvl="1" w:tplc="C1C6422E" w:tentative="1">
      <w:start w:val="1"/>
      <w:numFmt w:val="bullet"/>
      <w:lvlText w:val="•"/>
      <w:lvlJc w:val="left"/>
      <w:pPr>
        <w:tabs>
          <w:tab w:val="num" w:pos="1440"/>
        </w:tabs>
        <w:ind w:left="1440" w:hanging="360"/>
      </w:pPr>
      <w:rPr>
        <w:rFonts w:ascii="Times New Roman" w:hAnsi="Times New Roman" w:hint="default"/>
      </w:rPr>
    </w:lvl>
    <w:lvl w:ilvl="2" w:tplc="4446A054" w:tentative="1">
      <w:start w:val="1"/>
      <w:numFmt w:val="bullet"/>
      <w:lvlText w:val="•"/>
      <w:lvlJc w:val="left"/>
      <w:pPr>
        <w:tabs>
          <w:tab w:val="num" w:pos="2160"/>
        </w:tabs>
        <w:ind w:left="2160" w:hanging="360"/>
      </w:pPr>
      <w:rPr>
        <w:rFonts w:ascii="Times New Roman" w:hAnsi="Times New Roman" w:hint="default"/>
      </w:rPr>
    </w:lvl>
    <w:lvl w:ilvl="3" w:tplc="45E24B16" w:tentative="1">
      <w:start w:val="1"/>
      <w:numFmt w:val="bullet"/>
      <w:lvlText w:val="•"/>
      <w:lvlJc w:val="left"/>
      <w:pPr>
        <w:tabs>
          <w:tab w:val="num" w:pos="2880"/>
        </w:tabs>
        <w:ind w:left="2880" w:hanging="360"/>
      </w:pPr>
      <w:rPr>
        <w:rFonts w:ascii="Times New Roman" w:hAnsi="Times New Roman" w:hint="default"/>
      </w:rPr>
    </w:lvl>
    <w:lvl w:ilvl="4" w:tplc="EA60E474" w:tentative="1">
      <w:start w:val="1"/>
      <w:numFmt w:val="bullet"/>
      <w:lvlText w:val="•"/>
      <w:lvlJc w:val="left"/>
      <w:pPr>
        <w:tabs>
          <w:tab w:val="num" w:pos="3600"/>
        </w:tabs>
        <w:ind w:left="3600" w:hanging="360"/>
      </w:pPr>
      <w:rPr>
        <w:rFonts w:ascii="Times New Roman" w:hAnsi="Times New Roman" w:hint="default"/>
      </w:rPr>
    </w:lvl>
    <w:lvl w:ilvl="5" w:tplc="E33290FC" w:tentative="1">
      <w:start w:val="1"/>
      <w:numFmt w:val="bullet"/>
      <w:lvlText w:val="•"/>
      <w:lvlJc w:val="left"/>
      <w:pPr>
        <w:tabs>
          <w:tab w:val="num" w:pos="4320"/>
        </w:tabs>
        <w:ind w:left="4320" w:hanging="360"/>
      </w:pPr>
      <w:rPr>
        <w:rFonts w:ascii="Times New Roman" w:hAnsi="Times New Roman" w:hint="default"/>
      </w:rPr>
    </w:lvl>
    <w:lvl w:ilvl="6" w:tplc="8892B7CC" w:tentative="1">
      <w:start w:val="1"/>
      <w:numFmt w:val="bullet"/>
      <w:lvlText w:val="•"/>
      <w:lvlJc w:val="left"/>
      <w:pPr>
        <w:tabs>
          <w:tab w:val="num" w:pos="5040"/>
        </w:tabs>
        <w:ind w:left="5040" w:hanging="360"/>
      </w:pPr>
      <w:rPr>
        <w:rFonts w:ascii="Times New Roman" w:hAnsi="Times New Roman" w:hint="default"/>
      </w:rPr>
    </w:lvl>
    <w:lvl w:ilvl="7" w:tplc="C37A9D1A" w:tentative="1">
      <w:start w:val="1"/>
      <w:numFmt w:val="bullet"/>
      <w:lvlText w:val="•"/>
      <w:lvlJc w:val="left"/>
      <w:pPr>
        <w:tabs>
          <w:tab w:val="num" w:pos="5760"/>
        </w:tabs>
        <w:ind w:left="5760" w:hanging="360"/>
      </w:pPr>
      <w:rPr>
        <w:rFonts w:ascii="Times New Roman" w:hAnsi="Times New Roman" w:hint="default"/>
      </w:rPr>
    </w:lvl>
    <w:lvl w:ilvl="8" w:tplc="66763F8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8B6002"/>
    <w:multiLevelType w:val="multilevel"/>
    <w:tmpl w:val="D33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425955">
    <w:abstractNumId w:val="9"/>
  </w:num>
  <w:num w:numId="2" w16cid:durableId="1242520041">
    <w:abstractNumId w:val="26"/>
  </w:num>
  <w:num w:numId="3" w16cid:durableId="1491367085">
    <w:abstractNumId w:val="7"/>
  </w:num>
  <w:num w:numId="4" w16cid:durableId="2141915280">
    <w:abstractNumId w:val="4"/>
  </w:num>
  <w:num w:numId="5" w16cid:durableId="1736050178">
    <w:abstractNumId w:val="3"/>
  </w:num>
  <w:num w:numId="6" w16cid:durableId="1230311043">
    <w:abstractNumId w:val="21"/>
  </w:num>
  <w:num w:numId="7" w16cid:durableId="887300823">
    <w:abstractNumId w:val="14"/>
  </w:num>
  <w:num w:numId="8" w16cid:durableId="314573522">
    <w:abstractNumId w:val="15"/>
  </w:num>
  <w:num w:numId="9" w16cid:durableId="1395859498">
    <w:abstractNumId w:val="27"/>
  </w:num>
  <w:num w:numId="10" w16cid:durableId="1174149331">
    <w:abstractNumId w:val="25"/>
  </w:num>
  <w:num w:numId="11" w16cid:durableId="1696224390">
    <w:abstractNumId w:val="23"/>
  </w:num>
  <w:num w:numId="12" w16cid:durableId="1744990238">
    <w:abstractNumId w:val="11"/>
  </w:num>
  <w:num w:numId="13" w16cid:durableId="1376928474">
    <w:abstractNumId w:val="6"/>
  </w:num>
  <w:num w:numId="14" w16cid:durableId="1013414611">
    <w:abstractNumId w:val="0"/>
  </w:num>
  <w:num w:numId="15" w16cid:durableId="1819613419">
    <w:abstractNumId w:val="8"/>
  </w:num>
  <w:num w:numId="16" w16cid:durableId="1335843853">
    <w:abstractNumId w:val="12"/>
  </w:num>
  <w:num w:numId="17" w16cid:durableId="155003107">
    <w:abstractNumId w:val="18"/>
  </w:num>
  <w:num w:numId="18" w16cid:durableId="261649647">
    <w:abstractNumId w:val="16"/>
  </w:num>
  <w:num w:numId="19" w16cid:durableId="522786062">
    <w:abstractNumId w:val="17"/>
  </w:num>
  <w:num w:numId="20" w16cid:durableId="94984394">
    <w:abstractNumId w:val="2"/>
  </w:num>
  <w:num w:numId="21" w16cid:durableId="833840086">
    <w:abstractNumId w:val="1"/>
  </w:num>
  <w:num w:numId="22" w16cid:durableId="981614240">
    <w:abstractNumId w:val="13"/>
  </w:num>
  <w:num w:numId="23" w16cid:durableId="1728917110">
    <w:abstractNumId w:val="19"/>
  </w:num>
  <w:num w:numId="24" w16cid:durableId="2067289830">
    <w:abstractNumId w:val="5"/>
  </w:num>
  <w:num w:numId="25" w16cid:durableId="1346178286">
    <w:abstractNumId w:val="24"/>
  </w:num>
  <w:num w:numId="26" w16cid:durableId="27723555">
    <w:abstractNumId w:val="20"/>
  </w:num>
  <w:num w:numId="27" w16cid:durableId="1457528187">
    <w:abstractNumId w:val="22"/>
  </w:num>
  <w:num w:numId="28" w16cid:durableId="21253405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mirrorMargins/>
  <w:defaultTabStop w:val="720"/>
  <w:autoHyphenation/>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F1"/>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48C"/>
    <w:rsid w:val="00052EDC"/>
    <w:rsid w:val="00056069"/>
    <w:rsid w:val="00056177"/>
    <w:rsid w:val="00056D22"/>
    <w:rsid w:val="000573BB"/>
    <w:rsid w:val="00057415"/>
    <w:rsid w:val="000575F6"/>
    <w:rsid w:val="000579BF"/>
    <w:rsid w:val="00060333"/>
    <w:rsid w:val="00061732"/>
    <w:rsid w:val="000619BA"/>
    <w:rsid w:val="000621BC"/>
    <w:rsid w:val="000625B2"/>
    <w:rsid w:val="00063920"/>
    <w:rsid w:val="00064DD6"/>
    <w:rsid w:val="0006599A"/>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545"/>
    <w:rsid w:val="00087A11"/>
    <w:rsid w:val="00090A40"/>
    <w:rsid w:val="00090E73"/>
    <w:rsid w:val="0009136E"/>
    <w:rsid w:val="00091B10"/>
    <w:rsid w:val="00091F6C"/>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5212"/>
    <w:rsid w:val="000E5CF8"/>
    <w:rsid w:val="000E5F05"/>
    <w:rsid w:val="000E6217"/>
    <w:rsid w:val="000E7034"/>
    <w:rsid w:val="000E7B80"/>
    <w:rsid w:val="000E7E27"/>
    <w:rsid w:val="000F0B6A"/>
    <w:rsid w:val="000F1101"/>
    <w:rsid w:val="000F1833"/>
    <w:rsid w:val="000F2E7E"/>
    <w:rsid w:val="000F2F6A"/>
    <w:rsid w:val="000F41BE"/>
    <w:rsid w:val="000F4CA9"/>
    <w:rsid w:val="000F5B9D"/>
    <w:rsid w:val="000F614D"/>
    <w:rsid w:val="000F74C9"/>
    <w:rsid w:val="000F778C"/>
    <w:rsid w:val="001003B2"/>
    <w:rsid w:val="00101506"/>
    <w:rsid w:val="00101A2B"/>
    <w:rsid w:val="00101B4F"/>
    <w:rsid w:val="00101BF2"/>
    <w:rsid w:val="0010370E"/>
    <w:rsid w:val="001040B3"/>
    <w:rsid w:val="0010433F"/>
    <w:rsid w:val="001069F7"/>
    <w:rsid w:val="00107448"/>
    <w:rsid w:val="00107880"/>
    <w:rsid w:val="001109E9"/>
    <w:rsid w:val="001119EC"/>
    <w:rsid w:val="00111CDD"/>
    <w:rsid w:val="00112598"/>
    <w:rsid w:val="00112B13"/>
    <w:rsid w:val="00112B3F"/>
    <w:rsid w:val="00113B5E"/>
    <w:rsid w:val="00114FF8"/>
    <w:rsid w:val="001151BF"/>
    <w:rsid w:val="0011581F"/>
    <w:rsid w:val="00115FC4"/>
    <w:rsid w:val="0011709D"/>
    <w:rsid w:val="001171AC"/>
    <w:rsid w:val="00120D90"/>
    <w:rsid w:val="001215F6"/>
    <w:rsid w:val="00124BC2"/>
    <w:rsid w:val="00124E0D"/>
    <w:rsid w:val="0012588A"/>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5DFF"/>
    <w:rsid w:val="001465AC"/>
    <w:rsid w:val="001467FD"/>
    <w:rsid w:val="00147197"/>
    <w:rsid w:val="001512C8"/>
    <w:rsid w:val="0015287D"/>
    <w:rsid w:val="00152895"/>
    <w:rsid w:val="001544EA"/>
    <w:rsid w:val="0015477A"/>
    <w:rsid w:val="001557CC"/>
    <w:rsid w:val="0015782C"/>
    <w:rsid w:val="0015790B"/>
    <w:rsid w:val="00157A8C"/>
    <w:rsid w:val="00160FEB"/>
    <w:rsid w:val="00163133"/>
    <w:rsid w:val="0016332E"/>
    <w:rsid w:val="00164387"/>
    <w:rsid w:val="001660BF"/>
    <w:rsid w:val="0016737E"/>
    <w:rsid w:val="0017039F"/>
    <w:rsid w:val="00171269"/>
    <w:rsid w:val="001714B8"/>
    <w:rsid w:val="0017215C"/>
    <w:rsid w:val="00172D53"/>
    <w:rsid w:val="0017343A"/>
    <w:rsid w:val="0017416B"/>
    <w:rsid w:val="00174BFF"/>
    <w:rsid w:val="0017750F"/>
    <w:rsid w:val="0017783D"/>
    <w:rsid w:val="00180622"/>
    <w:rsid w:val="001814B5"/>
    <w:rsid w:val="00186262"/>
    <w:rsid w:val="00186DAD"/>
    <w:rsid w:val="00191A5E"/>
    <w:rsid w:val="00191D5F"/>
    <w:rsid w:val="001925FD"/>
    <w:rsid w:val="001939E3"/>
    <w:rsid w:val="00194BDC"/>
    <w:rsid w:val="001955D0"/>
    <w:rsid w:val="00195BC8"/>
    <w:rsid w:val="0019696F"/>
    <w:rsid w:val="00197258"/>
    <w:rsid w:val="001A0247"/>
    <w:rsid w:val="001A1359"/>
    <w:rsid w:val="001A1573"/>
    <w:rsid w:val="001A19CA"/>
    <w:rsid w:val="001A2AAE"/>
    <w:rsid w:val="001A3243"/>
    <w:rsid w:val="001A3D89"/>
    <w:rsid w:val="001A4009"/>
    <w:rsid w:val="001A5BFC"/>
    <w:rsid w:val="001A60D9"/>
    <w:rsid w:val="001A60E4"/>
    <w:rsid w:val="001A674E"/>
    <w:rsid w:val="001A7991"/>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A0E"/>
    <w:rsid w:val="001D2227"/>
    <w:rsid w:val="001D247A"/>
    <w:rsid w:val="001D27E4"/>
    <w:rsid w:val="001D2F1F"/>
    <w:rsid w:val="001D3C24"/>
    <w:rsid w:val="001D48EC"/>
    <w:rsid w:val="001D49EB"/>
    <w:rsid w:val="001D61C2"/>
    <w:rsid w:val="001D7850"/>
    <w:rsid w:val="001D7C4B"/>
    <w:rsid w:val="001D7F2C"/>
    <w:rsid w:val="001E00AB"/>
    <w:rsid w:val="001E03C8"/>
    <w:rsid w:val="001E1590"/>
    <w:rsid w:val="001E15BE"/>
    <w:rsid w:val="001E1B42"/>
    <w:rsid w:val="001E1EDE"/>
    <w:rsid w:val="001E29F7"/>
    <w:rsid w:val="001E367A"/>
    <w:rsid w:val="001E3C0B"/>
    <w:rsid w:val="001E3E9F"/>
    <w:rsid w:val="001E4478"/>
    <w:rsid w:val="001E452D"/>
    <w:rsid w:val="001E4E13"/>
    <w:rsid w:val="001E4ECB"/>
    <w:rsid w:val="001E5D84"/>
    <w:rsid w:val="001E6566"/>
    <w:rsid w:val="001E729A"/>
    <w:rsid w:val="001F0F73"/>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0D9"/>
    <w:rsid w:val="00206994"/>
    <w:rsid w:val="00206B30"/>
    <w:rsid w:val="0020722D"/>
    <w:rsid w:val="00207F4B"/>
    <w:rsid w:val="002106D1"/>
    <w:rsid w:val="0021117B"/>
    <w:rsid w:val="002123AB"/>
    <w:rsid w:val="002133B7"/>
    <w:rsid w:val="0021397C"/>
    <w:rsid w:val="00213D9F"/>
    <w:rsid w:val="002141B0"/>
    <w:rsid w:val="00215026"/>
    <w:rsid w:val="00215558"/>
    <w:rsid w:val="002167D3"/>
    <w:rsid w:val="00216FE0"/>
    <w:rsid w:val="00217B5B"/>
    <w:rsid w:val="0022083B"/>
    <w:rsid w:val="00220F11"/>
    <w:rsid w:val="00221FC9"/>
    <w:rsid w:val="002224A7"/>
    <w:rsid w:val="00222866"/>
    <w:rsid w:val="00223404"/>
    <w:rsid w:val="0022450D"/>
    <w:rsid w:val="00224873"/>
    <w:rsid w:val="002254D6"/>
    <w:rsid w:val="00227894"/>
    <w:rsid w:val="00227A00"/>
    <w:rsid w:val="00227BFD"/>
    <w:rsid w:val="00227D52"/>
    <w:rsid w:val="002300C5"/>
    <w:rsid w:val="00230A55"/>
    <w:rsid w:val="00230C1E"/>
    <w:rsid w:val="0023243C"/>
    <w:rsid w:val="00232FF2"/>
    <w:rsid w:val="00234A02"/>
    <w:rsid w:val="00236825"/>
    <w:rsid w:val="0023728E"/>
    <w:rsid w:val="0023743B"/>
    <w:rsid w:val="002377C1"/>
    <w:rsid w:val="00240655"/>
    <w:rsid w:val="00241487"/>
    <w:rsid w:val="00242661"/>
    <w:rsid w:val="00243213"/>
    <w:rsid w:val="00243410"/>
    <w:rsid w:val="002439F7"/>
    <w:rsid w:val="0024460D"/>
    <w:rsid w:val="00246261"/>
    <w:rsid w:val="00246D31"/>
    <w:rsid w:val="002529D3"/>
    <w:rsid w:val="00254E11"/>
    <w:rsid w:val="00255122"/>
    <w:rsid w:val="002556D0"/>
    <w:rsid w:val="0025628F"/>
    <w:rsid w:val="00256C00"/>
    <w:rsid w:val="002572C2"/>
    <w:rsid w:val="00262A06"/>
    <w:rsid w:val="00262E7C"/>
    <w:rsid w:val="00263008"/>
    <w:rsid w:val="00264D95"/>
    <w:rsid w:val="0026595E"/>
    <w:rsid w:val="0026697A"/>
    <w:rsid w:val="00270A05"/>
    <w:rsid w:val="002714C4"/>
    <w:rsid w:val="0027172C"/>
    <w:rsid w:val="0027366C"/>
    <w:rsid w:val="00273C15"/>
    <w:rsid w:val="00273D7A"/>
    <w:rsid w:val="00274636"/>
    <w:rsid w:val="002752E6"/>
    <w:rsid w:val="002755A2"/>
    <w:rsid w:val="0027795E"/>
    <w:rsid w:val="002806C0"/>
    <w:rsid w:val="002828B4"/>
    <w:rsid w:val="00282E05"/>
    <w:rsid w:val="00282FEB"/>
    <w:rsid w:val="00283CE9"/>
    <w:rsid w:val="002840DA"/>
    <w:rsid w:val="002843E9"/>
    <w:rsid w:val="00285615"/>
    <w:rsid w:val="002869A0"/>
    <w:rsid w:val="00290B2B"/>
    <w:rsid w:val="00292D6F"/>
    <w:rsid w:val="00292E16"/>
    <w:rsid w:val="00293548"/>
    <w:rsid w:val="00293682"/>
    <w:rsid w:val="002937C0"/>
    <w:rsid w:val="00294A73"/>
    <w:rsid w:val="00296F9F"/>
    <w:rsid w:val="002A0062"/>
    <w:rsid w:val="002A0DC1"/>
    <w:rsid w:val="002A17D9"/>
    <w:rsid w:val="002A3017"/>
    <w:rsid w:val="002A39F9"/>
    <w:rsid w:val="002A3FBE"/>
    <w:rsid w:val="002A44D6"/>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1E40"/>
    <w:rsid w:val="002C6C53"/>
    <w:rsid w:val="002C7140"/>
    <w:rsid w:val="002D1D4D"/>
    <w:rsid w:val="002D2741"/>
    <w:rsid w:val="002D38C1"/>
    <w:rsid w:val="002D3C14"/>
    <w:rsid w:val="002D4A01"/>
    <w:rsid w:val="002D4B49"/>
    <w:rsid w:val="002D4D3F"/>
    <w:rsid w:val="002D5561"/>
    <w:rsid w:val="002D6E5A"/>
    <w:rsid w:val="002D76E3"/>
    <w:rsid w:val="002D7F25"/>
    <w:rsid w:val="002E0A70"/>
    <w:rsid w:val="002E16C0"/>
    <w:rsid w:val="002E16F1"/>
    <w:rsid w:val="002E177C"/>
    <w:rsid w:val="002E33DE"/>
    <w:rsid w:val="002E40BB"/>
    <w:rsid w:val="002E7B87"/>
    <w:rsid w:val="002F000E"/>
    <w:rsid w:val="002F002D"/>
    <w:rsid w:val="002F0EA6"/>
    <w:rsid w:val="002F0F9B"/>
    <w:rsid w:val="002F174E"/>
    <w:rsid w:val="002F3FC5"/>
    <w:rsid w:val="002F5232"/>
    <w:rsid w:val="002F63FB"/>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FE5"/>
    <w:rsid w:val="00341AB4"/>
    <w:rsid w:val="0034282D"/>
    <w:rsid w:val="00343990"/>
    <w:rsid w:val="00346A1B"/>
    <w:rsid w:val="00350AA2"/>
    <w:rsid w:val="003511C1"/>
    <w:rsid w:val="003513F1"/>
    <w:rsid w:val="00351C64"/>
    <w:rsid w:val="003527BC"/>
    <w:rsid w:val="003528EF"/>
    <w:rsid w:val="003528FE"/>
    <w:rsid w:val="00352E9F"/>
    <w:rsid w:val="00353CB1"/>
    <w:rsid w:val="003548F2"/>
    <w:rsid w:val="00354DA6"/>
    <w:rsid w:val="003561C3"/>
    <w:rsid w:val="003561CF"/>
    <w:rsid w:val="00356729"/>
    <w:rsid w:val="00356F0C"/>
    <w:rsid w:val="00357A19"/>
    <w:rsid w:val="003602B9"/>
    <w:rsid w:val="0036113D"/>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083"/>
    <w:rsid w:val="00373C0B"/>
    <w:rsid w:val="00374FA9"/>
    <w:rsid w:val="00375EB4"/>
    <w:rsid w:val="0037666D"/>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3E5C"/>
    <w:rsid w:val="00394B9A"/>
    <w:rsid w:val="00395017"/>
    <w:rsid w:val="003953DD"/>
    <w:rsid w:val="0039589F"/>
    <w:rsid w:val="00395DFD"/>
    <w:rsid w:val="00397105"/>
    <w:rsid w:val="00397FC5"/>
    <w:rsid w:val="003A08EE"/>
    <w:rsid w:val="003A0ED4"/>
    <w:rsid w:val="003A0F3D"/>
    <w:rsid w:val="003A1270"/>
    <w:rsid w:val="003A1BC3"/>
    <w:rsid w:val="003A23F3"/>
    <w:rsid w:val="003A258A"/>
    <w:rsid w:val="003A27A7"/>
    <w:rsid w:val="003A4FB3"/>
    <w:rsid w:val="003A78D3"/>
    <w:rsid w:val="003B0B7B"/>
    <w:rsid w:val="003B100C"/>
    <w:rsid w:val="003B16A4"/>
    <w:rsid w:val="003B1BA3"/>
    <w:rsid w:val="003B3AE5"/>
    <w:rsid w:val="003B3DAB"/>
    <w:rsid w:val="003B3EC8"/>
    <w:rsid w:val="003B3F79"/>
    <w:rsid w:val="003B4042"/>
    <w:rsid w:val="003B6431"/>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1B1"/>
    <w:rsid w:val="003F1A65"/>
    <w:rsid w:val="003F1F0D"/>
    <w:rsid w:val="003F2143"/>
    <w:rsid w:val="003F2349"/>
    <w:rsid w:val="003F264E"/>
    <w:rsid w:val="003F3D47"/>
    <w:rsid w:val="003F541A"/>
    <w:rsid w:val="003F60ED"/>
    <w:rsid w:val="003F7193"/>
    <w:rsid w:val="003F74D2"/>
    <w:rsid w:val="003F7776"/>
    <w:rsid w:val="003F7E43"/>
    <w:rsid w:val="003F7EB1"/>
    <w:rsid w:val="00401140"/>
    <w:rsid w:val="004014EE"/>
    <w:rsid w:val="00401D0B"/>
    <w:rsid w:val="0040212A"/>
    <w:rsid w:val="00402426"/>
    <w:rsid w:val="00402A7B"/>
    <w:rsid w:val="0040489D"/>
    <w:rsid w:val="0040593F"/>
    <w:rsid w:val="00405ABC"/>
    <w:rsid w:val="00406038"/>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800"/>
    <w:rsid w:val="00460F04"/>
    <w:rsid w:val="00460F9A"/>
    <w:rsid w:val="004610B8"/>
    <w:rsid w:val="00462319"/>
    <w:rsid w:val="00462D1D"/>
    <w:rsid w:val="00464CF1"/>
    <w:rsid w:val="004658B6"/>
    <w:rsid w:val="004662CB"/>
    <w:rsid w:val="00467D79"/>
    <w:rsid w:val="00470A14"/>
    <w:rsid w:val="00471F7B"/>
    <w:rsid w:val="00472C98"/>
    <w:rsid w:val="00473A7D"/>
    <w:rsid w:val="00474A2D"/>
    <w:rsid w:val="00475BEB"/>
    <w:rsid w:val="00477622"/>
    <w:rsid w:val="00477CC6"/>
    <w:rsid w:val="0048078A"/>
    <w:rsid w:val="00482857"/>
    <w:rsid w:val="00482901"/>
    <w:rsid w:val="00483F50"/>
    <w:rsid w:val="00484E26"/>
    <w:rsid w:val="00485A12"/>
    <w:rsid w:val="0048663E"/>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8FB"/>
    <w:rsid w:val="004C4AFF"/>
    <w:rsid w:val="004C67AA"/>
    <w:rsid w:val="004C713A"/>
    <w:rsid w:val="004C77DF"/>
    <w:rsid w:val="004D009F"/>
    <w:rsid w:val="004D07CF"/>
    <w:rsid w:val="004D0CFF"/>
    <w:rsid w:val="004D1359"/>
    <w:rsid w:val="004D159B"/>
    <w:rsid w:val="004D1734"/>
    <w:rsid w:val="004D19C4"/>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03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46B11"/>
    <w:rsid w:val="00551389"/>
    <w:rsid w:val="005514C4"/>
    <w:rsid w:val="00552252"/>
    <w:rsid w:val="005525BF"/>
    <w:rsid w:val="005528CF"/>
    <w:rsid w:val="00552E16"/>
    <w:rsid w:val="00553574"/>
    <w:rsid w:val="00553E8E"/>
    <w:rsid w:val="005551A1"/>
    <w:rsid w:val="00555797"/>
    <w:rsid w:val="00555FFD"/>
    <w:rsid w:val="00557BD9"/>
    <w:rsid w:val="0056067B"/>
    <w:rsid w:val="00560EAC"/>
    <w:rsid w:val="005614E4"/>
    <w:rsid w:val="005616A2"/>
    <w:rsid w:val="00561AD9"/>
    <w:rsid w:val="00561EE9"/>
    <w:rsid w:val="00564295"/>
    <w:rsid w:val="0056576C"/>
    <w:rsid w:val="0056584A"/>
    <w:rsid w:val="00566264"/>
    <w:rsid w:val="00566CAF"/>
    <w:rsid w:val="00567245"/>
    <w:rsid w:val="00567294"/>
    <w:rsid w:val="00567708"/>
    <w:rsid w:val="00567B7E"/>
    <w:rsid w:val="00567CA5"/>
    <w:rsid w:val="005728A6"/>
    <w:rsid w:val="00572905"/>
    <w:rsid w:val="00572D19"/>
    <w:rsid w:val="0057349D"/>
    <w:rsid w:val="00574EFB"/>
    <w:rsid w:val="00575E28"/>
    <w:rsid w:val="00576A6D"/>
    <w:rsid w:val="00580DD5"/>
    <w:rsid w:val="00581569"/>
    <w:rsid w:val="005815F8"/>
    <w:rsid w:val="00581F0D"/>
    <w:rsid w:val="00582A28"/>
    <w:rsid w:val="00585574"/>
    <w:rsid w:val="0058561E"/>
    <w:rsid w:val="0058572A"/>
    <w:rsid w:val="005859F2"/>
    <w:rsid w:val="00586B2F"/>
    <w:rsid w:val="00586D4C"/>
    <w:rsid w:val="00590997"/>
    <w:rsid w:val="00590F26"/>
    <w:rsid w:val="005918A4"/>
    <w:rsid w:val="00591BA2"/>
    <w:rsid w:val="00591F48"/>
    <w:rsid w:val="0059262A"/>
    <w:rsid w:val="00592B0D"/>
    <w:rsid w:val="0059374F"/>
    <w:rsid w:val="00593A85"/>
    <w:rsid w:val="00593B11"/>
    <w:rsid w:val="00594549"/>
    <w:rsid w:val="00596B1D"/>
    <w:rsid w:val="00597282"/>
    <w:rsid w:val="005A0B7B"/>
    <w:rsid w:val="005A1236"/>
    <w:rsid w:val="005A1652"/>
    <w:rsid w:val="005A1667"/>
    <w:rsid w:val="005A3607"/>
    <w:rsid w:val="005A4113"/>
    <w:rsid w:val="005A480F"/>
    <w:rsid w:val="005A4CFB"/>
    <w:rsid w:val="005A7037"/>
    <w:rsid w:val="005B007A"/>
    <w:rsid w:val="005B008B"/>
    <w:rsid w:val="005B00BC"/>
    <w:rsid w:val="005B042F"/>
    <w:rsid w:val="005B0EC7"/>
    <w:rsid w:val="005B1A33"/>
    <w:rsid w:val="005B29A0"/>
    <w:rsid w:val="005B3AA6"/>
    <w:rsid w:val="005B3D93"/>
    <w:rsid w:val="005B55FE"/>
    <w:rsid w:val="005B6440"/>
    <w:rsid w:val="005B6DFE"/>
    <w:rsid w:val="005C05A2"/>
    <w:rsid w:val="005C0D6B"/>
    <w:rsid w:val="005C2305"/>
    <w:rsid w:val="005C33FA"/>
    <w:rsid w:val="005C4661"/>
    <w:rsid w:val="005C54CB"/>
    <w:rsid w:val="005C5C3F"/>
    <w:rsid w:val="005C6094"/>
    <w:rsid w:val="005C652B"/>
    <w:rsid w:val="005C6989"/>
    <w:rsid w:val="005C7FB2"/>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F1063"/>
    <w:rsid w:val="005F19EB"/>
    <w:rsid w:val="005F27D5"/>
    <w:rsid w:val="005F2D2B"/>
    <w:rsid w:val="005F3355"/>
    <w:rsid w:val="005F4AAB"/>
    <w:rsid w:val="005F4E29"/>
    <w:rsid w:val="005F4E81"/>
    <w:rsid w:val="005F64E8"/>
    <w:rsid w:val="005F6EFD"/>
    <w:rsid w:val="005F73CC"/>
    <w:rsid w:val="00600F91"/>
    <w:rsid w:val="006011F5"/>
    <w:rsid w:val="006016DC"/>
    <w:rsid w:val="0060278B"/>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65B"/>
    <w:rsid w:val="00632B57"/>
    <w:rsid w:val="00633B0C"/>
    <w:rsid w:val="006349EF"/>
    <w:rsid w:val="00635291"/>
    <w:rsid w:val="00636250"/>
    <w:rsid w:val="006365F5"/>
    <w:rsid w:val="00636A33"/>
    <w:rsid w:val="00636F71"/>
    <w:rsid w:val="00636FAB"/>
    <w:rsid w:val="006406E2"/>
    <w:rsid w:val="00641E4A"/>
    <w:rsid w:val="00642101"/>
    <w:rsid w:val="00642409"/>
    <w:rsid w:val="00642473"/>
    <w:rsid w:val="00642A1B"/>
    <w:rsid w:val="00643368"/>
    <w:rsid w:val="006438BF"/>
    <w:rsid w:val="00645ABF"/>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3561"/>
    <w:rsid w:val="00663E9E"/>
    <w:rsid w:val="0066526D"/>
    <w:rsid w:val="00666BA0"/>
    <w:rsid w:val="006674EB"/>
    <w:rsid w:val="0066780E"/>
    <w:rsid w:val="006701BC"/>
    <w:rsid w:val="00670F29"/>
    <w:rsid w:val="0067103D"/>
    <w:rsid w:val="00672529"/>
    <w:rsid w:val="00673A62"/>
    <w:rsid w:val="00673F7A"/>
    <w:rsid w:val="006745DA"/>
    <w:rsid w:val="00674AF7"/>
    <w:rsid w:val="00674CDA"/>
    <w:rsid w:val="0067534F"/>
    <w:rsid w:val="006762D4"/>
    <w:rsid w:val="00676BD6"/>
    <w:rsid w:val="00676CFE"/>
    <w:rsid w:val="00676E07"/>
    <w:rsid w:val="00677E12"/>
    <w:rsid w:val="00680E10"/>
    <w:rsid w:val="00682DBE"/>
    <w:rsid w:val="00683FEF"/>
    <w:rsid w:val="00685BC4"/>
    <w:rsid w:val="006878D1"/>
    <w:rsid w:val="00687C94"/>
    <w:rsid w:val="00691983"/>
    <w:rsid w:val="00693239"/>
    <w:rsid w:val="0069336C"/>
    <w:rsid w:val="00694022"/>
    <w:rsid w:val="006940CB"/>
    <w:rsid w:val="00694991"/>
    <w:rsid w:val="00694B55"/>
    <w:rsid w:val="00695474"/>
    <w:rsid w:val="00696F4A"/>
    <w:rsid w:val="0069729B"/>
    <w:rsid w:val="00697BD5"/>
    <w:rsid w:val="006A00D4"/>
    <w:rsid w:val="006A1951"/>
    <w:rsid w:val="006A21E0"/>
    <w:rsid w:val="006A34B9"/>
    <w:rsid w:val="006A3E46"/>
    <w:rsid w:val="006A43D8"/>
    <w:rsid w:val="006A4822"/>
    <w:rsid w:val="006A52D5"/>
    <w:rsid w:val="006A5562"/>
    <w:rsid w:val="006A55B1"/>
    <w:rsid w:val="006B02D5"/>
    <w:rsid w:val="006B0CE3"/>
    <w:rsid w:val="006B14F7"/>
    <w:rsid w:val="006B156F"/>
    <w:rsid w:val="006B1B2B"/>
    <w:rsid w:val="006B2678"/>
    <w:rsid w:val="006B2C66"/>
    <w:rsid w:val="006B2EA4"/>
    <w:rsid w:val="006B3EA9"/>
    <w:rsid w:val="006B4547"/>
    <w:rsid w:val="006B4DA2"/>
    <w:rsid w:val="006B54E6"/>
    <w:rsid w:val="006B5FD4"/>
    <w:rsid w:val="006B6921"/>
    <w:rsid w:val="006C01BE"/>
    <w:rsid w:val="006C0859"/>
    <w:rsid w:val="006C0B43"/>
    <w:rsid w:val="006C157E"/>
    <w:rsid w:val="006C1BB5"/>
    <w:rsid w:val="006C2574"/>
    <w:rsid w:val="006C2769"/>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447B"/>
    <w:rsid w:val="006E4615"/>
    <w:rsid w:val="006E4D0B"/>
    <w:rsid w:val="006F0043"/>
    <w:rsid w:val="006F269A"/>
    <w:rsid w:val="006F2A16"/>
    <w:rsid w:val="006F487A"/>
    <w:rsid w:val="006F570E"/>
    <w:rsid w:val="006F5A5C"/>
    <w:rsid w:val="006F7CFD"/>
    <w:rsid w:val="0070026A"/>
    <w:rsid w:val="00700622"/>
    <w:rsid w:val="007006BA"/>
    <w:rsid w:val="007010A9"/>
    <w:rsid w:val="00701F44"/>
    <w:rsid w:val="007039B2"/>
    <w:rsid w:val="007049FD"/>
    <w:rsid w:val="0070767C"/>
    <w:rsid w:val="007078C3"/>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360A5"/>
    <w:rsid w:val="00740318"/>
    <w:rsid w:val="0074057F"/>
    <w:rsid w:val="00740B34"/>
    <w:rsid w:val="0074108E"/>
    <w:rsid w:val="007414F0"/>
    <w:rsid w:val="0074184D"/>
    <w:rsid w:val="0074194B"/>
    <w:rsid w:val="007419F3"/>
    <w:rsid w:val="0074259A"/>
    <w:rsid w:val="00743593"/>
    <w:rsid w:val="00743F7D"/>
    <w:rsid w:val="00744B66"/>
    <w:rsid w:val="00746049"/>
    <w:rsid w:val="0074650B"/>
    <w:rsid w:val="0074666B"/>
    <w:rsid w:val="00747FB7"/>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0CA8"/>
    <w:rsid w:val="00771DF5"/>
    <w:rsid w:val="00772706"/>
    <w:rsid w:val="00772EE3"/>
    <w:rsid w:val="0077451B"/>
    <w:rsid w:val="007746AC"/>
    <w:rsid w:val="00774DA2"/>
    <w:rsid w:val="00774FDC"/>
    <w:rsid w:val="00776976"/>
    <w:rsid w:val="00777405"/>
    <w:rsid w:val="00777418"/>
    <w:rsid w:val="00780788"/>
    <w:rsid w:val="00782007"/>
    <w:rsid w:val="007828C2"/>
    <w:rsid w:val="00782CA4"/>
    <w:rsid w:val="0078363F"/>
    <w:rsid w:val="00784130"/>
    <w:rsid w:val="0078484B"/>
    <w:rsid w:val="0078704E"/>
    <w:rsid w:val="00790A18"/>
    <w:rsid w:val="007910CE"/>
    <w:rsid w:val="00792D8A"/>
    <w:rsid w:val="007932DA"/>
    <w:rsid w:val="0079349E"/>
    <w:rsid w:val="00793B62"/>
    <w:rsid w:val="00795FC7"/>
    <w:rsid w:val="00797609"/>
    <w:rsid w:val="0079769D"/>
    <w:rsid w:val="007A089E"/>
    <w:rsid w:val="007A1613"/>
    <w:rsid w:val="007A2940"/>
    <w:rsid w:val="007A31AB"/>
    <w:rsid w:val="007A38FB"/>
    <w:rsid w:val="007A457E"/>
    <w:rsid w:val="007A526E"/>
    <w:rsid w:val="007A6748"/>
    <w:rsid w:val="007B03DA"/>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AA7"/>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75EC"/>
    <w:rsid w:val="007E09F3"/>
    <w:rsid w:val="007E0A8C"/>
    <w:rsid w:val="007E213E"/>
    <w:rsid w:val="007E26BD"/>
    <w:rsid w:val="007E292A"/>
    <w:rsid w:val="007E2BAA"/>
    <w:rsid w:val="007E2E76"/>
    <w:rsid w:val="007E4A51"/>
    <w:rsid w:val="007E568E"/>
    <w:rsid w:val="007E5828"/>
    <w:rsid w:val="007F02F6"/>
    <w:rsid w:val="007F0511"/>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3FEE"/>
    <w:rsid w:val="00814788"/>
    <w:rsid w:val="00814F78"/>
    <w:rsid w:val="008152DA"/>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967"/>
    <w:rsid w:val="00827E74"/>
    <w:rsid w:val="00827F09"/>
    <w:rsid w:val="008311FB"/>
    <w:rsid w:val="0083293D"/>
    <w:rsid w:val="008329F7"/>
    <w:rsid w:val="00833656"/>
    <w:rsid w:val="00834288"/>
    <w:rsid w:val="00834AF5"/>
    <w:rsid w:val="00836899"/>
    <w:rsid w:val="0084092E"/>
    <w:rsid w:val="008423E5"/>
    <w:rsid w:val="00842D0C"/>
    <w:rsid w:val="00842D58"/>
    <w:rsid w:val="00843193"/>
    <w:rsid w:val="008438A0"/>
    <w:rsid w:val="00843C18"/>
    <w:rsid w:val="00844148"/>
    <w:rsid w:val="00845251"/>
    <w:rsid w:val="00846AC9"/>
    <w:rsid w:val="00847BA4"/>
    <w:rsid w:val="00850E69"/>
    <w:rsid w:val="00850EE3"/>
    <w:rsid w:val="00850F58"/>
    <w:rsid w:val="008514DC"/>
    <w:rsid w:val="00852794"/>
    <w:rsid w:val="00852FA0"/>
    <w:rsid w:val="00853778"/>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6B05"/>
    <w:rsid w:val="008817AC"/>
    <w:rsid w:val="0088229F"/>
    <w:rsid w:val="008828A7"/>
    <w:rsid w:val="00882FE9"/>
    <w:rsid w:val="00886714"/>
    <w:rsid w:val="00886F18"/>
    <w:rsid w:val="008877C9"/>
    <w:rsid w:val="008906A5"/>
    <w:rsid w:val="008916CB"/>
    <w:rsid w:val="0089242B"/>
    <w:rsid w:val="0089357A"/>
    <w:rsid w:val="0089442B"/>
    <w:rsid w:val="00894F1C"/>
    <w:rsid w:val="008953E1"/>
    <w:rsid w:val="0089608B"/>
    <w:rsid w:val="008965BC"/>
    <w:rsid w:val="0089710B"/>
    <w:rsid w:val="00897748"/>
    <w:rsid w:val="00897B5D"/>
    <w:rsid w:val="00897BA4"/>
    <w:rsid w:val="008A02FB"/>
    <w:rsid w:val="008A08BF"/>
    <w:rsid w:val="008A0BD7"/>
    <w:rsid w:val="008A1171"/>
    <w:rsid w:val="008A1D20"/>
    <w:rsid w:val="008A2FC8"/>
    <w:rsid w:val="008A3376"/>
    <w:rsid w:val="008A4605"/>
    <w:rsid w:val="008A589D"/>
    <w:rsid w:val="008A6EA1"/>
    <w:rsid w:val="008A7589"/>
    <w:rsid w:val="008A798F"/>
    <w:rsid w:val="008B360A"/>
    <w:rsid w:val="008B3F4F"/>
    <w:rsid w:val="008B4C77"/>
    <w:rsid w:val="008B5997"/>
    <w:rsid w:val="008B70E1"/>
    <w:rsid w:val="008B72A5"/>
    <w:rsid w:val="008C04F1"/>
    <w:rsid w:val="008C0639"/>
    <w:rsid w:val="008C0D97"/>
    <w:rsid w:val="008C0F58"/>
    <w:rsid w:val="008C1B5D"/>
    <w:rsid w:val="008C2DE3"/>
    <w:rsid w:val="008C3EE3"/>
    <w:rsid w:val="008C4059"/>
    <w:rsid w:val="008C481B"/>
    <w:rsid w:val="008C5082"/>
    <w:rsid w:val="008C5375"/>
    <w:rsid w:val="008C58AD"/>
    <w:rsid w:val="008D0651"/>
    <w:rsid w:val="008D20F7"/>
    <w:rsid w:val="008D23A1"/>
    <w:rsid w:val="008D2403"/>
    <w:rsid w:val="008D24E7"/>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502"/>
    <w:rsid w:val="008F4662"/>
    <w:rsid w:val="008F4FE7"/>
    <w:rsid w:val="008F5F2F"/>
    <w:rsid w:val="008F605B"/>
    <w:rsid w:val="008F7B13"/>
    <w:rsid w:val="00901674"/>
    <w:rsid w:val="00903BE5"/>
    <w:rsid w:val="00904365"/>
    <w:rsid w:val="00904764"/>
    <w:rsid w:val="00905A49"/>
    <w:rsid w:val="0090677D"/>
    <w:rsid w:val="00907CD8"/>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107"/>
    <w:rsid w:val="0092586D"/>
    <w:rsid w:val="00927908"/>
    <w:rsid w:val="0093154A"/>
    <w:rsid w:val="00933855"/>
    <w:rsid w:val="00934789"/>
    <w:rsid w:val="00934901"/>
    <w:rsid w:val="00934B25"/>
    <w:rsid w:val="00934B68"/>
    <w:rsid w:val="00934E93"/>
    <w:rsid w:val="009361A3"/>
    <w:rsid w:val="00936302"/>
    <w:rsid w:val="00937A20"/>
    <w:rsid w:val="00937B48"/>
    <w:rsid w:val="009404CA"/>
    <w:rsid w:val="0094119E"/>
    <w:rsid w:val="009414D2"/>
    <w:rsid w:val="0094206C"/>
    <w:rsid w:val="009427C1"/>
    <w:rsid w:val="00944526"/>
    <w:rsid w:val="00944D87"/>
    <w:rsid w:val="00946B75"/>
    <w:rsid w:val="00946D21"/>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3EE1"/>
    <w:rsid w:val="00964477"/>
    <w:rsid w:val="009657B3"/>
    <w:rsid w:val="009669DF"/>
    <w:rsid w:val="00966B4B"/>
    <w:rsid w:val="00967B94"/>
    <w:rsid w:val="00970CB9"/>
    <w:rsid w:val="00971471"/>
    <w:rsid w:val="009720BE"/>
    <w:rsid w:val="00972657"/>
    <w:rsid w:val="00972CF4"/>
    <w:rsid w:val="00972E75"/>
    <w:rsid w:val="00974876"/>
    <w:rsid w:val="00975C54"/>
    <w:rsid w:val="00975E79"/>
    <w:rsid w:val="00975FFA"/>
    <w:rsid w:val="00980F48"/>
    <w:rsid w:val="00981F69"/>
    <w:rsid w:val="0098202A"/>
    <w:rsid w:val="0098292D"/>
    <w:rsid w:val="00985AA1"/>
    <w:rsid w:val="0098670A"/>
    <w:rsid w:val="00987645"/>
    <w:rsid w:val="009876BA"/>
    <w:rsid w:val="0098790C"/>
    <w:rsid w:val="009900B3"/>
    <w:rsid w:val="00990E95"/>
    <w:rsid w:val="009914D2"/>
    <w:rsid w:val="009924B6"/>
    <w:rsid w:val="00992F8D"/>
    <w:rsid w:val="00993ED6"/>
    <w:rsid w:val="0099456A"/>
    <w:rsid w:val="009948B1"/>
    <w:rsid w:val="00995C52"/>
    <w:rsid w:val="0099634B"/>
    <w:rsid w:val="00997F79"/>
    <w:rsid w:val="009A01A8"/>
    <w:rsid w:val="009A2E06"/>
    <w:rsid w:val="009A3248"/>
    <w:rsid w:val="009A40AA"/>
    <w:rsid w:val="009A4157"/>
    <w:rsid w:val="009A43B1"/>
    <w:rsid w:val="009A4410"/>
    <w:rsid w:val="009A488D"/>
    <w:rsid w:val="009A5059"/>
    <w:rsid w:val="009A5514"/>
    <w:rsid w:val="009A7FD5"/>
    <w:rsid w:val="009B293C"/>
    <w:rsid w:val="009B2E7B"/>
    <w:rsid w:val="009B2F9A"/>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DFE"/>
    <w:rsid w:val="009C7F31"/>
    <w:rsid w:val="009D2ACF"/>
    <w:rsid w:val="009D46D7"/>
    <w:rsid w:val="009D6586"/>
    <w:rsid w:val="009D6D13"/>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74A"/>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2D5"/>
    <w:rsid w:val="00A2061C"/>
    <w:rsid w:val="00A20FCC"/>
    <w:rsid w:val="00A2121D"/>
    <w:rsid w:val="00A225CD"/>
    <w:rsid w:val="00A22C1C"/>
    <w:rsid w:val="00A242D1"/>
    <w:rsid w:val="00A243D6"/>
    <w:rsid w:val="00A25C84"/>
    <w:rsid w:val="00A271EC"/>
    <w:rsid w:val="00A31CE0"/>
    <w:rsid w:val="00A32078"/>
    <w:rsid w:val="00A335E9"/>
    <w:rsid w:val="00A33D33"/>
    <w:rsid w:val="00A345D5"/>
    <w:rsid w:val="00A34FAA"/>
    <w:rsid w:val="00A35B52"/>
    <w:rsid w:val="00A35E17"/>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18F2"/>
    <w:rsid w:val="00A638A9"/>
    <w:rsid w:val="00A64593"/>
    <w:rsid w:val="00A64759"/>
    <w:rsid w:val="00A6522B"/>
    <w:rsid w:val="00A65584"/>
    <w:rsid w:val="00A65A07"/>
    <w:rsid w:val="00A67244"/>
    <w:rsid w:val="00A67CC9"/>
    <w:rsid w:val="00A7039C"/>
    <w:rsid w:val="00A710DD"/>
    <w:rsid w:val="00A71F53"/>
    <w:rsid w:val="00A7212F"/>
    <w:rsid w:val="00A72B6D"/>
    <w:rsid w:val="00A7365C"/>
    <w:rsid w:val="00A73EF0"/>
    <w:rsid w:val="00A740FB"/>
    <w:rsid w:val="00A7445C"/>
    <w:rsid w:val="00A74D02"/>
    <w:rsid w:val="00A7534A"/>
    <w:rsid w:val="00A75C92"/>
    <w:rsid w:val="00A75E4B"/>
    <w:rsid w:val="00A76971"/>
    <w:rsid w:val="00A76B2F"/>
    <w:rsid w:val="00A80C31"/>
    <w:rsid w:val="00A8132A"/>
    <w:rsid w:val="00A8199B"/>
    <w:rsid w:val="00A8340B"/>
    <w:rsid w:val="00A84E45"/>
    <w:rsid w:val="00A85025"/>
    <w:rsid w:val="00A87F95"/>
    <w:rsid w:val="00A9009B"/>
    <w:rsid w:val="00A90714"/>
    <w:rsid w:val="00A9153E"/>
    <w:rsid w:val="00A9301D"/>
    <w:rsid w:val="00A9306B"/>
    <w:rsid w:val="00A94100"/>
    <w:rsid w:val="00A9505C"/>
    <w:rsid w:val="00A951BE"/>
    <w:rsid w:val="00A959F3"/>
    <w:rsid w:val="00A95DF8"/>
    <w:rsid w:val="00A96A6D"/>
    <w:rsid w:val="00A9748D"/>
    <w:rsid w:val="00A976B1"/>
    <w:rsid w:val="00AA0C55"/>
    <w:rsid w:val="00AA30C1"/>
    <w:rsid w:val="00AA3361"/>
    <w:rsid w:val="00AA4333"/>
    <w:rsid w:val="00AA46D6"/>
    <w:rsid w:val="00AA48DF"/>
    <w:rsid w:val="00AA4C86"/>
    <w:rsid w:val="00AA56E7"/>
    <w:rsid w:val="00AA5A44"/>
    <w:rsid w:val="00AA76F0"/>
    <w:rsid w:val="00AA76F1"/>
    <w:rsid w:val="00AA7878"/>
    <w:rsid w:val="00AA7BCB"/>
    <w:rsid w:val="00AB0317"/>
    <w:rsid w:val="00AB0E9F"/>
    <w:rsid w:val="00AB1A8A"/>
    <w:rsid w:val="00AB1B3A"/>
    <w:rsid w:val="00AB1D31"/>
    <w:rsid w:val="00AB1FD9"/>
    <w:rsid w:val="00AB3BBD"/>
    <w:rsid w:val="00AB49D0"/>
    <w:rsid w:val="00AB50F5"/>
    <w:rsid w:val="00AB5F6D"/>
    <w:rsid w:val="00AC1020"/>
    <w:rsid w:val="00AC1A4B"/>
    <w:rsid w:val="00AC262A"/>
    <w:rsid w:val="00AC2DE0"/>
    <w:rsid w:val="00AC347B"/>
    <w:rsid w:val="00AC48F6"/>
    <w:rsid w:val="00AC4C84"/>
    <w:rsid w:val="00AC5AF5"/>
    <w:rsid w:val="00AC659E"/>
    <w:rsid w:val="00AC67F9"/>
    <w:rsid w:val="00AC6B24"/>
    <w:rsid w:val="00AC7680"/>
    <w:rsid w:val="00AD116F"/>
    <w:rsid w:val="00AD20E1"/>
    <w:rsid w:val="00AD340E"/>
    <w:rsid w:val="00AD3481"/>
    <w:rsid w:val="00AD3F41"/>
    <w:rsid w:val="00AD4D84"/>
    <w:rsid w:val="00AD7147"/>
    <w:rsid w:val="00AD7308"/>
    <w:rsid w:val="00AD764C"/>
    <w:rsid w:val="00AE16D7"/>
    <w:rsid w:val="00AE1AFA"/>
    <w:rsid w:val="00AE1B9C"/>
    <w:rsid w:val="00AE35AF"/>
    <w:rsid w:val="00AE3868"/>
    <w:rsid w:val="00AE3D23"/>
    <w:rsid w:val="00AE4707"/>
    <w:rsid w:val="00AE4736"/>
    <w:rsid w:val="00AE4BC9"/>
    <w:rsid w:val="00AE4F49"/>
    <w:rsid w:val="00AE5E61"/>
    <w:rsid w:val="00AE7D93"/>
    <w:rsid w:val="00AF0E84"/>
    <w:rsid w:val="00AF307C"/>
    <w:rsid w:val="00AF3457"/>
    <w:rsid w:val="00AF36C0"/>
    <w:rsid w:val="00AF397F"/>
    <w:rsid w:val="00AF69E5"/>
    <w:rsid w:val="00B002A7"/>
    <w:rsid w:val="00B005A5"/>
    <w:rsid w:val="00B00F95"/>
    <w:rsid w:val="00B02D94"/>
    <w:rsid w:val="00B039DB"/>
    <w:rsid w:val="00B039E3"/>
    <w:rsid w:val="00B06629"/>
    <w:rsid w:val="00B06A93"/>
    <w:rsid w:val="00B06B90"/>
    <w:rsid w:val="00B07410"/>
    <w:rsid w:val="00B07EDC"/>
    <w:rsid w:val="00B1063F"/>
    <w:rsid w:val="00B10A13"/>
    <w:rsid w:val="00B12D77"/>
    <w:rsid w:val="00B13818"/>
    <w:rsid w:val="00B13AB9"/>
    <w:rsid w:val="00B14377"/>
    <w:rsid w:val="00B17EB4"/>
    <w:rsid w:val="00B22FF6"/>
    <w:rsid w:val="00B2440D"/>
    <w:rsid w:val="00B24529"/>
    <w:rsid w:val="00B25543"/>
    <w:rsid w:val="00B26B77"/>
    <w:rsid w:val="00B275F7"/>
    <w:rsid w:val="00B30875"/>
    <w:rsid w:val="00B3107B"/>
    <w:rsid w:val="00B31DF8"/>
    <w:rsid w:val="00B32D0F"/>
    <w:rsid w:val="00B3366A"/>
    <w:rsid w:val="00B33C03"/>
    <w:rsid w:val="00B33D79"/>
    <w:rsid w:val="00B35049"/>
    <w:rsid w:val="00B350A6"/>
    <w:rsid w:val="00B35E87"/>
    <w:rsid w:val="00B36E1A"/>
    <w:rsid w:val="00B36EDC"/>
    <w:rsid w:val="00B372C6"/>
    <w:rsid w:val="00B408A4"/>
    <w:rsid w:val="00B40BF4"/>
    <w:rsid w:val="00B41850"/>
    <w:rsid w:val="00B427B8"/>
    <w:rsid w:val="00B42A58"/>
    <w:rsid w:val="00B42AD0"/>
    <w:rsid w:val="00B46159"/>
    <w:rsid w:val="00B4631F"/>
    <w:rsid w:val="00B473C0"/>
    <w:rsid w:val="00B474C9"/>
    <w:rsid w:val="00B47902"/>
    <w:rsid w:val="00B50E09"/>
    <w:rsid w:val="00B512D1"/>
    <w:rsid w:val="00B51D30"/>
    <w:rsid w:val="00B52407"/>
    <w:rsid w:val="00B558EF"/>
    <w:rsid w:val="00B55CBC"/>
    <w:rsid w:val="00B56B43"/>
    <w:rsid w:val="00B56CF9"/>
    <w:rsid w:val="00B56D14"/>
    <w:rsid w:val="00B5796B"/>
    <w:rsid w:val="00B61017"/>
    <w:rsid w:val="00B612FD"/>
    <w:rsid w:val="00B61F2B"/>
    <w:rsid w:val="00B624C3"/>
    <w:rsid w:val="00B63A2E"/>
    <w:rsid w:val="00B63B1C"/>
    <w:rsid w:val="00B63ED0"/>
    <w:rsid w:val="00B64370"/>
    <w:rsid w:val="00B65152"/>
    <w:rsid w:val="00B668F1"/>
    <w:rsid w:val="00B70288"/>
    <w:rsid w:val="00B703D5"/>
    <w:rsid w:val="00B71708"/>
    <w:rsid w:val="00B7205E"/>
    <w:rsid w:val="00B73152"/>
    <w:rsid w:val="00B74AD5"/>
    <w:rsid w:val="00B75193"/>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1F3D"/>
    <w:rsid w:val="00B9264B"/>
    <w:rsid w:val="00B927B3"/>
    <w:rsid w:val="00B92918"/>
    <w:rsid w:val="00B92B93"/>
    <w:rsid w:val="00B93370"/>
    <w:rsid w:val="00B948C8"/>
    <w:rsid w:val="00B955E2"/>
    <w:rsid w:val="00B95929"/>
    <w:rsid w:val="00B96690"/>
    <w:rsid w:val="00B97BFD"/>
    <w:rsid w:val="00BA0AFF"/>
    <w:rsid w:val="00BA4451"/>
    <w:rsid w:val="00BA579F"/>
    <w:rsid w:val="00BA5B9D"/>
    <w:rsid w:val="00BA5B9E"/>
    <w:rsid w:val="00BA5C95"/>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6AA"/>
    <w:rsid w:val="00BC07AB"/>
    <w:rsid w:val="00BC0E24"/>
    <w:rsid w:val="00BC2245"/>
    <w:rsid w:val="00BC295D"/>
    <w:rsid w:val="00BC2DF3"/>
    <w:rsid w:val="00BC3A25"/>
    <w:rsid w:val="00BC3CAA"/>
    <w:rsid w:val="00BC4535"/>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E6548"/>
    <w:rsid w:val="00BF05E1"/>
    <w:rsid w:val="00BF1553"/>
    <w:rsid w:val="00BF1DE2"/>
    <w:rsid w:val="00BF3AD9"/>
    <w:rsid w:val="00BF4D40"/>
    <w:rsid w:val="00BF4E4C"/>
    <w:rsid w:val="00BF7237"/>
    <w:rsid w:val="00BF750D"/>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26F"/>
    <w:rsid w:val="00C1142F"/>
    <w:rsid w:val="00C118CF"/>
    <w:rsid w:val="00C12574"/>
    <w:rsid w:val="00C13262"/>
    <w:rsid w:val="00C13579"/>
    <w:rsid w:val="00C13675"/>
    <w:rsid w:val="00C14E19"/>
    <w:rsid w:val="00C16619"/>
    <w:rsid w:val="00C20CDB"/>
    <w:rsid w:val="00C22981"/>
    <w:rsid w:val="00C235A7"/>
    <w:rsid w:val="00C24440"/>
    <w:rsid w:val="00C247F1"/>
    <w:rsid w:val="00C259E3"/>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37D41"/>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798D"/>
    <w:rsid w:val="00C57B22"/>
    <w:rsid w:val="00C607A2"/>
    <w:rsid w:val="00C6484D"/>
    <w:rsid w:val="00C6489A"/>
    <w:rsid w:val="00C6556B"/>
    <w:rsid w:val="00C65964"/>
    <w:rsid w:val="00C65D56"/>
    <w:rsid w:val="00C66165"/>
    <w:rsid w:val="00C666D0"/>
    <w:rsid w:val="00C66D30"/>
    <w:rsid w:val="00C66EFE"/>
    <w:rsid w:val="00C70CC5"/>
    <w:rsid w:val="00C71C38"/>
    <w:rsid w:val="00C7299F"/>
    <w:rsid w:val="00C72DE6"/>
    <w:rsid w:val="00C7477E"/>
    <w:rsid w:val="00C7562B"/>
    <w:rsid w:val="00C75A0C"/>
    <w:rsid w:val="00C75D48"/>
    <w:rsid w:val="00C773F3"/>
    <w:rsid w:val="00C77A63"/>
    <w:rsid w:val="00C77A77"/>
    <w:rsid w:val="00C77E31"/>
    <w:rsid w:val="00C80867"/>
    <w:rsid w:val="00C811CE"/>
    <w:rsid w:val="00C81A29"/>
    <w:rsid w:val="00C82D3A"/>
    <w:rsid w:val="00C83029"/>
    <w:rsid w:val="00C85351"/>
    <w:rsid w:val="00C85A4F"/>
    <w:rsid w:val="00C863C4"/>
    <w:rsid w:val="00C87FFE"/>
    <w:rsid w:val="00C9032A"/>
    <w:rsid w:val="00C9322C"/>
    <w:rsid w:val="00C93A0B"/>
    <w:rsid w:val="00C93E00"/>
    <w:rsid w:val="00C94676"/>
    <w:rsid w:val="00C952C7"/>
    <w:rsid w:val="00C9773B"/>
    <w:rsid w:val="00C977EF"/>
    <w:rsid w:val="00CA0D0C"/>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A9D"/>
    <w:rsid w:val="00CC4878"/>
    <w:rsid w:val="00CC515F"/>
    <w:rsid w:val="00CC630D"/>
    <w:rsid w:val="00CC6D96"/>
    <w:rsid w:val="00CC7169"/>
    <w:rsid w:val="00CD0480"/>
    <w:rsid w:val="00CD1405"/>
    <w:rsid w:val="00CD1B34"/>
    <w:rsid w:val="00CD29D5"/>
    <w:rsid w:val="00CD39C9"/>
    <w:rsid w:val="00CD4491"/>
    <w:rsid w:val="00CD44C0"/>
    <w:rsid w:val="00CD47D5"/>
    <w:rsid w:val="00CD4916"/>
    <w:rsid w:val="00CD4962"/>
    <w:rsid w:val="00CD5589"/>
    <w:rsid w:val="00CD566C"/>
    <w:rsid w:val="00CD56C8"/>
    <w:rsid w:val="00CD60DD"/>
    <w:rsid w:val="00CD6909"/>
    <w:rsid w:val="00CD78C7"/>
    <w:rsid w:val="00CE0C97"/>
    <w:rsid w:val="00CE1044"/>
    <w:rsid w:val="00CE1B0F"/>
    <w:rsid w:val="00CE2197"/>
    <w:rsid w:val="00CE2379"/>
    <w:rsid w:val="00CE23D4"/>
    <w:rsid w:val="00CE3C60"/>
    <w:rsid w:val="00CE45AF"/>
    <w:rsid w:val="00CE4AF6"/>
    <w:rsid w:val="00CE60D8"/>
    <w:rsid w:val="00CE619B"/>
    <w:rsid w:val="00CE7D17"/>
    <w:rsid w:val="00CF0435"/>
    <w:rsid w:val="00CF05A8"/>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0B8"/>
    <w:rsid w:val="00D41A14"/>
    <w:rsid w:val="00D42710"/>
    <w:rsid w:val="00D4444C"/>
    <w:rsid w:val="00D44DFF"/>
    <w:rsid w:val="00D453C7"/>
    <w:rsid w:val="00D45D63"/>
    <w:rsid w:val="00D472E2"/>
    <w:rsid w:val="00D47D00"/>
    <w:rsid w:val="00D47F1A"/>
    <w:rsid w:val="00D5053C"/>
    <w:rsid w:val="00D5282F"/>
    <w:rsid w:val="00D53399"/>
    <w:rsid w:val="00D53A5F"/>
    <w:rsid w:val="00D53F1F"/>
    <w:rsid w:val="00D53F6C"/>
    <w:rsid w:val="00D5400F"/>
    <w:rsid w:val="00D54270"/>
    <w:rsid w:val="00D54F1F"/>
    <w:rsid w:val="00D55BCA"/>
    <w:rsid w:val="00D56B33"/>
    <w:rsid w:val="00D57A90"/>
    <w:rsid w:val="00D60AE9"/>
    <w:rsid w:val="00D613F6"/>
    <w:rsid w:val="00D61D8A"/>
    <w:rsid w:val="00D62118"/>
    <w:rsid w:val="00D6227F"/>
    <w:rsid w:val="00D6362D"/>
    <w:rsid w:val="00D63A75"/>
    <w:rsid w:val="00D63E6D"/>
    <w:rsid w:val="00D63EC8"/>
    <w:rsid w:val="00D64B57"/>
    <w:rsid w:val="00D64FEC"/>
    <w:rsid w:val="00D65DC2"/>
    <w:rsid w:val="00D65E5C"/>
    <w:rsid w:val="00D67087"/>
    <w:rsid w:val="00D679BC"/>
    <w:rsid w:val="00D70454"/>
    <w:rsid w:val="00D71F44"/>
    <w:rsid w:val="00D73C4D"/>
    <w:rsid w:val="00D74A0C"/>
    <w:rsid w:val="00D75199"/>
    <w:rsid w:val="00D774F6"/>
    <w:rsid w:val="00D777AB"/>
    <w:rsid w:val="00D77C2B"/>
    <w:rsid w:val="00D8192C"/>
    <w:rsid w:val="00D83189"/>
    <w:rsid w:val="00D835AE"/>
    <w:rsid w:val="00D83647"/>
    <w:rsid w:val="00D83878"/>
    <w:rsid w:val="00D85AEC"/>
    <w:rsid w:val="00D86656"/>
    <w:rsid w:val="00D8730B"/>
    <w:rsid w:val="00D87BCB"/>
    <w:rsid w:val="00D90F0A"/>
    <w:rsid w:val="00D91750"/>
    <w:rsid w:val="00D92E35"/>
    <w:rsid w:val="00D936FC"/>
    <w:rsid w:val="00D94449"/>
    <w:rsid w:val="00D94461"/>
    <w:rsid w:val="00D94D39"/>
    <w:rsid w:val="00D955B3"/>
    <w:rsid w:val="00D958F4"/>
    <w:rsid w:val="00D9675F"/>
    <w:rsid w:val="00DA26DE"/>
    <w:rsid w:val="00DA2AF8"/>
    <w:rsid w:val="00DA7932"/>
    <w:rsid w:val="00DB103D"/>
    <w:rsid w:val="00DB11C5"/>
    <w:rsid w:val="00DB1DC3"/>
    <w:rsid w:val="00DB30CE"/>
    <w:rsid w:val="00DB3934"/>
    <w:rsid w:val="00DB45D0"/>
    <w:rsid w:val="00DB48FB"/>
    <w:rsid w:val="00DB5FCC"/>
    <w:rsid w:val="00DB620E"/>
    <w:rsid w:val="00DB6253"/>
    <w:rsid w:val="00DB71EB"/>
    <w:rsid w:val="00DB758B"/>
    <w:rsid w:val="00DC2A62"/>
    <w:rsid w:val="00DC3AC8"/>
    <w:rsid w:val="00DC5A2F"/>
    <w:rsid w:val="00DC61A2"/>
    <w:rsid w:val="00DC61EA"/>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D713D"/>
    <w:rsid w:val="00DD74A9"/>
    <w:rsid w:val="00DE0784"/>
    <w:rsid w:val="00DE0CF5"/>
    <w:rsid w:val="00DE430B"/>
    <w:rsid w:val="00DE5D6F"/>
    <w:rsid w:val="00DE6F13"/>
    <w:rsid w:val="00DE788E"/>
    <w:rsid w:val="00DE7910"/>
    <w:rsid w:val="00DF0887"/>
    <w:rsid w:val="00DF0FDA"/>
    <w:rsid w:val="00DF14E1"/>
    <w:rsid w:val="00DF1E27"/>
    <w:rsid w:val="00DF3CE6"/>
    <w:rsid w:val="00DF5128"/>
    <w:rsid w:val="00DF5493"/>
    <w:rsid w:val="00DF6748"/>
    <w:rsid w:val="00DF6EE9"/>
    <w:rsid w:val="00DF7FED"/>
    <w:rsid w:val="00E00671"/>
    <w:rsid w:val="00E00961"/>
    <w:rsid w:val="00E0101B"/>
    <w:rsid w:val="00E02330"/>
    <w:rsid w:val="00E02EF2"/>
    <w:rsid w:val="00E02F75"/>
    <w:rsid w:val="00E03821"/>
    <w:rsid w:val="00E03A84"/>
    <w:rsid w:val="00E03CE2"/>
    <w:rsid w:val="00E03D43"/>
    <w:rsid w:val="00E04FA5"/>
    <w:rsid w:val="00E0553E"/>
    <w:rsid w:val="00E07482"/>
    <w:rsid w:val="00E07FBC"/>
    <w:rsid w:val="00E11288"/>
    <w:rsid w:val="00E116FC"/>
    <w:rsid w:val="00E11F7D"/>
    <w:rsid w:val="00E12E6A"/>
    <w:rsid w:val="00E13EA4"/>
    <w:rsid w:val="00E15524"/>
    <w:rsid w:val="00E15598"/>
    <w:rsid w:val="00E17F98"/>
    <w:rsid w:val="00E20B3B"/>
    <w:rsid w:val="00E211C0"/>
    <w:rsid w:val="00E21DEA"/>
    <w:rsid w:val="00E22577"/>
    <w:rsid w:val="00E227B8"/>
    <w:rsid w:val="00E2344C"/>
    <w:rsid w:val="00E235DD"/>
    <w:rsid w:val="00E23A1D"/>
    <w:rsid w:val="00E247F1"/>
    <w:rsid w:val="00E24DF3"/>
    <w:rsid w:val="00E26C55"/>
    <w:rsid w:val="00E26C8A"/>
    <w:rsid w:val="00E273AC"/>
    <w:rsid w:val="00E309C3"/>
    <w:rsid w:val="00E30D41"/>
    <w:rsid w:val="00E30E10"/>
    <w:rsid w:val="00E30F4D"/>
    <w:rsid w:val="00E31917"/>
    <w:rsid w:val="00E31F30"/>
    <w:rsid w:val="00E32780"/>
    <w:rsid w:val="00E328D2"/>
    <w:rsid w:val="00E32E69"/>
    <w:rsid w:val="00E3357A"/>
    <w:rsid w:val="00E34C6E"/>
    <w:rsid w:val="00E35BD8"/>
    <w:rsid w:val="00E3647C"/>
    <w:rsid w:val="00E40770"/>
    <w:rsid w:val="00E40897"/>
    <w:rsid w:val="00E41C13"/>
    <w:rsid w:val="00E41D33"/>
    <w:rsid w:val="00E41EAB"/>
    <w:rsid w:val="00E42063"/>
    <w:rsid w:val="00E43B74"/>
    <w:rsid w:val="00E44F85"/>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25A3"/>
    <w:rsid w:val="00E6349A"/>
    <w:rsid w:val="00E635FC"/>
    <w:rsid w:val="00E63B43"/>
    <w:rsid w:val="00E63E8D"/>
    <w:rsid w:val="00E640DE"/>
    <w:rsid w:val="00E65A9F"/>
    <w:rsid w:val="00E668B7"/>
    <w:rsid w:val="00E66DFC"/>
    <w:rsid w:val="00E67BB7"/>
    <w:rsid w:val="00E70E1E"/>
    <w:rsid w:val="00E72CB3"/>
    <w:rsid w:val="00E72CB9"/>
    <w:rsid w:val="00E74B39"/>
    <w:rsid w:val="00E75F10"/>
    <w:rsid w:val="00E80473"/>
    <w:rsid w:val="00E80D12"/>
    <w:rsid w:val="00E81FA0"/>
    <w:rsid w:val="00E82936"/>
    <w:rsid w:val="00E8304E"/>
    <w:rsid w:val="00E86F6C"/>
    <w:rsid w:val="00E910F8"/>
    <w:rsid w:val="00E961B4"/>
    <w:rsid w:val="00E978A2"/>
    <w:rsid w:val="00EA06A5"/>
    <w:rsid w:val="00EA0EB9"/>
    <w:rsid w:val="00EA125A"/>
    <w:rsid w:val="00EA1656"/>
    <w:rsid w:val="00EA1C6D"/>
    <w:rsid w:val="00EA22CD"/>
    <w:rsid w:val="00EA2F59"/>
    <w:rsid w:val="00EA3AFF"/>
    <w:rsid w:val="00EA40E2"/>
    <w:rsid w:val="00EA48C3"/>
    <w:rsid w:val="00EA5936"/>
    <w:rsid w:val="00EA69A6"/>
    <w:rsid w:val="00EA6E09"/>
    <w:rsid w:val="00EA7280"/>
    <w:rsid w:val="00EA75AC"/>
    <w:rsid w:val="00EA774F"/>
    <w:rsid w:val="00EA7C6E"/>
    <w:rsid w:val="00EA7D0C"/>
    <w:rsid w:val="00EB04FF"/>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697"/>
    <w:rsid w:val="00EC7806"/>
    <w:rsid w:val="00EC7E81"/>
    <w:rsid w:val="00ED0F13"/>
    <w:rsid w:val="00ED2006"/>
    <w:rsid w:val="00ED225E"/>
    <w:rsid w:val="00ED2620"/>
    <w:rsid w:val="00ED2CAB"/>
    <w:rsid w:val="00ED32A3"/>
    <w:rsid w:val="00ED3B86"/>
    <w:rsid w:val="00ED4F66"/>
    <w:rsid w:val="00ED59C1"/>
    <w:rsid w:val="00ED5EF2"/>
    <w:rsid w:val="00ED72AB"/>
    <w:rsid w:val="00ED7B4A"/>
    <w:rsid w:val="00EE2707"/>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468A"/>
    <w:rsid w:val="00EF5027"/>
    <w:rsid w:val="00EF5FF1"/>
    <w:rsid w:val="00EF639F"/>
    <w:rsid w:val="00EF6690"/>
    <w:rsid w:val="00EF6D65"/>
    <w:rsid w:val="00EF7701"/>
    <w:rsid w:val="00EF79AF"/>
    <w:rsid w:val="00F03A96"/>
    <w:rsid w:val="00F043DA"/>
    <w:rsid w:val="00F04726"/>
    <w:rsid w:val="00F05461"/>
    <w:rsid w:val="00F06D37"/>
    <w:rsid w:val="00F074D3"/>
    <w:rsid w:val="00F10978"/>
    <w:rsid w:val="00F10C16"/>
    <w:rsid w:val="00F11C57"/>
    <w:rsid w:val="00F11D54"/>
    <w:rsid w:val="00F145EA"/>
    <w:rsid w:val="00F16C35"/>
    <w:rsid w:val="00F17E00"/>
    <w:rsid w:val="00F17EF9"/>
    <w:rsid w:val="00F21D72"/>
    <w:rsid w:val="00F22B83"/>
    <w:rsid w:val="00F23FE1"/>
    <w:rsid w:val="00F315ED"/>
    <w:rsid w:val="00F31C5F"/>
    <w:rsid w:val="00F326E2"/>
    <w:rsid w:val="00F32DF6"/>
    <w:rsid w:val="00F33263"/>
    <w:rsid w:val="00F351CE"/>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59D"/>
    <w:rsid w:val="00F528F2"/>
    <w:rsid w:val="00F5323B"/>
    <w:rsid w:val="00F53A5C"/>
    <w:rsid w:val="00F54F1C"/>
    <w:rsid w:val="00F55D2E"/>
    <w:rsid w:val="00F56070"/>
    <w:rsid w:val="00F56B0E"/>
    <w:rsid w:val="00F56CCD"/>
    <w:rsid w:val="00F57248"/>
    <w:rsid w:val="00F576EA"/>
    <w:rsid w:val="00F625A5"/>
    <w:rsid w:val="00F62C24"/>
    <w:rsid w:val="00F62CCB"/>
    <w:rsid w:val="00F62DF3"/>
    <w:rsid w:val="00F6308F"/>
    <w:rsid w:val="00F63E64"/>
    <w:rsid w:val="00F64129"/>
    <w:rsid w:val="00F64EAC"/>
    <w:rsid w:val="00F65B48"/>
    <w:rsid w:val="00F65C55"/>
    <w:rsid w:val="00F70376"/>
    <w:rsid w:val="00F70B66"/>
    <w:rsid w:val="00F72A96"/>
    <w:rsid w:val="00F72B27"/>
    <w:rsid w:val="00F72B72"/>
    <w:rsid w:val="00F73F85"/>
    <w:rsid w:val="00F80135"/>
    <w:rsid w:val="00F810DF"/>
    <w:rsid w:val="00F8111B"/>
    <w:rsid w:val="00F823BD"/>
    <w:rsid w:val="00F83837"/>
    <w:rsid w:val="00F83889"/>
    <w:rsid w:val="00F84B09"/>
    <w:rsid w:val="00F8532C"/>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2633"/>
    <w:rsid w:val="00FB41F7"/>
    <w:rsid w:val="00FB4593"/>
    <w:rsid w:val="00FB4A7B"/>
    <w:rsid w:val="00FB4F8D"/>
    <w:rsid w:val="00FB5724"/>
    <w:rsid w:val="00FB5DB5"/>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3DAF"/>
    <w:rsid w:val="00FD54FB"/>
    <w:rsid w:val="00FD7C2A"/>
    <w:rsid w:val="00FE13ED"/>
    <w:rsid w:val="00FE1E82"/>
    <w:rsid w:val="00FE27EC"/>
    <w:rsid w:val="00FE3215"/>
    <w:rsid w:val="00FE3A9E"/>
    <w:rsid w:val="00FE3BC5"/>
    <w:rsid w:val="00FE40BD"/>
    <w:rsid w:val="00FF0DDB"/>
    <w:rsid w:val="00FF21F2"/>
    <w:rsid w:val="00FF28F3"/>
    <w:rsid w:val="00FF2A93"/>
    <w:rsid w:val="00FF4CD4"/>
    <w:rsid w:val="00FF4E76"/>
    <w:rsid w:val="00FF623B"/>
    <w:rsid w:val="00FF6F80"/>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aliases w:val="DNV-FT Char,ALTS FOOTNOTE Char,Footnote Text Char1 Char,Footnote Text Char Char1 Char,Footnote Text Char4 Char Char Char,Footnote Text Char1 Char1 Char1 Char Char,Footnote Text Char Char1 Char1 Char Char Char,DNV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aliases w:val="DNV-FT,ALTS FOOTNOTE,Footnote Text Char1,Footnote Text Char Char1,Footnote Text Char4 Char Char,Footnote Text Char1 Char1 Char1 Char,Footnote Text Char Char1 Char1 Char Char,Footnote Text Char1 Char1 Char1 Char Char Char1,DNV"/>
    <w:basedOn w:val="Normal"/>
    <w:link w:val="FootnoteTextChar"/>
    <w:unhideWhenUsed/>
    <w:qFormat/>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character" w:styleId="UnresolvedMention">
    <w:name w:val="Unresolved Mention"/>
    <w:basedOn w:val="DefaultParagraphFont"/>
    <w:uiPriority w:val="99"/>
    <w:semiHidden/>
    <w:unhideWhenUsed/>
    <w:rsid w:val="00AC7680"/>
    <w:rPr>
      <w:color w:val="605E5C"/>
      <w:shd w:val="clear" w:color="auto" w:fill="E1DFDD"/>
    </w:rPr>
  </w:style>
  <w:style w:type="paragraph" w:customStyle="1" w:styleId="xmsonormal">
    <w:name w:val="x_msonormal"/>
    <w:basedOn w:val="Normal"/>
    <w:rsid w:val="009876BA"/>
    <w:pPr>
      <w:suppressAutoHyphens w:val="0"/>
    </w:pPr>
    <w:rPr>
      <w:rFonts w:ascii="Calibri" w:eastAsia="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27876395">
      <w:bodyDiv w:val="1"/>
      <w:marLeft w:val="0"/>
      <w:marRight w:val="0"/>
      <w:marTop w:val="0"/>
      <w:marBottom w:val="0"/>
      <w:divBdr>
        <w:top w:val="none" w:sz="0" w:space="0" w:color="auto"/>
        <w:left w:val="none" w:sz="0" w:space="0" w:color="auto"/>
        <w:bottom w:val="none" w:sz="0" w:space="0" w:color="auto"/>
        <w:right w:val="none" w:sz="0" w:space="0" w:color="auto"/>
      </w:divBdr>
      <w:divsChild>
        <w:div w:id="1637762583">
          <w:marLeft w:val="1627"/>
          <w:marRight w:val="187"/>
          <w:marTop w:val="120"/>
          <w:marBottom w:val="0"/>
          <w:divBdr>
            <w:top w:val="none" w:sz="0" w:space="0" w:color="auto"/>
            <w:left w:val="none" w:sz="0" w:space="0" w:color="auto"/>
            <w:bottom w:val="none" w:sz="0" w:space="0" w:color="auto"/>
            <w:right w:val="none" w:sz="0" w:space="0" w:color="auto"/>
          </w:divBdr>
        </w:div>
      </w:divsChild>
    </w:div>
    <w:div w:id="62988629">
      <w:bodyDiv w:val="1"/>
      <w:marLeft w:val="0"/>
      <w:marRight w:val="0"/>
      <w:marTop w:val="0"/>
      <w:marBottom w:val="0"/>
      <w:divBdr>
        <w:top w:val="none" w:sz="0" w:space="0" w:color="auto"/>
        <w:left w:val="none" w:sz="0" w:space="0" w:color="auto"/>
        <w:bottom w:val="none" w:sz="0" w:space="0" w:color="auto"/>
        <w:right w:val="none" w:sz="0" w:space="0" w:color="auto"/>
      </w:divBdr>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459422003">
      <w:bodyDiv w:val="1"/>
      <w:marLeft w:val="0"/>
      <w:marRight w:val="0"/>
      <w:marTop w:val="0"/>
      <w:marBottom w:val="0"/>
      <w:divBdr>
        <w:top w:val="none" w:sz="0" w:space="0" w:color="auto"/>
        <w:left w:val="none" w:sz="0" w:space="0" w:color="auto"/>
        <w:bottom w:val="none" w:sz="0" w:space="0" w:color="auto"/>
        <w:right w:val="none" w:sz="0" w:space="0" w:color="auto"/>
      </w:divBdr>
      <w:divsChild>
        <w:div w:id="721949321">
          <w:marLeft w:val="1166"/>
          <w:marRight w:val="0"/>
          <w:marTop w:val="120"/>
          <w:marBottom w:val="0"/>
          <w:divBdr>
            <w:top w:val="none" w:sz="0" w:space="0" w:color="auto"/>
            <w:left w:val="none" w:sz="0" w:space="0" w:color="auto"/>
            <w:bottom w:val="none" w:sz="0" w:space="0" w:color="auto"/>
            <w:right w:val="none" w:sz="0" w:space="0" w:color="auto"/>
          </w:divBdr>
        </w:div>
      </w:divsChild>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39050440">
      <w:bodyDiv w:val="1"/>
      <w:marLeft w:val="0"/>
      <w:marRight w:val="0"/>
      <w:marTop w:val="0"/>
      <w:marBottom w:val="0"/>
      <w:divBdr>
        <w:top w:val="none" w:sz="0" w:space="0" w:color="auto"/>
        <w:left w:val="none" w:sz="0" w:space="0" w:color="auto"/>
        <w:bottom w:val="none" w:sz="0" w:space="0" w:color="auto"/>
        <w:right w:val="none" w:sz="0" w:space="0" w:color="auto"/>
      </w:divBdr>
      <w:divsChild>
        <w:div w:id="1590044016">
          <w:marLeft w:val="547"/>
          <w:marRight w:val="0"/>
          <w:marTop w:val="0"/>
          <w:marBottom w:val="0"/>
          <w:divBdr>
            <w:top w:val="none" w:sz="0" w:space="0" w:color="auto"/>
            <w:left w:val="none" w:sz="0" w:space="0" w:color="auto"/>
            <w:bottom w:val="none" w:sz="0" w:space="0" w:color="auto"/>
            <w:right w:val="none" w:sz="0" w:space="0" w:color="auto"/>
          </w:divBdr>
        </w:div>
        <w:div w:id="974483618">
          <w:marLeft w:val="547"/>
          <w:marRight w:val="0"/>
          <w:marTop w:val="0"/>
          <w:marBottom w:val="0"/>
          <w:divBdr>
            <w:top w:val="none" w:sz="0" w:space="0" w:color="auto"/>
            <w:left w:val="none" w:sz="0" w:space="0" w:color="auto"/>
            <w:bottom w:val="none" w:sz="0" w:space="0" w:color="auto"/>
            <w:right w:val="none" w:sz="0" w:space="0" w:color="auto"/>
          </w:divBdr>
        </w:div>
      </w:divsChild>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692070255">
      <w:bodyDiv w:val="1"/>
      <w:marLeft w:val="0"/>
      <w:marRight w:val="0"/>
      <w:marTop w:val="0"/>
      <w:marBottom w:val="0"/>
      <w:divBdr>
        <w:top w:val="none" w:sz="0" w:space="0" w:color="auto"/>
        <w:left w:val="none" w:sz="0" w:space="0" w:color="auto"/>
        <w:bottom w:val="none" w:sz="0" w:space="0" w:color="auto"/>
        <w:right w:val="none" w:sz="0" w:space="0" w:color="auto"/>
      </w:divBdr>
      <w:divsChild>
        <w:div w:id="471992351">
          <w:marLeft w:val="547"/>
          <w:marRight w:val="0"/>
          <w:marTop w:val="0"/>
          <w:marBottom w:val="0"/>
          <w:divBdr>
            <w:top w:val="none" w:sz="0" w:space="0" w:color="auto"/>
            <w:left w:val="none" w:sz="0" w:space="0" w:color="auto"/>
            <w:bottom w:val="none" w:sz="0" w:space="0" w:color="auto"/>
            <w:right w:val="none" w:sz="0" w:space="0" w:color="auto"/>
          </w:divBdr>
        </w:div>
      </w:divsChild>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 w:id="2039306729">
      <w:bodyDiv w:val="1"/>
      <w:marLeft w:val="0"/>
      <w:marRight w:val="0"/>
      <w:marTop w:val="0"/>
      <w:marBottom w:val="0"/>
      <w:divBdr>
        <w:top w:val="none" w:sz="0" w:space="0" w:color="auto"/>
        <w:left w:val="none" w:sz="0" w:space="0" w:color="auto"/>
        <w:bottom w:val="none" w:sz="0" w:space="0" w:color="auto"/>
        <w:right w:val="none" w:sz="0" w:space="0" w:color="auto"/>
      </w:divBdr>
    </w:div>
    <w:div w:id="20725773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standards.ieee.org/ieee/802.11be/7516" TargetMode="External"/><Relationship Id="rId13" Type="http://schemas.openxmlformats.org/officeDocument/2006/relationships/hyperlink" Target="https://www.commscope.com/resources/case-studies/ghelamco-stadium/" TargetMode="External"/><Relationship Id="rId18" Type="http://schemas.openxmlformats.org/officeDocument/2006/relationships/hyperlink" Target="https://wballiance.com/wireless-broadband-alliance-members-successfully-complete-first-phase-wi-fi-6-industry-4-0-trials-with-mettis-aerospace/" TargetMode="External"/><Relationship Id="rId3" Type="http://schemas.openxmlformats.org/officeDocument/2006/relationships/hyperlink" Target="https://www.ofcom.org.uk/phones-and-broadband/service-quality/communications-market-2024/" TargetMode="External"/><Relationship Id="rId7" Type="http://schemas.openxmlformats.org/officeDocument/2006/relationships/hyperlink" Target="https://www.ftthcouncil.eu/committees/market-intelligence/2046/ftth-market-forecasts-2023-2029" TargetMode="External"/><Relationship Id="rId12" Type="http://schemas.openxmlformats.org/officeDocument/2006/relationships/hyperlink" Target="https://www.cisco.com/c/dam/en/us/services/collateral/se/cyprus-case-study.pdf" TargetMode="External"/><Relationship Id="rId17" Type="http://schemas.openxmlformats.org/officeDocument/2006/relationships/hyperlink" Target="https://www.cisco.com/c/en/us/solutions/collateral/enterprise-networks/faloria-case-study.html" TargetMode="External"/><Relationship Id="rId2" Type="http://schemas.openxmlformats.org/officeDocument/2006/relationships/hyperlink" Target="https://www.bundesnetzagentur.de/SharedDocs/Pressemitteilungen/DE/2024/20240516_JB_TK2023.html" TargetMode="External"/><Relationship Id="rId16" Type="http://schemas.openxmlformats.org/officeDocument/2006/relationships/hyperlink" Target="https://www.cisco.com/c/en/us/about/case-studies-customer-success-stories/malta-freeport-terminals.html" TargetMode="External"/><Relationship Id="rId1" Type="http://schemas.openxmlformats.org/officeDocument/2006/relationships/hyperlink" Target="https://plumconsulting.co.uk/wi-fi-spectrum-requirements/" TargetMode="External"/><Relationship Id="rId6" Type="http://schemas.openxmlformats.org/officeDocument/2006/relationships/hyperlink" Target="https://www.ftthcouncil.eu/committees/market-intelligence/2043/european-ftth-b-market-panorama-2024" TargetMode="External"/><Relationship Id="rId11" Type="http://schemas.openxmlformats.org/officeDocument/2006/relationships/hyperlink" Target="https://www.ieee802.org/11/Reports/tgbk_update.htm" TargetMode="External"/><Relationship Id="rId5" Type="http://schemas.openxmlformats.org/officeDocument/2006/relationships/hyperlink" Target="https://www.adlittle.com/en/insights/report/evolution-data-growth-europe" TargetMode="External"/><Relationship Id="rId15" Type="http://schemas.openxmlformats.org/officeDocument/2006/relationships/hyperlink" Target="https://www.cisco.com/c/en/us/products/wireless/ultra-reliable-wireless-backhaul/index.html" TargetMode="External"/><Relationship Id="rId10" Type="http://schemas.openxmlformats.org/officeDocument/2006/relationships/hyperlink" Target="https://www.abiresearch.com/market-research/product/1031357-indoor-positioning-and-rtls-technology-inf" TargetMode="External"/><Relationship Id="rId4" Type="http://schemas.openxmlformats.org/officeDocument/2006/relationships/hyperlink" Target="https://ec.europa.eu/eurostat/web/products-eurostat-news/w/ddn-20240125-2" TargetMode="External"/><Relationship Id="rId9" Type="http://schemas.openxmlformats.org/officeDocument/2006/relationships/hyperlink" Target="https://www.wi-fi.org/beacon/the-beacon/wi-fi-alliance-demonstrates-the-impact-of-6-ghz-wi-fi-for-advanced-arvr-in" TargetMode="External"/><Relationship Id="rId14" Type="http://schemas.openxmlformats.org/officeDocument/2006/relationships/hyperlink" Target="https://www.cisco.com/c/en/us/about/case-studies-customer-success-stories/thessaloniki-port-authority.html?dtid=odicdc000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FAEA-16E8-43FA-8BF0-24BC3223CA53}">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143</TotalTime>
  <Pages>6</Pages>
  <Words>1701</Words>
  <Characters>9700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18-25/0024r2</vt:lpstr>
    </vt:vector>
  </TitlesOfParts>
  <Company>Some Company</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18-25/0024r3</dc:title>
  <dc:subject>Submission</dc:subject>
  <dc:creator>Editor</dc:creator>
  <dc:description>Draft response to Luthuania RRT's consultation re the upper 6 GHz band</dc:description>
  <cp:lastModifiedBy>Edward Au</cp:lastModifiedBy>
  <cp:revision>113</cp:revision>
  <cp:lastPrinted>2024-11-12T20:39:00Z</cp:lastPrinted>
  <dcterms:created xsi:type="dcterms:W3CDTF">2025-03-12T15:08:00Z</dcterms:created>
  <dcterms:modified xsi:type="dcterms:W3CDTF">2025-03-28T11:39:00Z</dcterms:modified>
  <dc:language>sv-SE</dc:language>
</cp:coreProperties>
</file>