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10"/>
        <w:gridCol w:w="2137"/>
        <w:gridCol w:w="1283"/>
        <w:gridCol w:w="2538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D474BB" w:rsidP="002D5A62">
            <w:pPr>
              <w:pStyle w:val="T2"/>
              <w:widowControl w:val="0"/>
              <w:spacing w:after="120"/>
            </w:pPr>
            <w:r>
              <w:t>1</w:t>
            </w:r>
            <w:r w:rsidR="002D5A62">
              <w:t>8</w:t>
            </w:r>
            <w:r w:rsidR="00731823">
              <w:t xml:space="preserve"> April</w:t>
            </w:r>
            <w:r w:rsidR="00587E77">
              <w:t xml:space="preserve"> </w:t>
            </w:r>
            <w:r w:rsidR="005A7D3D">
              <w:t>202</w:t>
            </w:r>
            <w:r w:rsidR="00F108EB"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D474BB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8A6C58">
              <w:rPr>
                <w:b w:val="0"/>
                <w:sz w:val="20"/>
              </w:rPr>
              <w:t>1</w:t>
            </w:r>
            <w:r w:rsidR="002D5A62">
              <w:rPr>
                <w:b w:val="0"/>
                <w:sz w:val="20"/>
              </w:rPr>
              <w:t>9</w:t>
            </w:r>
            <w:r w:rsidR="00731823">
              <w:rPr>
                <w:b w:val="0"/>
                <w:sz w:val="20"/>
              </w:rPr>
              <w:t xml:space="preserve"> April</w:t>
            </w:r>
            <w:r w:rsidR="00F108EB">
              <w:rPr>
                <w:b w:val="0"/>
                <w:sz w:val="20"/>
              </w:rPr>
              <w:t xml:space="preserve"> 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:rsidTr="00E02C35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Pr="004A41A5">
              <w:rPr>
                <w:sz w:val="20"/>
              </w:rPr>
              <w:t>Canada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2D5A62">
                              <w:rPr>
                                <w:color w:val="000000"/>
                              </w:rPr>
                              <w:t>18</w:t>
                            </w:r>
                            <w:r w:rsidR="00731823">
                              <w:rPr>
                                <w:color w:val="000000"/>
                              </w:rPr>
                              <w:t xml:space="preserve"> April</w:t>
                            </w:r>
                            <w:r w:rsidR="00F108EB">
                              <w:rPr>
                                <w:color w:val="000000"/>
                              </w:rPr>
                              <w:t xml:space="preserve"> 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2D5A62">
                        <w:rPr>
                          <w:color w:val="000000"/>
                        </w:rPr>
                        <w:t>18</w:t>
                      </w:r>
                      <w:r w:rsidR="00731823">
                        <w:rPr>
                          <w:color w:val="000000"/>
                        </w:rPr>
                        <w:t xml:space="preserve"> April</w:t>
                      </w:r>
                      <w:r w:rsidR="00F108EB">
                        <w:rPr>
                          <w:color w:val="000000"/>
                        </w:rPr>
                        <w:t xml:space="preserve"> 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proofErr w:type="spellStart"/>
      <w:r w:rsidR="00DA3FD2" w:rsidRPr="00DA3FD2">
        <w:rPr>
          <w:b w:val="0"/>
          <w:bCs/>
          <w:color w:val="000000"/>
          <w:sz w:val="24"/>
          <w:szCs w:val="24"/>
        </w:rPr>
        <w:t>Patwardhan</w:t>
      </w:r>
      <w:proofErr w:type="spellEnd"/>
      <w:r w:rsidR="00DA3FD2" w:rsidRPr="00DA3FD2">
        <w:rPr>
          <w:b w:val="0"/>
          <w:bCs/>
          <w:color w:val="000000"/>
          <w:sz w:val="24"/>
          <w:szCs w:val="24"/>
        </w:rPr>
        <w:t xml:space="preserve">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DA3FD2" w:rsidRDefault="00DA3FD2" w:rsidP="00DA3FD2">
      <w:pPr>
        <w:jc w:val="center"/>
      </w:pPr>
    </w:p>
    <w:p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D474BB" w:rsidRPr="002D5A62">
          <w:rPr>
            <w:rStyle w:val="Hyperlink"/>
            <w:sz w:val="24"/>
            <w:szCs w:val="24"/>
          </w:rPr>
          <w:t>18-24/004</w:t>
        </w:r>
        <w:r w:rsidR="002D5A62" w:rsidRPr="002D5A62">
          <w:rPr>
            <w:rStyle w:val="Hyperlink"/>
            <w:sz w:val="24"/>
            <w:szCs w:val="24"/>
          </w:rPr>
          <w:t>6</w:t>
        </w:r>
        <w:r w:rsidRPr="002D5A62">
          <w:rPr>
            <w:rStyle w:val="Hyperlink"/>
            <w:sz w:val="24"/>
            <w:szCs w:val="24"/>
          </w:rPr>
          <w:t>r</w:t>
        </w:r>
        <w:r w:rsidR="002D5A62" w:rsidRPr="002D5A62">
          <w:rPr>
            <w:rStyle w:val="Hyperlink"/>
            <w:sz w:val="24"/>
            <w:szCs w:val="24"/>
          </w:rPr>
          <w:t>1</w:t>
        </w:r>
      </w:hyperlink>
      <w:r w:rsidRPr="00BB5A95">
        <w:rPr>
          <w:sz w:val="24"/>
          <w:szCs w:val="24"/>
        </w:rPr>
        <w:br/>
      </w:r>
    </w:p>
    <w:p w:rsidR="0003157D" w:rsidRPr="00BB5A95" w:rsidRDefault="005A7D3D" w:rsidP="00DA3FD2">
      <w:pPr>
        <w:contextualSpacing/>
        <w:jc w:val="both"/>
        <w:rPr>
          <w:sz w:val="24"/>
          <w:szCs w:val="24"/>
        </w:rPr>
      </w:pPr>
      <w:r w:rsidRPr="00BB5A95">
        <w:rPr>
          <w:sz w:val="24"/>
          <w:szCs w:val="24"/>
        </w:rPr>
        <w:t>Chair calls the meeting to order at 15:0</w:t>
      </w:r>
      <w:r w:rsidR="002D5A62">
        <w:rPr>
          <w:sz w:val="24"/>
          <w:szCs w:val="24"/>
        </w:rPr>
        <w:t>1</w:t>
      </w:r>
      <w:r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 the Chair himself.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5A7D3D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administrative items</w:t>
      </w:r>
      <w:r w:rsidR="00DA3FD2">
        <w:rPr>
          <w:sz w:val="24"/>
          <w:szCs w:val="24"/>
        </w:rPr>
        <w:t>: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:rsidR="00DA3FD2" w:rsidRPr="00441522" w:rsidRDefault="005A7D3D" w:rsidP="00441522">
      <w:pPr>
        <w:pStyle w:val="western"/>
        <w:spacing w:after="0"/>
      </w:pPr>
      <w:r w:rsidRPr="00BB5A95">
        <w:rPr>
          <w:bCs/>
          <w:sz w:val="24"/>
          <w:szCs w:val="24"/>
        </w:rPr>
        <w:t xml:space="preserve">Chair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:rsidR="0003157D" w:rsidRPr="00DA3FD2" w:rsidRDefault="005A7D3D" w:rsidP="00DA3FD2">
      <w:pPr>
        <w:contextualSpacing/>
        <w:jc w:val="both"/>
        <w:rPr>
          <w:bCs/>
          <w:sz w:val="24"/>
          <w:szCs w:val="24"/>
        </w:rPr>
      </w:pPr>
      <w:r w:rsidRPr="00BB5A95">
        <w:rPr>
          <w:sz w:val="24"/>
          <w:szCs w:val="24"/>
        </w:rPr>
        <w:t xml:space="preserve">Chair presents the </w:t>
      </w:r>
      <w:r w:rsidR="00DA3FD2">
        <w:rPr>
          <w:sz w:val="24"/>
          <w:szCs w:val="24"/>
        </w:rPr>
        <w:t xml:space="preserve">tentative </w:t>
      </w:r>
      <w:r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Pr="00BB5A95">
        <w:rPr>
          <w:sz w:val="24"/>
          <w:szCs w:val="24"/>
        </w:rPr>
        <w:t xml:space="preserve">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 xml:space="preserve">Motion #1 (internal):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1501C6" w:rsidRPr="00DA3FD2">
        <w:rPr>
          <w:sz w:val="24"/>
          <w:szCs w:val="24"/>
        </w:rPr>
        <w:t xml:space="preserve">Al </w:t>
      </w:r>
      <w:proofErr w:type="spellStart"/>
      <w:r w:rsidR="001501C6" w:rsidRPr="00DA3FD2">
        <w:rPr>
          <w:sz w:val="24"/>
          <w:szCs w:val="24"/>
        </w:rPr>
        <w:t>Petrick</w:t>
      </w:r>
      <w:proofErr w:type="spellEnd"/>
      <w:r w:rsidR="001501C6" w:rsidRPr="00DA3FD2">
        <w:rPr>
          <w:sz w:val="24"/>
          <w:szCs w:val="24"/>
        </w:rPr>
        <w:t xml:space="preserve"> 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1501C6" w:rsidRPr="00DA3FD2">
        <w:rPr>
          <w:sz w:val="24"/>
          <w:szCs w:val="24"/>
        </w:rPr>
        <w:t xml:space="preserve">Hassan </w:t>
      </w:r>
      <w:proofErr w:type="spellStart"/>
      <w:r w:rsidR="001501C6" w:rsidRPr="00DA3FD2">
        <w:rPr>
          <w:sz w:val="24"/>
          <w:szCs w:val="24"/>
        </w:rPr>
        <w:t>Yaghoobi</w:t>
      </w:r>
      <w:proofErr w:type="spellEnd"/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:rsidR="0003157D" w:rsidRPr="00BB5A95" w:rsidRDefault="0003157D" w:rsidP="00DA3FD2">
      <w:pPr>
        <w:ind w:left="-360"/>
        <w:rPr>
          <w:sz w:val="24"/>
          <w:szCs w:val="24"/>
        </w:rPr>
      </w:pPr>
    </w:p>
    <w:p w:rsidR="0003157D" w:rsidRPr="00DA3FD2" w:rsidRDefault="005A7D3D" w:rsidP="00DA3FD2">
      <w:pPr>
        <w:rPr>
          <w:sz w:val="24"/>
          <w:szCs w:val="24"/>
        </w:rPr>
      </w:pPr>
      <w:r w:rsidRPr="00BB5A95">
        <w:rPr>
          <w:sz w:val="24"/>
          <w:szCs w:val="24"/>
        </w:rPr>
        <w:t xml:space="preserve">Chair presented draft meeting minutes from </w:t>
      </w:r>
      <w:r w:rsidR="002D5A62">
        <w:rPr>
          <w:sz w:val="24"/>
          <w:szCs w:val="24"/>
        </w:rPr>
        <w:t>11</w:t>
      </w:r>
      <w:r w:rsidR="001501C6">
        <w:rPr>
          <w:sz w:val="24"/>
          <w:szCs w:val="24"/>
        </w:rPr>
        <w:t xml:space="preserve"> April 2024</w:t>
      </w:r>
      <w:r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minor updates because of a couple of unintentional typos.</w:t>
      </w:r>
      <w:r w:rsidRPr="00BB5A95">
        <w:rPr>
          <w:sz w:val="24"/>
          <w:szCs w:val="24"/>
        </w:rPr>
        <w:br/>
      </w:r>
      <w:r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 xml:space="preserve">Motion #2 (Internal):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2D5A62">
        <w:rPr>
          <w:bCs/>
          <w:sz w:val="24"/>
          <w:szCs w:val="24"/>
        </w:rPr>
        <w:t>11</w:t>
      </w:r>
      <w:r w:rsidR="001501C6">
        <w:rPr>
          <w:bCs/>
          <w:sz w:val="24"/>
          <w:szCs w:val="24"/>
        </w:rPr>
        <w:t xml:space="preserve"> April</w:t>
      </w:r>
      <w:r w:rsidR="00DA3FD2" w:rsidRPr="00DA3FD2">
        <w:rPr>
          <w:bCs/>
          <w:sz w:val="24"/>
          <w:szCs w:val="24"/>
        </w:rPr>
        <w:t xml:space="preserve"> 2024 RR-TAG call as shown in the document </w:t>
      </w:r>
      <w:hyperlink r:id="rId11" w:history="1">
        <w:r w:rsidR="00DA3FD2" w:rsidRPr="004F2579">
          <w:rPr>
            <w:rStyle w:val="Hyperlink"/>
            <w:bCs/>
            <w:sz w:val="24"/>
            <w:szCs w:val="24"/>
          </w:rPr>
          <w:t>18-24/00</w:t>
        </w:r>
        <w:r w:rsidR="007C269A" w:rsidRPr="004F2579">
          <w:rPr>
            <w:rStyle w:val="Hyperlink"/>
            <w:bCs/>
            <w:sz w:val="24"/>
            <w:szCs w:val="24"/>
          </w:rPr>
          <w:t>4</w:t>
        </w:r>
        <w:r w:rsidR="002D5A62" w:rsidRPr="004F2579">
          <w:rPr>
            <w:rStyle w:val="Hyperlink"/>
            <w:bCs/>
            <w:sz w:val="24"/>
            <w:szCs w:val="24"/>
          </w:rPr>
          <w:t>5</w:t>
        </w:r>
        <w:r w:rsidR="00DA3FD2" w:rsidRPr="004F2579">
          <w:rPr>
            <w:rStyle w:val="Hyperlink"/>
            <w:bCs/>
            <w:sz w:val="24"/>
            <w:szCs w:val="24"/>
          </w:rPr>
          <w:t>r</w:t>
        </w:r>
        <w:r w:rsidR="002D5A62" w:rsidRPr="004F2579">
          <w:rPr>
            <w:rStyle w:val="Hyperlink"/>
            <w:bCs/>
            <w:sz w:val="24"/>
            <w:szCs w:val="24"/>
          </w:rPr>
          <w:t>0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2D5A62">
        <w:rPr>
          <w:sz w:val="24"/>
          <w:szCs w:val="24"/>
        </w:rPr>
        <w:t xml:space="preserve">Al </w:t>
      </w:r>
      <w:proofErr w:type="spellStart"/>
      <w:r w:rsidR="002D5A62">
        <w:rPr>
          <w:sz w:val="24"/>
          <w:szCs w:val="24"/>
        </w:rPr>
        <w:t>Petrick</w:t>
      </w:r>
      <w:proofErr w:type="spellEnd"/>
    </w:p>
    <w:p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2D5A62" w:rsidRPr="00DA3FD2">
        <w:rPr>
          <w:sz w:val="24"/>
          <w:szCs w:val="24"/>
        </w:rPr>
        <w:t xml:space="preserve">Hassan </w:t>
      </w:r>
      <w:proofErr w:type="spellStart"/>
      <w:r w:rsidR="002D5A62" w:rsidRPr="00DA3FD2">
        <w:rPr>
          <w:sz w:val="24"/>
          <w:szCs w:val="24"/>
        </w:rPr>
        <w:t>Yaghoobi</w:t>
      </w:r>
      <w:proofErr w:type="spellEnd"/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</w:p>
    <w:p w:rsidR="0003157D" w:rsidRPr="00DA3FD2" w:rsidRDefault="0003157D" w:rsidP="00DA3FD2">
      <w:pPr>
        <w:tabs>
          <w:tab w:val="left" w:pos="2880"/>
        </w:tabs>
        <w:ind w:left="720"/>
        <w:contextualSpacing/>
        <w:rPr>
          <w:sz w:val="24"/>
          <w:szCs w:val="24"/>
        </w:rPr>
      </w:pPr>
    </w:p>
    <w:p w:rsidR="002145D6" w:rsidRPr="0007487A" w:rsidRDefault="009E3965" w:rsidP="00441522">
      <w:pPr>
        <w:contextualSpacing/>
        <w:jc w:val="both"/>
      </w:pPr>
      <w:r w:rsidRPr="003F3B52">
        <w:rPr>
          <w:sz w:val="24"/>
          <w:szCs w:val="24"/>
        </w:rPr>
        <w:t xml:space="preserve">Chair presents </w:t>
      </w:r>
      <w:r w:rsidR="003F3B52" w:rsidRPr="003F3B52">
        <w:rPr>
          <w:sz w:val="24"/>
          <w:szCs w:val="24"/>
        </w:rPr>
        <w:t xml:space="preserve">the status </w:t>
      </w:r>
      <w:r w:rsidRPr="003F3B52">
        <w:rPr>
          <w:sz w:val="24"/>
          <w:szCs w:val="24"/>
        </w:rPr>
        <w:t>ongoing consultations and upcoming deadlines to the group</w:t>
      </w:r>
      <w:r w:rsidR="003F3B52" w:rsidRPr="003F3B52">
        <w:rPr>
          <w:sz w:val="24"/>
          <w:szCs w:val="24"/>
        </w:rPr>
        <w:t xml:space="preserve"> (</w:t>
      </w:r>
      <w:hyperlink r:id="rId12" w:history="1">
        <w:r w:rsidR="004F2579">
          <w:rPr>
            <w:rStyle w:val="Hyperlink"/>
            <w:sz w:val="24"/>
            <w:szCs w:val="24"/>
          </w:rPr>
          <w:t>18-24/0001r11</w:t>
        </w:r>
      </w:hyperlink>
      <w:r w:rsidR="003F3B52" w:rsidRPr="003F3B52">
        <w:rPr>
          <w:sz w:val="24"/>
          <w:szCs w:val="24"/>
        </w:rPr>
        <w:t>)</w:t>
      </w:r>
      <w:r w:rsidRPr="003F3B52">
        <w:rPr>
          <w:sz w:val="24"/>
          <w:szCs w:val="24"/>
        </w:rPr>
        <w:t>.</w:t>
      </w:r>
      <w:r w:rsidR="00AD0AEC">
        <w:rPr>
          <w:sz w:val="24"/>
          <w:szCs w:val="24"/>
        </w:rPr>
        <w:t xml:space="preserve"> </w:t>
      </w:r>
      <w:r w:rsidR="00A35217">
        <w:rPr>
          <w:sz w:val="24"/>
          <w:szCs w:val="24"/>
        </w:rPr>
        <w:t xml:space="preserve">Chair </w:t>
      </w:r>
      <w:r w:rsidR="004F2579">
        <w:rPr>
          <w:sz w:val="24"/>
          <w:szCs w:val="24"/>
        </w:rPr>
        <w:t>reviews the South Africa ICASA’s consultation and encourages the participants to review and confirms whether an IEEE 802 response is needed</w:t>
      </w:r>
      <w:r w:rsidR="00AD0AEC">
        <w:rPr>
          <w:sz w:val="24"/>
          <w:szCs w:val="24"/>
        </w:rPr>
        <w:t>.</w:t>
      </w:r>
    </w:p>
    <w:p w:rsidR="00B70D65" w:rsidRDefault="00B70D65" w:rsidP="00B70D65">
      <w:pPr>
        <w:contextualSpacing/>
        <w:rPr>
          <w:sz w:val="24"/>
          <w:szCs w:val="24"/>
        </w:rPr>
      </w:pPr>
    </w:p>
    <w:p w:rsidR="00B70D65" w:rsidRDefault="004F2579" w:rsidP="004F257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Hassan </w:t>
      </w:r>
      <w:proofErr w:type="spellStart"/>
      <w:r>
        <w:rPr>
          <w:sz w:val="24"/>
          <w:szCs w:val="24"/>
        </w:rPr>
        <w:t>Yaghoobi</w:t>
      </w:r>
      <w:proofErr w:type="spellEnd"/>
      <w:r>
        <w:rPr>
          <w:sz w:val="24"/>
          <w:szCs w:val="24"/>
        </w:rPr>
        <w:t xml:space="preserve"> (Intel)</w:t>
      </w:r>
      <w:r w:rsidR="00B70D65">
        <w:rPr>
          <w:sz w:val="24"/>
          <w:szCs w:val="24"/>
        </w:rPr>
        <w:t xml:space="preserve"> </w:t>
      </w:r>
      <w:r>
        <w:rPr>
          <w:sz w:val="24"/>
          <w:szCs w:val="24"/>
        </w:rPr>
        <w:t>reviews</w:t>
      </w:r>
      <w:r w:rsidR="00B70D65">
        <w:rPr>
          <w:sz w:val="24"/>
          <w:szCs w:val="24"/>
        </w:rPr>
        <w:t xml:space="preserve"> the updated draft response to </w:t>
      </w:r>
      <w:r>
        <w:rPr>
          <w:sz w:val="24"/>
          <w:szCs w:val="24"/>
        </w:rPr>
        <w:t>Australia ACMA</w:t>
      </w:r>
      <w:r w:rsidR="00B70D65">
        <w:rPr>
          <w:sz w:val="24"/>
          <w:szCs w:val="24"/>
        </w:rPr>
        <w:t>’s consultation (</w:t>
      </w:r>
      <w:hyperlink r:id="rId13" w:history="1">
        <w:r w:rsidR="00B70D65" w:rsidRPr="004F2579">
          <w:rPr>
            <w:rStyle w:val="Hyperlink"/>
            <w:sz w:val="24"/>
            <w:szCs w:val="24"/>
          </w:rPr>
          <w:t>18-24/003</w:t>
        </w:r>
        <w:r w:rsidRPr="004F2579">
          <w:rPr>
            <w:rStyle w:val="Hyperlink"/>
            <w:sz w:val="24"/>
            <w:szCs w:val="24"/>
          </w:rPr>
          <w:t>9</w:t>
        </w:r>
        <w:r w:rsidR="00B70D65" w:rsidRPr="004F2579">
          <w:rPr>
            <w:rStyle w:val="Hyperlink"/>
            <w:sz w:val="24"/>
            <w:szCs w:val="24"/>
          </w:rPr>
          <w:t>r</w:t>
        </w:r>
        <w:r w:rsidRPr="004F2579">
          <w:rPr>
            <w:rStyle w:val="Hyperlink"/>
            <w:sz w:val="24"/>
            <w:szCs w:val="24"/>
          </w:rPr>
          <w:t>4</w:t>
        </w:r>
      </w:hyperlink>
      <w:r w:rsidR="00B70D65">
        <w:rPr>
          <w:sz w:val="24"/>
          <w:szCs w:val="24"/>
        </w:rPr>
        <w:t>).</w:t>
      </w:r>
      <w:r w:rsidR="009B05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There are some discussions on the definition of an AFC device, </w:t>
      </w:r>
      <w:r w:rsidRPr="004F2579">
        <w:rPr>
          <w:sz w:val="24"/>
          <w:szCs w:val="24"/>
        </w:rPr>
        <w:t>and corresponding edits are made during the discu</w:t>
      </w:r>
      <w:r>
        <w:rPr>
          <w:sz w:val="24"/>
          <w:szCs w:val="24"/>
        </w:rPr>
        <w:t xml:space="preserve">ssion which results in </w:t>
      </w:r>
      <w:hyperlink r:id="rId14" w:history="1">
        <w:r w:rsidRPr="004F2579">
          <w:rPr>
            <w:rStyle w:val="Hyperlink"/>
            <w:sz w:val="24"/>
            <w:szCs w:val="24"/>
          </w:rPr>
          <w:t>18-24/0039r5</w:t>
        </w:r>
      </w:hyperlink>
      <w:r w:rsidR="009B0545">
        <w:rPr>
          <w:sz w:val="24"/>
          <w:szCs w:val="24"/>
        </w:rPr>
        <w:t xml:space="preserve">. </w:t>
      </w:r>
    </w:p>
    <w:p w:rsidR="002E1AD1" w:rsidRPr="000B74E9" w:rsidRDefault="002E1AD1" w:rsidP="002E1AD1">
      <w:pPr>
        <w:pStyle w:val="NormalWeb"/>
        <w:spacing w:after="0"/>
        <w:jc w:val="both"/>
        <w:rPr>
          <w:b/>
        </w:rPr>
      </w:pPr>
      <w:r w:rsidRPr="000B74E9">
        <w:rPr>
          <w:b/>
        </w:rPr>
        <w:t xml:space="preserve">Motion #3 (External):  </w:t>
      </w:r>
      <w:r w:rsidR="008D2552" w:rsidRPr="008D2552">
        <w:rPr>
          <w:b/>
        </w:rPr>
        <w:t xml:space="preserve">Move to approve document </w:t>
      </w:r>
      <w:hyperlink r:id="rId15" w:history="1">
        <w:r w:rsidR="008D2552" w:rsidRPr="008D2552">
          <w:rPr>
            <w:rStyle w:val="Hyperlink"/>
            <w:b/>
          </w:rPr>
          <w:t>18-24/0039r5</w:t>
        </w:r>
      </w:hyperlink>
      <w:r w:rsidR="008D2552" w:rsidRPr="008D2552">
        <w:rPr>
          <w:b/>
        </w:rPr>
        <w:t xml:space="preserve"> in response to the Australia Australian Communications and Media Authority (ACMA)’s consultation “Draft Five-year spectrum outlook 2024-29 and 2024-25 work program”, for review and approval by the IEEE 802 </w:t>
      </w:r>
      <w:r w:rsidR="008D2552" w:rsidRPr="008D2552">
        <w:rPr>
          <w:b/>
        </w:rPr>
        <w:lastRenderedPageBreak/>
        <w:t>LMSC for submission to the ACMA before the contribution deadline.  The IEEE 802.18 Chair is authorized to make editorial changes as necessary.</w:t>
      </w:r>
    </w:p>
    <w:p w:rsidR="002E1AD1" w:rsidRPr="002E1AD1" w:rsidRDefault="002E1AD1" w:rsidP="002E1AD1">
      <w:pPr>
        <w:pStyle w:val="NormalWeb"/>
        <w:numPr>
          <w:ilvl w:val="0"/>
          <w:numId w:val="12"/>
        </w:numPr>
        <w:spacing w:before="0" w:after="0"/>
        <w:jc w:val="both"/>
      </w:pPr>
      <w:r w:rsidRPr="002E1AD1">
        <w:t xml:space="preserve">Moved:  Hassan </w:t>
      </w:r>
      <w:proofErr w:type="spellStart"/>
      <w:r w:rsidRPr="002E1AD1">
        <w:t>Yaghoobi</w:t>
      </w:r>
      <w:proofErr w:type="spellEnd"/>
    </w:p>
    <w:p w:rsidR="002E1AD1" w:rsidRPr="002E1AD1" w:rsidRDefault="002E1AD1" w:rsidP="002E1AD1">
      <w:pPr>
        <w:pStyle w:val="NormalWeb"/>
        <w:numPr>
          <w:ilvl w:val="0"/>
          <w:numId w:val="12"/>
        </w:numPr>
        <w:spacing w:before="0" w:after="0"/>
        <w:jc w:val="both"/>
      </w:pPr>
      <w:r w:rsidRPr="002E1AD1">
        <w:t xml:space="preserve">Seconded:  Al </w:t>
      </w:r>
      <w:proofErr w:type="spellStart"/>
      <w:r w:rsidRPr="002E1AD1">
        <w:t>Petrick</w:t>
      </w:r>
      <w:proofErr w:type="spellEnd"/>
    </w:p>
    <w:p w:rsidR="002E1AD1" w:rsidRPr="002E1AD1" w:rsidRDefault="002E1AD1" w:rsidP="002E1AD1">
      <w:pPr>
        <w:pStyle w:val="NormalWeb"/>
        <w:numPr>
          <w:ilvl w:val="0"/>
          <w:numId w:val="12"/>
        </w:numPr>
        <w:spacing w:before="0" w:after="0"/>
        <w:jc w:val="both"/>
      </w:pPr>
      <w:r w:rsidRPr="002E1AD1">
        <w:t>Discussion:  None.</w:t>
      </w:r>
    </w:p>
    <w:p w:rsidR="002E1AD1" w:rsidRPr="002E1AD1" w:rsidRDefault="008D2552" w:rsidP="002E1AD1">
      <w:pPr>
        <w:pStyle w:val="NormalWeb"/>
        <w:numPr>
          <w:ilvl w:val="0"/>
          <w:numId w:val="12"/>
        </w:numPr>
        <w:spacing w:before="0" w:after="0"/>
        <w:jc w:val="both"/>
      </w:pPr>
      <w:r>
        <w:t>Result:  Approved (10</w:t>
      </w:r>
      <w:r w:rsidR="002E1AD1" w:rsidRPr="002E1AD1">
        <w:t xml:space="preserve"> Yes, 0 No, </w:t>
      </w:r>
      <w:r>
        <w:t>1</w:t>
      </w:r>
      <w:r w:rsidR="002E1AD1" w:rsidRPr="002E1AD1">
        <w:t xml:space="preserve"> Abstain)</w:t>
      </w:r>
    </w:p>
    <w:p w:rsidR="00B70D65" w:rsidRDefault="002E1AD1" w:rsidP="002E1AD1">
      <w:pPr>
        <w:pStyle w:val="NormalWeb"/>
        <w:numPr>
          <w:ilvl w:val="0"/>
          <w:numId w:val="12"/>
        </w:numPr>
        <w:spacing w:before="0" w:after="0"/>
        <w:jc w:val="both"/>
      </w:pPr>
      <w:r w:rsidRPr="002E1AD1">
        <w:t>NOTE:  The Chair did not vote</w:t>
      </w:r>
    </w:p>
    <w:p w:rsidR="00047766" w:rsidRDefault="008D2552" w:rsidP="00A35217">
      <w:pPr>
        <w:pStyle w:val="NormalWeb"/>
        <w:spacing w:after="0"/>
        <w:jc w:val="both"/>
        <w:rPr>
          <w:rFonts w:eastAsia="Times New Roman"/>
        </w:rPr>
      </w:pPr>
      <w:r>
        <w:t xml:space="preserve">Vijay </w:t>
      </w:r>
      <w:proofErr w:type="spellStart"/>
      <w:r>
        <w:t>Auluck</w:t>
      </w:r>
      <w:proofErr w:type="spellEnd"/>
      <w:r>
        <w:t xml:space="preserve"> (Self) </w:t>
      </w:r>
      <w:r w:rsidR="00A35217">
        <w:t xml:space="preserve">presents </w:t>
      </w:r>
      <w:r w:rsidR="00E2101D">
        <w:t xml:space="preserve">a draft response to </w:t>
      </w:r>
      <w:r>
        <w:t>Canada RABC</w:t>
      </w:r>
      <w:r w:rsidR="00E2101D">
        <w:t>’s consultation (</w:t>
      </w:r>
      <w:hyperlink r:id="rId16" w:history="1">
        <w:r w:rsidR="000B74E9" w:rsidRPr="008D2552">
          <w:rPr>
            <w:rStyle w:val="Hyperlink"/>
          </w:rPr>
          <w:t>18-24/00</w:t>
        </w:r>
        <w:r w:rsidRPr="008D2552">
          <w:rPr>
            <w:rStyle w:val="Hyperlink"/>
          </w:rPr>
          <w:t>48</w:t>
        </w:r>
        <w:r w:rsidR="000B74E9" w:rsidRPr="008D2552">
          <w:rPr>
            <w:rStyle w:val="Hyperlink"/>
          </w:rPr>
          <w:t>r</w:t>
        </w:r>
        <w:r w:rsidRPr="008D2552">
          <w:rPr>
            <w:rStyle w:val="Hyperlink"/>
          </w:rPr>
          <w:t>1</w:t>
        </w:r>
      </w:hyperlink>
      <w:r w:rsidR="00E2101D">
        <w:t>)</w:t>
      </w:r>
      <w:r w:rsidR="00A35217" w:rsidRPr="00AD0AEC">
        <w:rPr>
          <w:rFonts w:eastAsia="Times New Roman"/>
        </w:rPr>
        <w:t>.</w:t>
      </w:r>
      <w:r w:rsidR="007A095F">
        <w:rPr>
          <w:rFonts w:eastAsia="Times New Roman"/>
        </w:rPr>
        <w:t xml:space="preserve">  Discussion takes place</w:t>
      </w:r>
      <w:r>
        <w:rPr>
          <w:rFonts w:eastAsia="Times New Roman"/>
        </w:rPr>
        <w:t xml:space="preserve">. </w:t>
      </w:r>
      <w:r w:rsidR="000B74E9" w:rsidRPr="00B559A5">
        <w:rPr>
          <w:rFonts w:eastAsia="Times New Roman"/>
          <w:highlight w:val="yellow"/>
        </w:rPr>
        <w:t xml:space="preserve">The authors </w:t>
      </w:r>
      <w:r w:rsidRPr="00B559A5">
        <w:rPr>
          <w:rFonts w:eastAsia="Times New Roman"/>
          <w:highlight w:val="yellow"/>
        </w:rPr>
        <w:t>will update the draft by including an introductory paragraph on IEEE 802.15,3 that will be provided by Ben Rolfe (</w:t>
      </w:r>
      <w:r w:rsidR="00B559A5" w:rsidRPr="00B559A5">
        <w:rPr>
          <w:rFonts w:eastAsia="Times New Roman"/>
          <w:highlight w:val="yellow"/>
        </w:rPr>
        <w:t>Blind Creek Associates</w:t>
      </w:r>
      <w:r w:rsidRPr="00B559A5">
        <w:rPr>
          <w:rFonts w:eastAsia="Times New Roman"/>
          <w:highlight w:val="yellow"/>
        </w:rPr>
        <w:t>).  The Chair will also review if there is a better phrase than “determinism”</w:t>
      </w:r>
      <w:r w:rsidR="000B74E9" w:rsidRPr="00B559A5">
        <w:rPr>
          <w:rFonts w:eastAsia="Times New Roman"/>
          <w:highlight w:val="yellow"/>
        </w:rPr>
        <w:t>.</w:t>
      </w:r>
    </w:p>
    <w:p w:rsidR="00D906A0" w:rsidRDefault="00D906A0">
      <w:pPr>
        <w:contextualSpacing/>
        <w:rPr>
          <w:sz w:val="24"/>
          <w:szCs w:val="24"/>
        </w:rPr>
      </w:pPr>
    </w:p>
    <w:p w:rsidR="00491D25" w:rsidRDefault="00491D25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reports a general discussion item related to </w:t>
      </w:r>
      <w:r w:rsidR="008D2552">
        <w:rPr>
          <w:sz w:val="24"/>
          <w:szCs w:val="24"/>
        </w:rPr>
        <w:t>Vietnam MIC</w:t>
      </w:r>
      <w:r>
        <w:rPr>
          <w:sz w:val="24"/>
          <w:szCs w:val="24"/>
        </w:rPr>
        <w:t>.</w:t>
      </w:r>
    </w:p>
    <w:p w:rsidR="00491D25" w:rsidRDefault="00491D25" w:rsidP="00491D25">
      <w:pPr>
        <w:contextualSpacing/>
        <w:jc w:val="both"/>
        <w:rPr>
          <w:sz w:val="24"/>
          <w:szCs w:val="24"/>
        </w:rPr>
      </w:pPr>
    </w:p>
    <w:p w:rsidR="00806A9E" w:rsidRDefault="00806A9E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reminds the group about the registration and accommodation deadline of the May 2024 wireless interim and the July 2024 plenary.</w:t>
      </w:r>
    </w:p>
    <w:p w:rsidR="00806A9E" w:rsidRDefault="00806A9E" w:rsidP="00491D25">
      <w:pPr>
        <w:contextualSpacing/>
        <w:jc w:val="both"/>
        <w:rPr>
          <w:sz w:val="24"/>
          <w:szCs w:val="24"/>
        </w:rPr>
      </w:pPr>
    </w:p>
    <w:p w:rsidR="00491D25" w:rsidRDefault="00491D25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asks if there is any other business.  None heard.</w:t>
      </w:r>
    </w:p>
    <w:p w:rsidR="00491D25" w:rsidRDefault="00491D25">
      <w:pPr>
        <w:contextualSpacing/>
        <w:rPr>
          <w:sz w:val="24"/>
          <w:szCs w:val="24"/>
        </w:rPr>
      </w:pPr>
    </w:p>
    <w:p w:rsidR="00441522" w:rsidRDefault="00AD0AEC">
      <w:pPr>
        <w:contextualSpacing/>
        <w:rPr>
          <w:sz w:val="24"/>
          <w:szCs w:val="24"/>
        </w:rPr>
      </w:pPr>
      <w:r w:rsidRPr="00AD0AEC">
        <w:rPr>
          <w:sz w:val="24"/>
          <w:szCs w:val="24"/>
        </w:rPr>
        <w:t xml:space="preserve">Any objection to </w:t>
      </w:r>
      <w:r w:rsidR="00441522">
        <w:rPr>
          <w:sz w:val="24"/>
          <w:szCs w:val="24"/>
        </w:rPr>
        <w:t>a</w:t>
      </w:r>
      <w:r w:rsidRPr="00AD0AEC">
        <w:rPr>
          <w:sz w:val="24"/>
          <w:szCs w:val="24"/>
        </w:rPr>
        <w:t>djourn?  None heard.</w:t>
      </w:r>
      <w:r>
        <w:rPr>
          <w:sz w:val="24"/>
          <w:szCs w:val="24"/>
        </w:rPr>
        <w:t xml:space="preserve"> </w:t>
      </w:r>
    </w:p>
    <w:p w:rsidR="00441522" w:rsidRDefault="00441522">
      <w:pPr>
        <w:contextualSpacing/>
        <w:rPr>
          <w:sz w:val="24"/>
          <w:szCs w:val="24"/>
        </w:rPr>
      </w:pPr>
    </w:p>
    <w:p w:rsidR="009157E4" w:rsidRDefault="009157E4" w:rsidP="0044152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 meeting adjourned at 15:5</w:t>
      </w:r>
      <w:r w:rsidR="008D2552">
        <w:rPr>
          <w:sz w:val="24"/>
          <w:szCs w:val="24"/>
        </w:rPr>
        <w:t>2</w:t>
      </w:r>
      <w:r>
        <w:rPr>
          <w:sz w:val="24"/>
          <w:szCs w:val="24"/>
        </w:rPr>
        <w:t xml:space="preserve"> ET.  The next teleconference call is scheduled at 15:00 ET, Thursday, </w:t>
      </w:r>
      <w:r w:rsidR="008D2552">
        <w:rPr>
          <w:sz w:val="24"/>
          <w:szCs w:val="24"/>
        </w:rPr>
        <w:t>25</w:t>
      </w:r>
      <w:r w:rsidR="007A095F">
        <w:rPr>
          <w:sz w:val="24"/>
          <w:szCs w:val="24"/>
        </w:rPr>
        <w:t xml:space="preserve"> April</w:t>
      </w:r>
      <w:r>
        <w:rPr>
          <w:sz w:val="24"/>
          <w:szCs w:val="24"/>
        </w:rPr>
        <w:t xml:space="preserve"> 2024.</w:t>
      </w:r>
    </w:p>
    <w:p w:rsidR="009157E4" w:rsidRDefault="009157E4">
      <w:pPr>
        <w:pStyle w:val="ListParagraph"/>
        <w:ind w:left="0"/>
        <w:rPr>
          <w:b/>
          <w:sz w:val="24"/>
          <w:szCs w:val="24"/>
        </w:rPr>
      </w:pPr>
    </w:p>
    <w:p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</w:t>
      </w:r>
      <w:r>
        <w:rPr>
          <w:rFonts w:eastAsia="Times New Roman"/>
          <w:b/>
          <w:bCs/>
          <w:sz w:val="24"/>
          <w:szCs w:val="24"/>
        </w:rPr>
        <w:t>:</w:t>
      </w:r>
    </w:p>
    <w:p w:rsidR="002145D6" w:rsidRDefault="002145D6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29371D" w:rsidTr="0029371D">
        <w:tc>
          <w:tcPr>
            <w:tcW w:w="288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B07153" w:rsidRPr="006049DE" w:rsidTr="0029371D">
        <w:tc>
          <w:tcPr>
            <w:tcW w:w="2880" w:type="dxa"/>
          </w:tcPr>
          <w:p w:rsidR="00B07153" w:rsidRPr="006049DE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6049DE"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050" w:type="dxa"/>
          </w:tcPr>
          <w:p w:rsidR="00B07153" w:rsidRPr="006049DE" w:rsidRDefault="00B07153" w:rsidP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6049DE">
              <w:rPr>
                <w:rFonts w:eastAsia="Times New Roman"/>
                <w:bCs/>
                <w:sz w:val="20"/>
              </w:rPr>
              <w:t>Huawei Technologies Co., Ltd.</w:t>
            </w:r>
          </w:p>
        </w:tc>
      </w:tr>
      <w:tr w:rsidR="00084A06" w:rsidRPr="00E631E3" w:rsidTr="00655761">
        <w:tc>
          <w:tcPr>
            <w:tcW w:w="2880" w:type="dxa"/>
          </w:tcPr>
          <w:p w:rsidR="00084A06" w:rsidRPr="00E631E3" w:rsidRDefault="00084A06" w:rsidP="0065576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631E3">
              <w:rPr>
                <w:rFonts w:eastAsia="Times New Roman"/>
                <w:bCs/>
                <w:sz w:val="20"/>
              </w:rPr>
              <w:t xml:space="preserve">Vijay </w:t>
            </w:r>
            <w:proofErr w:type="spellStart"/>
            <w:r w:rsidRPr="00E631E3">
              <w:rPr>
                <w:rFonts w:eastAsia="Times New Roman"/>
                <w:bCs/>
                <w:sz w:val="20"/>
              </w:rPr>
              <w:t>Auluck</w:t>
            </w:r>
            <w:proofErr w:type="spellEnd"/>
          </w:p>
        </w:tc>
        <w:tc>
          <w:tcPr>
            <w:tcW w:w="4050" w:type="dxa"/>
          </w:tcPr>
          <w:p w:rsidR="00084A06" w:rsidRPr="00E631E3" w:rsidRDefault="00084A06" w:rsidP="0065576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631E3"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B07153" w:rsidRPr="00A60520" w:rsidTr="0029371D">
        <w:tc>
          <w:tcPr>
            <w:tcW w:w="2880" w:type="dxa"/>
          </w:tcPr>
          <w:p w:rsidR="00B07153" w:rsidRPr="00A60520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A60520">
              <w:rPr>
                <w:rFonts w:eastAsia="Times New Roman"/>
                <w:bCs/>
                <w:sz w:val="20"/>
              </w:rPr>
              <w:t>Yonggang</w:t>
            </w:r>
            <w:proofErr w:type="spellEnd"/>
            <w:r w:rsidRPr="00A60520">
              <w:rPr>
                <w:rFonts w:eastAsia="Times New Roman"/>
                <w:bCs/>
                <w:sz w:val="20"/>
              </w:rPr>
              <w:t xml:space="preserve"> Fang</w:t>
            </w:r>
          </w:p>
        </w:tc>
        <w:tc>
          <w:tcPr>
            <w:tcW w:w="4050" w:type="dxa"/>
          </w:tcPr>
          <w:p w:rsidR="00B07153" w:rsidRPr="00A60520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A60520">
              <w:rPr>
                <w:rFonts w:eastAsia="Times New Roman"/>
                <w:bCs/>
                <w:sz w:val="20"/>
              </w:rPr>
              <w:t>MediaTek</w:t>
            </w:r>
            <w:proofErr w:type="spellEnd"/>
            <w:r w:rsidRPr="00A60520">
              <w:rPr>
                <w:rFonts w:eastAsia="Times New Roman"/>
                <w:bCs/>
                <w:sz w:val="20"/>
              </w:rPr>
              <w:t xml:space="preserve"> Inc.</w:t>
            </w:r>
          </w:p>
        </w:tc>
      </w:tr>
      <w:tr w:rsidR="00C87149" w:rsidRPr="00E631E3" w:rsidTr="00E37059">
        <w:tc>
          <w:tcPr>
            <w:tcW w:w="2880" w:type="dxa"/>
          </w:tcPr>
          <w:p w:rsidR="00C87149" w:rsidRPr="00E631E3" w:rsidRDefault="00C87149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631E3">
              <w:rPr>
                <w:rFonts w:eastAsia="Times New Roman"/>
                <w:bCs/>
                <w:sz w:val="20"/>
              </w:rPr>
              <w:t>Tim Jeffries</w:t>
            </w:r>
          </w:p>
        </w:tc>
        <w:tc>
          <w:tcPr>
            <w:tcW w:w="4050" w:type="dxa"/>
          </w:tcPr>
          <w:p w:rsidR="00C87149" w:rsidRPr="00E631E3" w:rsidRDefault="00C87149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E631E3">
              <w:rPr>
                <w:rFonts w:eastAsia="Times New Roman"/>
                <w:bCs/>
                <w:sz w:val="20"/>
              </w:rPr>
              <w:t>Futurewei</w:t>
            </w:r>
            <w:proofErr w:type="spellEnd"/>
            <w:r w:rsidRPr="00E631E3">
              <w:rPr>
                <w:rFonts w:eastAsia="Times New Roman"/>
                <w:bCs/>
                <w:sz w:val="20"/>
              </w:rPr>
              <w:t xml:space="preserve"> Technologies, Inc.</w:t>
            </w:r>
          </w:p>
        </w:tc>
      </w:tr>
      <w:tr w:rsidR="006049DE" w:rsidRPr="006049DE" w:rsidTr="00AD1D58">
        <w:tc>
          <w:tcPr>
            <w:tcW w:w="2880" w:type="dxa"/>
          </w:tcPr>
          <w:p w:rsidR="006049DE" w:rsidRPr="006049DE" w:rsidRDefault="006049DE" w:rsidP="00AD1D58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6049DE">
              <w:rPr>
                <w:rFonts w:eastAsia="Times New Roman"/>
                <w:bCs/>
                <w:sz w:val="20"/>
              </w:rPr>
              <w:t xml:space="preserve">Carl </w:t>
            </w:r>
            <w:proofErr w:type="spellStart"/>
            <w:r w:rsidRPr="006049DE">
              <w:rPr>
                <w:rFonts w:eastAsia="Times New Roman"/>
                <w:bCs/>
                <w:sz w:val="20"/>
              </w:rPr>
              <w:t>Kain</w:t>
            </w:r>
            <w:proofErr w:type="spellEnd"/>
          </w:p>
        </w:tc>
        <w:tc>
          <w:tcPr>
            <w:tcW w:w="4050" w:type="dxa"/>
          </w:tcPr>
          <w:p w:rsidR="006049DE" w:rsidRPr="006049DE" w:rsidRDefault="006049DE" w:rsidP="00AD1D58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6049DE">
              <w:rPr>
                <w:rFonts w:eastAsia="Times New Roman"/>
                <w:bCs/>
                <w:sz w:val="20"/>
              </w:rPr>
              <w:t xml:space="preserve">USDOT, </w:t>
            </w:r>
            <w:proofErr w:type="spellStart"/>
            <w:r w:rsidRPr="006049DE">
              <w:rPr>
                <w:rFonts w:eastAsia="Times New Roman"/>
                <w:bCs/>
                <w:sz w:val="20"/>
              </w:rPr>
              <w:t>Noblis</w:t>
            </w:r>
            <w:proofErr w:type="spellEnd"/>
            <w:r w:rsidRPr="006049DE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A60520" w:rsidRPr="006049DE" w:rsidTr="00AD1D58">
        <w:tc>
          <w:tcPr>
            <w:tcW w:w="2880" w:type="dxa"/>
          </w:tcPr>
          <w:p w:rsidR="00A60520" w:rsidRPr="006049DE" w:rsidRDefault="00A60520" w:rsidP="00AD1D58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Rich Kennedy</w:t>
            </w:r>
          </w:p>
        </w:tc>
        <w:tc>
          <w:tcPr>
            <w:tcW w:w="4050" w:type="dxa"/>
          </w:tcPr>
          <w:p w:rsidR="00A60520" w:rsidRPr="006049DE" w:rsidRDefault="00A60520" w:rsidP="00AD1D58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Bluetooth SIG</w:t>
            </w:r>
          </w:p>
        </w:tc>
      </w:tr>
      <w:tr w:rsidR="00816CD3" w:rsidRPr="006049DE" w:rsidTr="00E37059">
        <w:tc>
          <w:tcPr>
            <w:tcW w:w="2880" w:type="dxa"/>
          </w:tcPr>
          <w:p w:rsidR="00816CD3" w:rsidRPr="006049DE" w:rsidRDefault="006049DE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John Kenney</w:t>
            </w:r>
          </w:p>
        </w:tc>
        <w:tc>
          <w:tcPr>
            <w:tcW w:w="4050" w:type="dxa"/>
          </w:tcPr>
          <w:p w:rsidR="00816CD3" w:rsidRPr="006049DE" w:rsidRDefault="001911D8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1911D8">
              <w:rPr>
                <w:rFonts w:eastAsia="Times New Roman"/>
                <w:bCs/>
                <w:sz w:val="20"/>
              </w:rPr>
              <w:t xml:space="preserve">TOYOTA </w:t>
            </w:r>
            <w:proofErr w:type="spellStart"/>
            <w:r w:rsidRPr="001911D8">
              <w:rPr>
                <w:rFonts w:eastAsia="Times New Roman"/>
                <w:bCs/>
                <w:sz w:val="20"/>
              </w:rPr>
              <w:t>InfoTechnology</w:t>
            </w:r>
            <w:proofErr w:type="spellEnd"/>
            <w:r w:rsidRPr="001911D8">
              <w:rPr>
                <w:rFonts w:eastAsia="Times New Roman"/>
                <w:bCs/>
                <w:sz w:val="20"/>
              </w:rPr>
              <w:t xml:space="preserve"> Center U.S.A.</w:t>
            </w:r>
          </w:p>
        </w:tc>
      </w:tr>
      <w:tr w:rsidR="00E631E3" w:rsidRPr="00E631E3" w:rsidTr="00AD1D58">
        <w:tc>
          <w:tcPr>
            <w:tcW w:w="2880" w:type="dxa"/>
          </w:tcPr>
          <w:p w:rsidR="00E631E3" w:rsidRPr="00E631E3" w:rsidRDefault="00E631E3" w:rsidP="00AD1D58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631E3">
              <w:rPr>
                <w:rFonts w:eastAsia="Times New Roman"/>
                <w:bCs/>
                <w:sz w:val="20"/>
              </w:rPr>
              <w:t xml:space="preserve">Gaurav </w:t>
            </w:r>
            <w:proofErr w:type="spellStart"/>
            <w:r w:rsidRPr="00E631E3">
              <w:rPr>
                <w:rFonts w:eastAsia="Times New Roman"/>
                <w:bCs/>
                <w:sz w:val="20"/>
              </w:rPr>
              <w:t>Patwardhan</w:t>
            </w:r>
            <w:proofErr w:type="spellEnd"/>
          </w:p>
        </w:tc>
        <w:tc>
          <w:tcPr>
            <w:tcW w:w="4050" w:type="dxa"/>
          </w:tcPr>
          <w:p w:rsidR="00E631E3" w:rsidRPr="00E631E3" w:rsidRDefault="00E631E3" w:rsidP="00AD1D58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631E3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B07153" w:rsidRPr="00E631E3" w:rsidTr="0029371D">
        <w:tc>
          <w:tcPr>
            <w:tcW w:w="2880" w:type="dxa"/>
          </w:tcPr>
          <w:p w:rsidR="00B07153" w:rsidRPr="00E631E3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631E3">
              <w:rPr>
                <w:rFonts w:eastAsia="Times New Roman"/>
                <w:bCs/>
                <w:sz w:val="20"/>
              </w:rPr>
              <w:t xml:space="preserve">Al </w:t>
            </w:r>
            <w:proofErr w:type="spellStart"/>
            <w:r w:rsidRPr="00E631E3">
              <w:rPr>
                <w:rFonts w:eastAsia="Times New Roman"/>
                <w:bCs/>
                <w:sz w:val="20"/>
              </w:rPr>
              <w:t>Petrick</w:t>
            </w:r>
            <w:proofErr w:type="spellEnd"/>
          </w:p>
        </w:tc>
        <w:tc>
          <w:tcPr>
            <w:tcW w:w="4050" w:type="dxa"/>
          </w:tcPr>
          <w:p w:rsidR="00B07153" w:rsidRPr="00E631E3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E631E3">
              <w:rPr>
                <w:rFonts w:eastAsia="Times New Roman"/>
                <w:bCs/>
                <w:sz w:val="20"/>
              </w:rPr>
              <w:t>Skywork</w:t>
            </w:r>
            <w:proofErr w:type="spellEnd"/>
            <w:r w:rsidRPr="00E631E3">
              <w:rPr>
                <w:rFonts w:eastAsia="Times New Roman"/>
                <w:bCs/>
                <w:sz w:val="20"/>
              </w:rPr>
              <w:t xml:space="preserve"> Solutions</w:t>
            </w:r>
            <w:r w:rsidR="0009632E" w:rsidRPr="00E631E3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8125E9" w:rsidRPr="00E631E3" w:rsidTr="00BC59CA">
        <w:tc>
          <w:tcPr>
            <w:tcW w:w="2880" w:type="dxa"/>
          </w:tcPr>
          <w:p w:rsidR="008125E9" w:rsidRPr="00E631E3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E631E3">
              <w:rPr>
                <w:rFonts w:eastAsia="Times New Roman"/>
                <w:bCs/>
                <w:sz w:val="20"/>
              </w:rPr>
              <w:t>Riku</w:t>
            </w:r>
            <w:proofErr w:type="spellEnd"/>
            <w:r w:rsidRPr="00E631E3">
              <w:rPr>
                <w:rFonts w:eastAsia="Times New Roman"/>
                <w:bCs/>
                <w:sz w:val="20"/>
              </w:rPr>
              <w:t xml:space="preserve"> </w:t>
            </w:r>
            <w:proofErr w:type="spellStart"/>
            <w:r w:rsidRPr="00E631E3">
              <w:rPr>
                <w:rFonts w:eastAsia="Times New Roman"/>
                <w:bCs/>
                <w:sz w:val="20"/>
              </w:rPr>
              <w:t>Pirhonen</w:t>
            </w:r>
            <w:proofErr w:type="spellEnd"/>
          </w:p>
        </w:tc>
        <w:tc>
          <w:tcPr>
            <w:tcW w:w="4050" w:type="dxa"/>
          </w:tcPr>
          <w:p w:rsidR="008125E9" w:rsidRPr="00E631E3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631E3">
              <w:rPr>
                <w:rFonts w:eastAsia="Times New Roman"/>
                <w:bCs/>
                <w:sz w:val="20"/>
              </w:rPr>
              <w:t>NXP</w:t>
            </w:r>
          </w:p>
        </w:tc>
      </w:tr>
      <w:tr w:rsidR="00816CD3" w:rsidRPr="00B559A5" w:rsidTr="00E37059">
        <w:tc>
          <w:tcPr>
            <w:tcW w:w="2880" w:type="dxa"/>
          </w:tcPr>
          <w:p w:rsidR="00816CD3" w:rsidRPr="00B559A5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559A5">
              <w:rPr>
                <w:rFonts w:eastAsia="Times New Roman"/>
                <w:bCs/>
                <w:sz w:val="20"/>
              </w:rPr>
              <w:t>Ben Rolfe</w:t>
            </w:r>
          </w:p>
        </w:tc>
        <w:tc>
          <w:tcPr>
            <w:tcW w:w="4050" w:type="dxa"/>
          </w:tcPr>
          <w:p w:rsidR="00816CD3" w:rsidRPr="00B559A5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559A5">
              <w:rPr>
                <w:rFonts w:eastAsia="Times New Roman"/>
                <w:bCs/>
                <w:sz w:val="20"/>
              </w:rPr>
              <w:t>Blind Creek Associates</w:t>
            </w:r>
          </w:p>
        </w:tc>
      </w:tr>
      <w:tr w:rsidR="00C42EA6" w:rsidRPr="00E631E3" w:rsidTr="00E37059">
        <w:tc>
          <w:tcPr>
            <w:tcW w:w="2880" w:type="dxa"/>
          </w:tcPr>
          <w:p w:rsidR="00C42EA6" w:rsidRPr="00E631E3" w:rsidRDefault="00C42EA6" w:rsidP="00C42EA6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bookmarkStart w:id="0" w:name="_GoBack"/>
            <w:bookmarkEnd w:id="0"/>
            <w:r w:rsidRPr="00E631E3">
              <w:rPr>
                <w:rFonts w:eastAsia="Times New Roman"/>
                <w:bCs/>
                <w:sz w:val="20"/>
              </w:rPr>
              <w:t>Dorothy Stanley</w:t>
            </w:r>
          </w:p>
        </w:tc>
        <w:tc>
          <w:tcPr>
            <w:tcW w:w="4050" w:type="dxa"/>
          </w:tcPr>
          <w:p w:rsidR="00C42EA6" w:rsidRPr="00E631E3" w:rsidRDefault="00C42EA6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631E3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4F7F5F" w:rsidRPr="00E631E3" w:rsidTr="00E37059">
        <w:tc>
          <w:tcPr>
            <w:tcW w:w="2880" w:type="dxa"/>
          </w:tcPr>
          <w:p w:rsidR="004F7F5F" w:rsidRPr="00E631E3" w:rsidRDefault="004F7F5F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631E3">
              <w:rPr>
                <w:rFonts w:eastAsia="Times New Roman"/>
                <w:bCs/>
                <w:sz w:val="20"/>
              </w:rPr>
              <w:t>Lei Wang</w:t>
            </w:r>
          </w:p>
        </w:tc>
        <w:tc>
          <w:tcPr>
            <w:tcW w:w="4050" w:type="dxa"/>
          </w:tcPr>
          <w:p w:rsidR="004F7F5F" w:rsidRPr="00E631E3" w:rsidRDefault="004F7F5F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E631E3">
              <w:rPr>
                <w:rFonts w:eastAsia="Times New Roman"/>
                <w:bCs/>
                <w:sz w:val="20"/>
              </w:rPr>
              <w:t>Futurewei</w:t>
            </w:r>
            <w:proofErr w:type="spellEnd"/>
            <w:r w:rsidR="00F31F8D" w:rsidRPr="00E631E3">
              <w:rPr>
                <w:rFonts w:eastAsia="Times New Roman"/>
                <w:bCs/>
                <w:sz w:val="20"/>
              </w:rPr>
              <w:t xml:space="preserve"> Technologies</w:t>
            </w:r>
            <w:r w:rsidR="00201626" w:rsidRPr="00E631E3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E631E3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631E3">
              <w:rPr>
                <w:rFonts w:eastAsia="Times New Roman"/>
                <w:bCs/>
                <w:sz w:val="20"/>
              </w:rPr>
              <w:t xml:space="preserve">Hassan </w:t>
            </w:r>
            <w:proofErr w:type="spellStart"/>
            <w:r w:rsidRPr="00E631E3">
              <w:rPr>
                <w:rFonts w:eastAsia="Times New Roman"/>
                <w:bCs/>
                <w:sz w:val="20"/>
              </w:rPr>
              <w:t>Yaghoobi</w:t>
            </w:r>
            <w:proofErr w:type="spellEnd"/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631E3">
              <w:rPr>
                <w:rFonts w:eastAsia="Times New Roman"/>
                <w:bCs/>
                <w:sz w:val="20"/>
              </w:rPr>
              <w:t>Intel Corporation</w:t>
            </w:r>
          </w:p>
        </w:tc>
      </w:tr>
    </w:tbl>
    <w:p w:rsidR="00B07153" w:rsidRDefault="00B07153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7"/>
      <w:footerReference w:type="default" r:id="rId18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E2" w:rsidRDefault="00D02AE2">
      <w:r>
        <w:separator/>
      </w:r>
    </w:p>
  </w:endnote>
  <w:endnote w:type="continuationSeparator" w:id="0">
    <w:p w:rsidR="00D02AE2" w:rsidRDefault="00D0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684B29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721C94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721C94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E2" w:rsidRDefault="00D02AE2">
      <w:r>
        <w:separator/>
      </w:r>
    </w:p>
  </w:footnote>
  <w:footnote w:type="continuationSeparator" w:id="0">
    <w:p w:rsidR="00D02AE2" w:rsidRDefault="00D02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731823">
    <w:pPr>
      <w:pStyle w:val="Header"/>
      <w:tabs>
        <w:tab w:val="clear" w:pos="6480"/>
        <w:tab w:val="center" w:pos="4680"/>
        <w:tab w:val="right" w:pos="9990"/>
      </w:tabs>
    </w:pPr>
    <w:r>
      <w:t>April</w:t>
    </w:r>
    <w:r w:rsidR="00F108EB">
      <w:t xml:space="preserve"> 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F108EB">
      <w:t>00</w:t>
    </w:r>
    <w:r>
      <w:t>4</w:t>
    </w:r>
    <w:r w:rsidR="002D5A62">
      <w:t>9</w:t>
    </w:r>
    <w:r w:rsidR="005A7D3D">
      <w:t>r</w:t>
    </w:r>
    <w:r w:rsidR="00D474BB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7D"/>
    <w:rsid w:val="00000473"/>
    <w:rsid w:val="0001420D"/>
    <w:rsid w:val="000216D9"/>
    <w:rsid w:val="00023465"/>
    <w:rsid w:val="000303DB"/>
    <w:rsid w:val="0003157D"/>
    <w:rsid w:val="0003342E"/>
    <w:rsid w:val="00034533"/>
    <w:rsid w:val="00035389"/>
    <w:rsid w:val="00047766"/>
    <w:rsid w:val="00055C42"/>
    <w:rsid w:val="0007487A"/>
    <w:rsid w:val="00081286"/>
    <w:rsid w:val="00083A35"/>
    <w:rsid w:val="00084A06"/>
    <w:rsid w:val="000854B8"/>
    <w:rsid w:val="0009632E"/>
    <w:rsid w:val="000A1E80"/>
    <w:rsid w:val="000B282E"/>
    <w:rsid w:val="000B5DCF"/>
    <w:rsid w:val="000B74E9"/>
    <w:rsid w:val="000B7671"/>
    <w:rsid w:val="000C00BA"/>
    <w:rsid w:val="000D25BC"/>
    <w:rsid w:val="000D7203"/>
    <w:rsid w:val="000F1B44"/>
    <w:rsid w:val="0010213C"/>
    <w:rsid w:val="00103AF1"/>
    <w:rsid w:val="001076E0"/>
    <w:rsid w:val="00107790"/>
    <w:rsid w:val="00127139"/>
    <w:rsid w:val="00127EF7"/>
    <w:rsid w:val="00131F4A"/>
    <w:rsid w:val="001406A0"/>
    <w:rsid w:val="001501C6"/>
    <w:rsid w:val="00154450"/>
    <w:rsid w:val="00180DB9"/>
    <w:rsid w:val="00182D7F"/>
    <w:rsid w:val="001848D0"/>
    <w:rsid w:val="00186616"/>
    <w:rsid w:val="00187C8B"/>
    <w:rsid w:val="001911D8"/>
    <w:rsid w:val="001A02CE"/>
    <w:rsid w:val="001C068B"/>
    <w:rsid w:val="001E0F4A"/>
    <w:rsid w:val="001E760C"/>
    <w:rsid w:val="001F58A5"/>
    <w:rsid w:val="002008CB"/>
    <w:rsid w:val="00201626"/>
    <w:rsid w:val="002051A0"/>
    <w:rsid w:val="002145D6"/>
    <w:rsid w:val="00224DC6"/>
    <w:rsid w:val="002337FD"/>
    <w:rsid w:val="00233AF0"/>
    <w:rsid w:val="00260977"/>
    <w:rsid w:val="002716F2"/>
    <w:rsid w:val="002727F3"/>
    <w:rsid w:val="00274761"/>
    <w:rsid w:val="00281CA1"/>
    <w:rsid w:val="0029371D"/>
    <w:rsid w:val="002A47B0"/>
    <w:rsid w:val="002B0D03"/>
    <w:rsid w:val="002C07EF"/>
    <w:rsid w:val="002D41CA"/>
    <w:rsid w:val="002D5A62"/>
    <w:rsid w:val="002D73B6"/>
    <w:rsid w:val="002E09CE"/>
    <w:rsid w:val="002E1AD1"/>
    <w:rsid w:val="002F7422"/>
    <w:rsid w:val="003060FF"/>
    <w:rsid w:val="003331E1"/>
    <w:rsid w:val="00336DBC"/>
    <w:rsid w:val="003378E6"/>
    <w:rsid w:val="00342103"/>
    <w:rsid w:val="00347BC3"/>
    <w:rsid w:val="00360586"/>
    <w:rsid w:val="00362B5F"/>
    <w:rsid w:val="00376F10"/>
    <w:rsid w:val="00392F53"/>
    <w:rsid w:val="00393326"/>
    <w:rsid w:val="003A13B9"/>
    <w:rsid w:val="003F3B52"/>
    <w:rsid w:val="003F4ABB"/>
    <w:rsid w:val="00405ECD"/>
    <w:rsid w:val="0041085C"/>
    <w:rsid w:val="00411AC5"/>
    <w:rsid w:val="00413210"/>
    <w:rsid w:val="00413A01"/>
    <w:rsid w:val="00417972"/>
    <w:rsid w:val="00441522"/>
    <w:rsid w:val="00455530"/>
    <w:rsid w:val="00461F7D"/>
    <w:rsid w:val="00465273"/>
    <w:rsid w:val="00474079"/>
    <w:rsid w:val="004809B3"/>
    <w:rsid w:val="00491D25"/>
    <w:rsid w:val="0049422B"/>
    <w:rsid w:val="0049736E"/>
    <w:rsid w:val="004A41A5"/>
    <w:rsid w:val="004C7F27"/>
    <w:rsid w:val="004D1FB4"/>
    <w:rsid w:val="004D6244"/>
    <w:rsid w:val="004F1A5B"/>
    <w:rsid w:val="004F1B8C"/>
    <w:rsid w:val="004F2579"/>
    <w:rsid w:val="004F2FEB"/>
    <w:rsid w:val="004F7F5F"/>
    <w:rsid w:val="005229BF"/>
    <w:rsid w:val="00543E9A"/>
    <w:rsid w:val="00553279"/>
    <w:rsid w:val="0056395A"/>
    <w:rsid w:val="00575C51"/>
    <w:rsid w:val="00587E77"/>
    <w:rsid w:val="005A1274"/>
    <w:rsid w:val="005A25AD"/>
    <w:rsid w:val="005A7D3D"/>
    <w:rsid w:val="005B28DF"/>
    <w:rsid w:val="005B6259"/>
    <w:rsid w:val="005C3ABD"/>
    <w:rsid w:val="005E17E0"/>
    <w:rsid w:val="005F4717"/>
    <w:rsid w:val="00602F43"/>
    <w:rsid w:val="006049DE"/>
    <w:rsid w:val="00605EBF"/>
    <w:rsid w:val="006103F6"/>
    <w:rsid w:val="00614EA6"/>
    <w:rsid w:val="006228DA"/>
    <w:rsid w:val="0062363F"/>
    <w:rsid w:val="00627E64"/>
    <w:rsid w:val="00641690"/>
    <w:rsid w:val="0064720E"/>
    <w:rsid w:val="00684B29"/>
    <w:rsid w:val="0068732D"/>
    <w:rsid w:val="00693143"/>
    <w:rsid w:val="00693C6C"/>
    <w:rsid w:val="0069536D"/>
    <w:rsid w:val="006A1C81"/>
    <w:rsid w:val="006E4706"/>
    <w:rsid w:val="006E4DAD"/>
    <w:rsid w:val="006E71F6"/>
    <w:rsid w:val="006F5C07"/>
    <w:rsid w:val="007037E5"/>
    <w:rsid w:val="00721C94"/>
    <w:rsid w:val="007262D4"/>
    <w:rsid w:val="00731823"/>
    <w:rsid w:val="00732548"/>
    <w:rsid w:val="00735A91"/>
    <w:rsid w:val="00743F72"/>
    <w:rsid w:val="00750FFE"/>
    <w:rsid w:val="0075369B"/>
    <w:rsid w:val="00754F4C"/>
    <w:rsid w:val="00762A3C"/>
    <w:rsid w:val="00780817"/>
    <w:rsid w:val="007A095F"/>
    <w:rsid w:val="007A4D36"/>
    <w:rsid w:val="007B4459"/>
    <w:rsid w:val="007C269A"/>
    <w:rsid w:val="007C5087"/>
    <w:rsid w:val="007C53B6"/>
    <w:rsid w:val="007E5766"/>
    <w:rsid w:val="007E700C"/>
    <w:rsid w:val="007F276B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72F1"/>
    <w:rsid w:val="00845800"/>
    <w:rsid w:val="00851E5F"/>
    <w:rsid w:val="00853FC1"/>
    <w:rsid w:val="00856438"/>
    <w:rsid w:val="0086345E"/>
    <w:rsid w:val="00863F29"/>
    <w:rsid w:val="00887467"/>
    <w:rsid w:val="008962F8"/>
    <w:rsid w:val="008A40DF"/>
    <w:rsid w:val="008A6C58"/>
    <w:rsid w:val="008B1920"/>
    <w:rsid w:val="008C42C0"/>
    <w:rsid w:val="008D2552"/>
    <w:rsid w:val="008D6ED6"/>
    <w:rsid w:val="008E035F"/>
    <w:rsid w:val="008E248B"/>
    <w:rsid w:val="008E2940"/>
    <w:rsid w:val="008F2C98"/>
    <w:rsid w:val="008F48AA"/>
    <w:rsid w:val="00902C9C"/>
    <w:rsid w:val="00910186"/>
    <w:rsid w:val="009157E4"/>
    <w:rsid w:val="00937692"/>
    <w:rsid w:val="00950044"/>
    <w:rsid w:val="0095200F"/>
    <w:rsid w:val="009524ED"/>
    <w:rsid w:val="00961C78"/>
    <w:rsid w:val="00967F06"/>
    <w:rsid w:val="00974A6E"/>
    <w:rsid w:val="0099389F"/>
    <w:rsid w:val="009B0545"/>
    <w:rsid w:val="009D0E16"/>
    <w:rsid w:val="009E050E"/>
    <w:rsid w:val="009E3965"/>
    <w:rsid w:val="009E3A77"/>
    <w:rsid w:val="009E651D"/>
    <w:rsid w:val="009F413D"/>
    <w:rsid w:val="009F46D5"/>
    <w:rsid w:val="00A35217"/>
    <w:rsid w:val="00A60520"/>
    <w:rsid w:val="00A709B7"/>
    <w:rsid w:val="00A70AF8"/>
    <w:rsid w:val="00AB079C"/>
    <w:rsid w:val="00AB083F"/>
    <w:rsid w:val="00AD0AEC"/>
    <w:rsid w:val="00AD34B8"/>
    <w:rsid w:val="00AF1FDF"/>
    <w:rsid w:val="00AF2DAA"/>
    <w:rsid w:val="00B01DBA"/>
    <w:rsid w:val="00B02773"/>
    <w:rsid w:val="00B07153"/>
    <w:rsid w:val="00B15488"/>
    <w:rsid w:val="00B17B31"/>
    <w:rsid w:val="00B22D83"/>
    <w:rsid w:val="00B37C26"/>
    <w:rsid w:val="00B51957"/>
    <w:rsid w:val="00B559A5"/>
    <w:rsid w:val="00B70D65"/>
    <w:rsid w:val="00BA18FD"/>
    <w:rsid w:val="00BA6F8E"/>
    <w:rsid w:val="00BB38E4"/>
    <w:rsid w:val="00BB5A95"/>
    <w:rsid w:val="00BC1B6F"/>
    <w:rsid w:val="00BE581D"/>
    <w:rsid w:val="00BE644E"/>
    <w:rsid w:val="00BF0B11"/>
    <w:rsid w:val="00BF10E7"/>
    <w:rsid w:val="00C07A9F"/>
    <w:rsid w:val="00C10DF6"/>
    <w:rsid w:val="00C156B6"/>
    <w:rsid w:val="00C3334D"/>
    <w:rsid w:val="00C34AD3"/>
    <w:rsid w:val="00C37909"/>
    <w:rsid w:val="00C42EA6"/>
    <w:rsid w:val="00C43976"/>
    <w:rsid w:val="00C63CED"/>
    <w:rsid w:val="00C73BCD"/>
    <w:rsid w:val="00C750A7"/>
    <w:rsid w:val="00C755D2"/>
    <w:rsid w:val="00C87149"/>
    <w:rsid w:val="00C9116B"/>
    <w:rsid w:val="00C92BBA"/>
    <w:rsid w:val="00C933B7"/>
    <w:rsid w:val="00CA419F"/>
    <w:rsid w:val="00CA51D7"/>
    <w:rsid w:val="00CA74D3"/>
    <w:rsid w:val="00CB2B3A"/>
    <w:rsid w:val="00CC0A8A"/>
    <w:rsid w:val="00CC442E"/>
    <w:rsid w:val="00CD22BB"/>
    <w:rsid w:val="00CD6CBE"/>
    <w:rsid w:val="00CE5B44"/>
    <w:rsid w:val="00CF47F0"/>
    <w:rsid w:val="00D02AE2"/>
    <w:rsid w:val="00D35EBB"/>
    <w:rsid w:val="00D40EEA"/>
    <w:rsid w:val="00D463C1"/>
    <w:rsid w:val="00D474BB"/>
    <w:rsid w:val="00D72902"/>
    <w:rsid w:val="00D83414"/>
    <w:rsid w:val="00D906A0"/>
    <w:rsid w:val="00D91972"/>
    <w:rsid w:val="00DA3FD2"/>
    <w:rsid w:val="00DA48AD"/>
    <w:rsid w:val="00DB6E2D"/>
    <w:rsid w:val="00DC6605"/>
    <w:rsid w:val="00DC7CE3"/>
    <w:rsid w:val="00DD3A66"/>
    <w:rsid w:val="00DE1F97"/>
    <w:rsid w:val="00DE288B"/>
    <w:rsid w:val="00DE3762"/>
    <w:rsid w:val="00DE4DCC"/>
    <w:rsid w:val="00E20173"/>
    <w:rsid w:val="00E2101D"/>
    <w:rsid w:val="00E2350C"/>
    <w:rsid w:val="00E36F4E"/>
    <w:rsid w:val="00E52F07"/>
    <w:rsid w:val="00E5588D"/>
    <w:rsid w:val="00E5601E"/>
    <w:rsid w:val="00E61691"/>
    <w:rsid w:val="00E631E3"/>
    <w:rsid w:val="00E816D5"/>
    <w:rsid w:val="00E87F88"/>
    <w:rsid w:val="00E920C9"/>
    <w:rsid w:val="00EB6906"/>
    <w:rsid w:val="00EB7C70"/>
    <w:rsid w:val="00EC14A2"/>
    <w:rsid w:val="00EF3DFB"/>
    <w:rsid w:val="00F032E8"/>
    <w:rsid w:val="00F03AC2"/>
    <w:rsid w:val="00F108EB"/>
    <w:rsid w:val="00F1228A"/>
    <w:rsid w:val="00F1732A"/>
    <w:rsid w:val="00F20F43"/>
    <w:rsid w:val="00F22374"/>
    <w:rsid w:val="00F31F8D"/>
    <w:rsid w:val="00F41D68"/>
    <w:rsid w:val="00F42C36"/>
    <w:rsid w:val="00F44230"/>
    <w:rsid w:val="00F45CB6"/>
    <w:rsid w:val="00F47128"/>
    <w:rsid w:val="00F7197D"/>
    <w:rsid w:val="00FA60AE"/>
    <w:rsid w:val="00FB5B96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39-04-0000-proposed-response-to-draft-acma-five-year-spectrum-outlook-2024-29-and-2024-25-work-program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001-11-0000-status-of-ongoing-consultations-and-tag-documents-for-approval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4/18-24-0048-01-0000-proposed-response-to-canada-ised-s-consultation-re-draft-rss-210-issue-11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4/18-24-0045-00-0000-rr-tag-minutes-11-april-20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4/18-24-0039-05-0000-proposed-response-to-draft-acma-five-year-spectrum-outlook-2024-29-and-2024-25-work-program.docx" TargetMode="External"/><Relationship Id="rId10" Type="http://schemas.openxmlformats.org/officeDocument/2006/relationships/hyperlink" Target="https://imat.ieee.org/attendanc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046-01-0000-rr-tag-agenda-18-april-2024.pptx" TargetMode="External"/><Relationship Id="rId14" Type="http://schemas.openxmlformats.org/officeDocument/2006/relationships/hyperlink" Target="https://mentor.ieee.org/802.18/dcn/24/18-24-0039-05-0000-proposed-response-to-draft-acma-five-year-spectrum-outlook-2024-29-and-2024-25-work-progra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F31CE-F0B4-4BA4-A364-0F7E82FE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- 11 April 2024</vt:lpstr>
    </vt:vector>
  </TitlesOfParts>
  <Company/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- 18 April 2024</dc:title>
  <dc:subject>RR-TAG Minutes</dc:subject>
  <dc:creator>author</dc:creator>
  <cp:keywords>18-24/0049r0</cp:keywords>
  <dc:description/>
  <cp:lastModifiedBy>Edward Au</cp:lastModifiedBy>
  <cp:revision>57</cp:revision>
  <cp:lastPrinted>2012-05-15T22:13:00Z</cp:lastPrinted>
  <dcterms:created xsi:type="dcterms:W3CDTF">2024-03-22T21:22:00Z</dcterms:created>
  <dcterms:modified xsi:type="dcterms:W3CDTF">2024-04-18T20:26:00Z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