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bookmarkStart w:id="0" w:name="_GoBack"/>
      <w:bookmarkEnd w:id="0"/>
      <w:r>
        <w:t>IEEE P802.18</w:t>
      </w:r>
      <w:r>
        <w:br/>
        <w:t>Radio Regulatory Technical Advisory Group (RR-TAG)</w:t>
      </w:r>
    </w:p>
    <w:tbl>
      <w:tblPr>
        <w:tblW w:w="9576" w:type="dxa"/>
        <w:jc w:val="center"/>
        <w:tblLayout w:type="fixed"/>
        <w:tblLook w:val="0000" w:firstRow="0" w:lastRow="0" w:firstColumn="0" w:lastColumn="0" w:noHBand="0" w:noVBand="0"/>
      </w:tblPr>
      <w:tblGrid>
        <w:gridCol w:w="1908"/>
        <w:gridCol w:w="1710"/>
        <w:gridCol w:w="2137"/>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4809B3" w:rsidP="007B4459">
            <w:pPr>
              <w:pStyle w:val="T2"/>
              <w:widowControl w:val="0"/>
              <w:spacing w:after="120"/>
            </w:pPr>
            <w:r>
              <w:t>2 November</w:t>
            </w:r>
            <w:r w:rsidR="005A7D3D">
              <w:t xml:space="preserve"> 2023</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4809B3">
            <w:pPr>
              <w:pStyle w:val="T2"/>
              <w:widowControl w:val="0"/>
              <w:ind w:left="0"/>
            </w:pPr>
            <w:r>
              <w:rPr>
                <w:sz w:val="20"/>
              </w:rPr>
              <w:t>Date:</w:t>
            </w:r>
            <w:r>
              <w:rPr>
                <w:b w:val="0"/>
                <w:sz w:val="20"/>
              </w:rPr>
              <w:t xml:space="preserve">  </w:t>
            </w:r>
            <w:r w:rsidR="004809B3">
              <w:rPr>
                <w:b w:val="0"/>
                <w:sz w:val="20"/>
              </w:rPr>
              <w:t>3 November</w:t>
            </w:r>
            <w:r w:rsidR="000D25BC">
              <w:rPr>
                <w:b w:val="0"/>
                <w:sz w:val="20"/>
              </w:rPr>
              <w:t xml:space="preserve"> </w:t>
            </w:r>
            <w:r>
              <w:rPr>
                <w:b w:val="0"/>
                <w:sz w:val="20"/>
              </w:rPr>
              <w:t>2023</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171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2137"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 Au</w:t>
            </w:r>
          </w:p>
        </w:tc>
        <w:tc>
          <w:tcPr>
            <w:tcW w:w="1710"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Huawei</w:t>
            </w:r>
          </w:p>
        </w:tc>
        <w:tc>
          <w:tcPr>
            <w:tcW w:w="2137" w:type="dxa"/>
            <w:tcBorders>
              <w:top w:val="single" w:sz="4" w:space="0" w:color="000000"/>
              <w:left w:val="single" w:sz="4" w:space="0" w:color="000000"/>
              <w:bottom w:val="single" w:sz="4" w:space="0" w:color="000000"/>
              <w:right w:val="single" w:sz="4" w:space="0" w:color="000000"/>
            </w:tcBorders>
          </w:tcPr>
          <w:p w:rsidR="0003157D" w:rsidRPr="004A41A5" w:rsidRDefault="00260977">
            <w:pPr>
              <w:widowControl w:val="0"/>
              <w:rPr>
                <w:sz w:val="20"/>
              </w:rPr>
            </w:pPr>
            <w:r>
              <w:rPr>
                <w:sz w:val="20"/>
              </w:rPr>
              <w:t xml:space="preserve">Ottawa, ON, </w:t>
            </w:r>
            <w:r w:rsidR="004A41A5"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4809B3">
                              <w:rPr>
                                <w:color w:val="000000"/>
                              </w:rPr>
                              <w:t>2 November</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4809B3">
                        <w:rPr>
                          <w:color w:val="000000"/>
                        </w:rPr>
                        <w:t>2 November</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(Comcast)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w:t>
      </w:r>
      <w:r w:rsidR="009F46D5">
        <w:rPr>
          <w:rStyle w:val="Internetlnk"/>
          <w:b w:val="0"/>
          <w:color w:val="000000"/>
          <w:sz w:val="24"/>
          <w:szCs w:val="24"/>
          <w:u w:val="none"/>
        </w:rPr>
        <w:t>VACANT</w:t>
      </w:r>
    </w:p>
    <w:p w:rsidR="0003157D" w:rsidRDefault="005A7D3D">
      <w:pPr>
        <w:pStyle w:val="T1"/>
        <w:spacing w:after="120"/>
        <w:rPr>
          <w:b w:val="0"/>
          <w:sz w:val="24"/>
          <w:szCs w:val="24"/>
        </w:rPr>
      </w:pPr>
      <w:r>
        <w:rPr>
          <w:b w:val="0"/>
          <w:sz w:val="24"/>
          <w:szCs w:val="24"/>
        </w:rPr>
        <w:t>IEEE SA Program Manager:  Jodi H</w:t>
      </w:r>
      <w:r w:rsidR="002E09CE">
        <w:rPr>
          <w:b w:val="0"/>
          <w:sz w:val="24"/>
          <w:szCs w:val="24"/>
        </w:rPr>
        <w:t>aas</w:t>
      </w:r>
      <w:r>
        <w:rPr>
          <w:b w:val="0"/>
          <w:sz w:val="24"/>
          <w:szCs w:val="24"/>
        </w:rPr>
        <w:t>z (IEEE SA)</w:t>
      </w:r>
    </w:p>
    <w:p w:rsidR="0003157D" w:rsidRDefault="005A7D3D">
      <w:pPr>
        <w:jc w:val="center"/>
      </w:pPr>
      <w:r>
        <w:t xml:space="preserve">IEEE 802.18, RR-TAG website:  </w:t>
      </w:r>
      <w:hyperlink r:id="rId9">
        <w:r>
          <w:rPr>
            <w:rStyle w:val="Internetlnk"/>
          </w:rPr>
          <w:t>https://www.ieee802.org/18/</w:t>
        </w:r>
      </w:hyperlink>
      <w:r>
        <w:t xml:space="preserve"> .</w:t>
      </w:r>
      <w:r>
        <w:br w:type="page"/>
      </w:r>
    </w:p>
    <w:p w:rsidR="0003157D" w:rsidRPr="00BB5A95" w:rsidRDefault="005A7D3D" w:rsidP="007B4459">
      <w:pPr>
        <w:jc w:val="both"/>
        <w:rPr>
          <w:sz w:val="24"/>
          <w:szCs w:val="24"/>
        </w:rPr>
      </w:pPr>
      <w:r w:rsidRPr="00BB5A95">
        <w:rPr>
          <w:sz w:val="24"/>
          <w:szCs w:val="24"/>
        </w:rPr>
        <w:lastRenderedPageBreak/>
        <w:t xml:space="preserve">These are minutes of the IEEE 802.18 RR-TAG teleconference on Thursday </w:t>
      </w:r>
      <w:r w:rsidR="004809B3">
        <w:rPr>
          <w:sz w:val="24"/>
          <w:szCs w:val="24"/>
        </w:rPr>
        <w:t>2 November</w:t>
      </w:r>
      <w:r w:rsidR="00605EBF">
        <w:rPr>
          <w:sz w:val="24"/>
          <w:szCs w:val="24"/>
        </w:rPr>
        <w:t xml:space="preserve"> </w:t>
      </w:r>
      <w:r w:rsidRPr="00BB5A95">
        <w:rPr>
          <w:sz w:val="24"/>
          <w:szCs w:val="24"/>
        </w:rPr>
        <w:t>2023, 15:00 ET.</w:t>
      </w:r>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calls the meeting to order at 15:00 ET.</w:t>
      </w:r>
      <w:r w:rsidR="00FB5B96">
        <w:rPr>
          <w:sz w:val="24"/>
          <w:szCs w:val="24"/>
        </w:rPr>
        <w:t xml:space="preserve">  For this meeting, minutes were recorded by the Chair himself.</w:t>
      </w:r>
    </w:p>
    <w:p w:rsidR="0003157D" w:rsidRPr="00BB5A95" w:rsidRDefault="0003157D">
      <w:pPr>
        <w:ind w:left="360"/>
        <w:contextualSpacing/>
        <w:rPr>
          <w:sz w:val="24"/>
          <w:szCs w:val="24"/>
        </w:rPr>
      </w:pPr>
    </w:p>
    <w:p w:rsidR="0003157D" w:rsidRPr="00BB5A95" w:rsidRDefault="005A7D3D">
      <w:pPr>
        <w:contextualSpacing/>
        <w:rPr>
          <w:sz w:val="24"/>
          <w:szCs w:val="24"/>
        </w:rPr>
      </w:pPr>
      <w:r w:rsidRPr="00BB5A95">
        <w:rPr>
          <w:sz w:val="24"/>
          <w:szCs w:val="24"/>
        </w:rPr>
        <w:t xml:space="preserve">Agenda slide deck </w:t>
      </w:r>
      <w:hyperlink r:id="rId10" w:history="1">
        <w:r w:rsidR="00543E9A" w:rsidRPr="004809B3">
          <w:rPr>
            <w:rStyle w:val="Hyperlink"/>
            <w:sz w:val="24"/>
            <w:szCs w:val="24"/>
          </w:rPr>
          <w:t>18-23/01</w:t>
        </w:r>
        <w:r w:rsidR="007B4459" w:rsidRPr="004809B3">
          <w:rPr>
            <w:rStyle w:val="Hyperlink"/>
            <w:sz w:val="24"/>
            <w:szCs w:val="24"/>
          </w:rPr>
          <w:t>2</w:t>
        </w:r>
        <w:r w:rsidR="004809B3" w:rsidRPr="004809B3">
          <w:rPr>
            <w:rStyle w:val="Hyperlink"/>
            <w:sz w:val="24"/>
            <w:szCs w:val="24"/>
          </w:rPr>
          <w:t>5</w:t>
        </w:r>
        <w:r w:rsidRPr="004809B3">
          <w:rPr>
            <w:rStyle w:val="Hyperlink"/>
            <w:sz w:val="24"/>
            <w:szCs w:val="24"/>
          </w:rPr>
          <w:t>r</w:t>
        </w:r>
        <w:r w:rsidR="007B4459" w:rsidRPr="004809B3">
          <w:rPr>
            <w:rStyle w:val="Hyperlink"/>
            <w:sz w:val="24"/>
            <w:szCs w:val="24"/>
          </w:rPr>
          <w:t>1</w:t>
        </w:r>
      </w:hyperlink>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presents administrative items</w:t>
      </w:r>
    </w:p>
    <w:p w:rsidR="0003157D" w:rsidRPr="00BB5A95" w:rsidRDefault="005A7D3D">
      <w:pPr>
        <w:numPr>
          <w:ilvl w:val="1"/>
          <w:numId w:val="1"/>
        </w:numPr>
        <w:contextualSpacing/>
        <w:rPr>
          <w:bCs/>
          <w:sz w:val="24"/>
          <w:szCs w:val="24"/>
        </w:rPr>
      </w:pPr>
      <w:r w:rsidRPr="00BB5A95">
        <w:rPr>
          <w:bCs/>
          <w:sz w:val="24"/>
          <w:szCs w:val="24"/>
        </w:rPr>
        <w:t xml:space="preserve">Group officers and voting membership as of </w:t>
      </w:r>
      <w:r w:rsidR="00DB6E2D">
        <w:rPr>
          <w:bCs/>
          <w:sz w:val="24"/>
          <w:szCs w:val="24"/>
        </w:rPr>
        <w:t>17 September</w:t>
      </w:r>
      <w:r w:rsidRPr="00BB5A95">
        <w:rPr>
          <w:bCs/>
          <w:sz w:val="24"/>
          <w:szCs w:val="24"/>
        </w:rPr>
        <w:t xml:space="preserve"> 2023</w:t>
      </w:r>
    </w:p>
    <w:p w:rsidR="0003157D" w:rsidRPr="00BB5A95" w:rsidRDefault="005A7D3D" w:rsidP="006E4DAD">
      <w:pPr>
        <w:pStyle w:val="ListParagraph"/>
        <w:numPr>
          <w:ilvl w:val="0"/>
          <w:numId w:val="6"/>
        </w:numPr>
        <w:contextualSpacing/>
        <w:rPr>
          <w:sz w:val="24"/>
          <w:szCs w:val="24"/>
        </w:rPr>
      </w:pPr>
      <w:r w:rsidRPr="00BB5A95">
        <w:rPr>
          <w:sz w:val="24"/>
          <w:szCs w:val="24"/>
        </w:rPr>
        <w:t>Voters:  5</w:t>
      </w:r>
      <w:r w:rsidR="007C5087">
        <w:rPr>
          <w:sz w:val="24"/>
          <w:szCs w:val="24"/>
        </w:rPr>
        <w:t>5</w:t>
      </w:r>
      <w:r w:rsidRPr="00BB5A95">
        <w:rPr>
          <w:sz w:val="24"/>
          <w:szCs w:val="24"/>
        </w:rPr>
        <w:t xml:space="preserve"> (8 on LMSC) </w:t>
      </w:r>
    </w:p>
    <w:p w:rsidR="0003157D" w:rsidRPr="00BB5A95" w:rsidRDefault="007C5087" w:rsidP="006E4DAD">
      <w:pPr>
        <w:pStyle w:val="ListParagraph"/>
        <w:numPr>
          <w:ilvl w:val="0"/>
          <w:numId w:val="6"/>
        </w:numPr>
        <w:contextualSpacing/>
        <w:rPr>
          <w:sz w:val="24"/>
          <w:szCs w:val="24"/>
        </w:rPr>
      </w:pPr>
      <w:r>
        <w:rPr>
          <w:sz w:val="24"/>
          <w:szCs w:val="24"/>
        </w:rPr>
        <w:t xml:space="preserve">Nearly Voters: </w:t>
      </w:r>
      <w:r w:rsidR="00EB6906">
        <w:rPr>
          <w:sz w:val="24"/>
          <w:szCs w:val="24"/>
        </w:rPr>
        <w:t>1</w:t>
      </w:r>
    </w:p>
    <w:p w:rsidR="0003157D" w:rsidRPr="00BB5A95" w:rsidRDefault="005A7D3D" w:rsidP="006E4DAD">
      <w:pPr>
        <w:pStyle w:val="ListParagraph"/>
        <w:numPr>
          <w:ilvl w:val="0"/>
          <w:numId w:val="6"/>
        </w:numPr>
        <w:contextualSpacing/>
        <w:rPr>
          <w:sz w:val="24"/>
          <w:szCs w:val="24"/>
        </w:rPr>
      </w:pPr>
      <w:r w:rsidRPr="00BB5A95">
        <w:rPr>
          <w:sz w:val="24"/>
          <w:szCs w:val="24"/>
        </w:rPr>
        <w:t xml:space="preserve">Aspirant members:  </w:t>
      </w:r>
      <w:r w:rsidR="007C5087">
        <w:rPr>
          <w:sz w:val="24"/>
          <w:szCs w:val="24"/>
        </w:rPr>
        <w:t>1</w:t>
      </w:r>
      <w:r w:rsidR="00EB6906">
        <w:rPr>
          <w:sz w:val="24"/>
          <w:szCs w:val="24"/>
        </w:rPr>
        <w:t>2</w:t>
      </w:r>
    </w:p>
    <w:p w:rsidR="0003157D" w:rsidRPr="00BB5A95" w:rsidRDefault="009E050E" w:rsidP="006E4DAD">
      <w:pPr>
        <w:pStyle w:val="ListParagraph"/>
        <w:numPr>
          <w:ilvl w:val="0"/>
          <w:numId w:val="6"/>
        </w:numPr>
        <w:contextualSpacing/>
        <w:rPr>
          <w:sz w:val="24"/>
          <w:szCs w:val="24"/>
        </w:rPr>
      </w:pPr>
      <w:hyperlink r:id="rId11">
        <w:r w:rsidR="005A7D3D" w:rsidRPr="00BB5A95">
          <w:rPr>
            <w:rStyle w:val="Internetlnk"/>
            <w:sz w:val="24"/>
            <w:szCs w:val="24"/>
          </w:rPr>
          <w:t>802.18 Voters List</w:t>
        </w:r>
      </w:hyperlink>
    </w:p>
    <w:p w:rsidR="0003157D" w:rsidRPr="00BB5A95" w:rsidRDefault="005A7D3D">
      <w:pPr>
        <w:numPr>
          <w:ilvl w:val="1"/>
          <w:numId w:val="1"/>
        </w:numPr>
        <w:contextualSpacing/>
        <w:rPr>
          <w:sz w:val="24"/>
          <w:szCs w:val="24"/>
        </w:rPr>
      </w:pPr>
      <w:r w:rsidRPr="00BB5A95">
        <w:rPr>
          <w:sz w:val="24"/>
          <w:szCs w:val="24"/>
        </w:rPr>
        <w:t>RR-TAG Policies &amp; Procedures [</w:t>
      </w:r>
      <w:hyperlink r:id="rId12">
        <w:r w:rsidRPr="00BB5A95">
          <w:rPr>
            <w:rStyle w:val="Internetlnk"/>
            <w:sz w:val="24"/>
            <w:szCs w:val="24"/>
            <w:lang w:val="nl-NL"/>
          </w:rPr>
          <w:t>802 LMSC WG P&amp;P</w:t>
        </w:r>
      </w:hyperlink>
      <w:r w:rsidRPr="00BB5A95">
        <w:rPr>
          <w:sz w:val="24"/>
          <w:szCs w:val="24"/>
          <w:lang w:val="nl-NL"/>
        </w:rPr>
        <w:t>]</w:t>
      </w:r>
    </w:p>
    <w:p w:rsidR="0003157D" w:rsidRPr="00BB5A95" w:rsidRDefault="005A7D3D">
      <w:pPr>
        <w:numPr>
          <w:ilvl w:val="1"/>
          <w:numId w:val="1"/>
        </w:numPr>
        <w:spacing w:before="60" w:after="60"/>
        <w:contextualSpacing/>
        <w:rPr>
          <w:sz w:val="24"/>
          <w:szCs w:val="24"/>
        </w:rPr>
      </w:pPr>
      <w:r w:rsidRPr="00BB5A95">
        <w:rPr>
          <w:bCs/>
          <w:sz w:val="24"/>
          <w:szCs w:val="24"/>
        </w:rPr>
        <w:t>IEEE 802 meeting and participant’s guidelines and requirements [</w:t>
      </w:r>
      <w:hyperlink r:id="rId13">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sz w:val="24"/>
          <w:szCs w:val="24"/>
        </w:rPr>
      </w:pPr>
      <w:r w:rsidRPr="00BB5A95">
        <w:rPr>
          <w:bCs/>
          <w:sz w:val="24"/>
          <w:szCs w:val="24"/>
        </w:rPr>
        <w:t>IEEE policies and procedures [</w:t>
      </w:r>
      <w:hyperlink r:id="rId14">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bCs/>
          <w:sz w:val="24"/>
          <w:szCs w:val="24"/>
        </w:rPr>
      </w:pPr>
      <w:r w:rsidRPr="00BB5A95">
        <w:rPr>
          <w:bCs/>
          <w:sz w:val="24"/>
          <w:szCs w:val="24"/>
        </w:rPr>
        <w:t>The IEEE SA Individual method participant behavior slide set was presented</w:t>
      </w:r>
    </w:p>
    <w:p w:rsidR="0003157D" w:rsidRPr="00BB5A95" w:rsidRDefault="005A7D3D">
      <w:pPr>
        <w:numPr>
          <w:ilvl w:val="1"/>
          <w:numId w:val="1"/>
        </w:numPr>
        <w:spacing w:before="60" w:after="60"/>
        <w:contextualSpacing/>
        <w:rPr>
          <w:sz w:val="24"/>
          <w:szCs w:val="24"/>
        </w:rPr>
      </w:pPr>
      <w:r w:rsidRPr="00BB5A95">
        <w:rPr>
          <w:bCs/>
          <w:sz w:val="24"/>
          <w:szCs w:val="24"/>
        </w:rPr>
        <w:t xml:space="preserve">Reminder that IMAT is </w:t>
      </w:r>
      <w:r w:rsidRPr="00BB5A95">
        <w:rPr>
          <w:b/>
          <w:bCs/>
          <w:sz w:val="24"/>
          <w:szCs w:val="24"/>
        </w:rPr>
        <w:t>not</w:t>
      </w:r>
      <w:r w:rsidRPr="00BB5A95">
        <w:rPr>
          <w:bCs/>
          <w:sz w:val="24"/>
          <w:szCs w:val="24"/>
        </w:rPr>
        <w:t xml:space="preserve"> being used for attendance</w:t>
      </w:r>
    </w:p>
    <w:p w:rsidR="0003157D" w:rsidRPr="00BB5A95" w:rsidRDefault="005A7D3D">
      <w:pPr>
        <w:numPr>
          <w:ilvl w:val="1"/>
          <w:numId w:val="1"/>
        </w:numPr>
        <w:contextualSpacing/>
        <w:rPr>
          <w:bCs/>
          <w:sz w:val="24"/>
          <w:szCs w:val="24"/>
        </w:rPr>
      </w:pPr>
      <w:r w:rsidRPr="00BB5A95">
        <w:rPr>
          <w:bCs/>
          <w:sz w:val="24"/>
          <w:szCs w:val="24"/>
        </w:rPr>
        <w:t>Online meeting procedures reminder</w:t>
      </w:r>
      <w:r w:rsidRPr="00BB5A95">
        <w:rPr>
          <w:bCs/>
          <w:sz w:val="24"/>
          <w:szCs w:val="24"/>
        </w:rPr>
        <w:br/>
        <w:t xml:space="preserve"> </w:t>
      </w:r>
    </w:p>
    <w:p w:rsidR="0003157D" w:rsidRPr="00BB5A95" w:rsidRDefault="005A7D3D" w:rsidP="006E4DAD">
      <w:pPr>
        <w:contextualSpacing/>
        <w:jc w:val="both"/>
        <w:rPr>
          <w:bCs/>
          <w:sz w:val="24"/>
          <w:szCs w:val="24"/>
        </w:rPr>
      </w:pPr>
      <w:r w:rsidRPr="00BB5A95">
        <w:rPr>
          <w:bCs/>
          <w:sz w:val="24"/>
          <w:szCs w:val="24"/>
        </w:rPr>
        <w:t xml:space="preserve">Chair asks group if there are any questions relating to the IEEE policies. No response, no comments on WebEx Chat window.  </w:t>
      </w:r>
    </w:p>
    <w:p w:rsidR="0003157D" w:rsidRPr="00BB5A95" w:rsidRDefault="0003157D">
      <w:pPr>
        <w:contextualSpacing/>
        <w:rPr>
          <w:bCs/>
          <w:sz w:val="24"/>
          <w:szCs w:val="24"/>
        </w:rPr>
      </w:pPr>
    </w:p>
    <w:p w:rsidR="0003157D" w:rsidRPr="00BB5A95" w:rsidRDefault="005A7D3D">
      <w:pPr>
        <w:numPr>
          <w:ilvl w:val="0"/>
          <w:numId w:val="1"/>
        </w:numPr>
        <w:contextualSpacing/>
        <w:rPr>
          <w:sz w:val="24"/>
          <w:szCs w:val="24"/>
        </w:rPr>
      </w:pPr>
      <w:r w:rsidRPr="00BB5A95">
        <w:rPr>
          <w:sz w:val="24"/>
          <w:szCs w:val="24"/>
        </w:rPr>
        <w:t>Chair presents the agenda (slide #9). No questions or comments on the agenda.</w:t>
      </w:r>
    </w:p>
    <w:p w:rsidR="0003157D" w:rsidRPr="00BB5A95" w:rsidRDefault="0003157D">
      <w:pPr>
        <w:contextualSpacing/>
        <w:rPr>
          <w:sz w:val="24"/>
          <w:szCs w:val="24"/>
        </w:rPr>
      </w:pPr>
    </w:p>
    <w:p w:rsidR="0003157D" w:rsidRPr="00BB5A95" w:rsidRDefault="005A7D3D">
      <w:pPr>
        <w:numPr>
          <w:ilvl w:val="0"/>
          <w:numId w:val="1"/>
        </w:numPr>
        <w:contextualSpacing/>
        <w:rPr>
          <w:sz w:val="24"/>
          <w:szCs w:val="24"/>
        </w:rPr>
      </w:pPr>
      <w:r w:rsidRPr="00BB5A95">
        <w:rPr>
          <w:b/>
          <w:bCs/>
          <w:sz w:val="24"/>
          <w:szCs w:val="24"/>
        </w:rPr>
        <w:t>Administrative:</w:t>
      </w:r>
      <w:r w:rsidRPr="00BB5A95">
        <w:rPr>
          <w:sz w:val="24"/>
          <w:szCs w:val="24"/>
        </w:rPr>
        <w:br/>
      </w:r>
    </w:p>
    <w:p w:rsidR="0003157D" w:rsidRPr="00BB5A95" w:rsidRDefault="005A7D3D">
      <w:pPr>
        <w:numPr>
          <w:ilvl w:val="1"/>
          <w:numId w:val="1"/>
        </w:numPr>
        <w:tabs>
          <w:tab w:val="left" w:pos="720"/>
        </w:tabs>
        <w:contextualSpacing/>
        <w:rPr>
          <w:sz w:val="24"/>
          <w:szCs w:val="24"/>
        </w:rPr>
      </w:pPr>
      <w:r w:rsidRPr="00BB5A95">
        <w:rPr>
          <w:b/>
          <w:bCs/>
          <w:sz w:val="24"/>
          <w:szCs w:val="24"/>
        </w:rPr>
        <w:t xml:space="preserve">Motion #1 (internal): </w:t>
      </w:r>
      <w:r w:rsidRPr="00BB5A95">
        <w:rPr>
          <w:sz w:val="24"/>
          <w:szCs w:val="24"/>
        </w:rPr>
        <w:t>To approve the agenda as shown on previous slide</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B15488">
        <w:rPr>
          <w:sz w:val="24"/>
          <w:szCs w:val="24"/>
        </w:rPr>
        <w:t>Stuart Kerry</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4809B3">
        <w:rPr>
          <w:sz w:val="24"/>
          <w:szCs w:val="24"/>
        </w:rPr>
        <w:t>Jay Holcomb</w:t>
      </w:r>
    </w:p>
    <w:p w:rsidR="0003157D" w:rsidRPr="00BB5A95" w:rsidRDefault="006E4DAD" w:rsidP="006E4DAD">
      <w:pPr>
        <w:tabs>
          <w:tab w:val="left" w:pos="2880"/>
        </w:tabs>
        <w:ind w:left="1440"/>
        <w:contextualSpacing/>
        <w:rPr>
          <w:sz w:val="24"/>
          <w:szCs w:val="24"/>
        </w:rPr>
      </w:pPr>
      <w:r w:rsidRPr="00BB5A95">
        <w:rPr>
          <w:sz w:val="24"/>
          <w:szCs w:val="24"/>
        </w:rPr>
        <w:t xml:space="preserve">Discussion?  </w:t>
      </w:r>
      <w:r w:rsidRPr="00BB5A95">
        <w:rPr>
          <w:sz w:val="24"/>
          <w:szCs w:val="24"/>
        </w:rPr>
        <w:tab/>
      </w:r>
      <w:r w:rsidR="005A7D3D"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p>
    <w:p w:rsidR="0003157D" w:rsidRPr="00BB5A95" w:rsidRDefault="0003157D">
      <w:pPr>
        <w:ind w:left="720"/>
        <w:rPr>
          <w:sz w:val="24"/>
          <w:szCs w:val="24"/>
        </w:rPr>
      </w:pPr>
    </w:p>
    <w:p w:rsidR="0003157D" w:rsidRPr="00BB5A95" w:rsidRDefault="005A7D3D" w:rsidP="00C92BBA">
      <w:pPr>
        <w:numPr>
          <w:ilvl w:val="1"/>
          <w:numId w:val="1"/>
        </w:numPr>
        <w:rPr>
          <w:sz w:val="24"/>
          <w:szCs w:val="24"/>
        </w:rPr>
      </w:pPr>
      <w:r w:rsidRPr="00BB5A95">
        <w:rPr>
          <w:sz w:val="24"/>
          <w:szCs w:val="24"/>
        </w:rPr>
        <w:t xml:space="preserve">Chair presented draft meeting minutes from </w:t>
      </w:r>
      <w:r w:rsidR="004809B3">
        <w:rPr>
          <w:sz w:val="24"/>
          <w:szCs w:val="24"/>
        </w:rPr>
        <w:t>19</w:t>
      </w:r>
      <w:r w:rsidR="00D83414">
        <w:rPr>
          <w:sz w:val="24"/>
          <w:szCs w:val="24"/>
        </w:rPr>
        <w:t xml:space="preserve"> October</w:t>
      </w:r>
      <w:r w:rsidR="0003342E">
        <w:rPr>
          <w:sz w:val="24"/>
          <w:szCs w:val="24"/>
        </w:rPr>
        <w:t xml:space="preserve"> 2023</w:t>
      </w:r>
      <w:r w:rsidRPr="00BB5A95">
        <w:rPr>
          <w:sz w:val="24"/>
          <w:szCs w:val="24"/>
        </w:rPr>
        <w:t xml:space="preserve"> RR-TAG weekly teleconference</w:t>
      </w:r>
      <w:r w:rsidR="00C92BBA">
        <w:rPr>
          <w:sz w:val="24"/>
          <w:szCs w:val="24"/>
        </w:rPr>
        <w:t>.</w:t>
      </w:r>
      <w:r w:rsidRPr="00BB5A95">
        <w:rPr>
          <w:sz w:val="24"/>
          <w:szCs w:val="24"/>
        </w:rPr>
        <w:br/>
      </w:r>
      <w:r w:rsidRPr="00BB5A95">
        <w:rPr>
          <w:b/>
          <w:bCs/>
          <w:sz w:val="24"/>
          <w:szCs w:val="24"/>
        </w:rPr>
        <w:br/>
        <w:t>Motion #2 (internal):</w:t>
      </w:r>
      <w:r w:rsidRPr="00BB5A95">
        <w:rPr>
          <w:sz w:val="24"/>
          <w:szCs w:val="24"/>
        </w:rPr>
        <w:t xml:space="preserve"> </w:t>
      </w:r>
      <w:r w:rsidRPr="00BB5A95">
        <w:rPr>
          <w:spacing w:val="-10"/>
          <w:sz w:val="24"/>
          <w:szCs w:val="24"/>
        </w:rPr>
        <w:t xml:space="preserve">To approve the weekly meeting minutes of the </w:t>
      </w:r>
      <w:r w:rsidR="004809B3">
        <w:rPr>
          <w:spacing w:val="-10"/>
          <w:sz w:val="24"/>
          <w:szCs w:val="24"/>
        </w:rPr>
        <w:t>19</w:t>
      </w:r>
      <w:r w:rsidR="00D83414">
        <w:rPr>
          <w:spacing w:val="-10"/>
          <w:sz w:val="24"/>
          <w:szCs w:val="24"/>
        </w:rPr>
        <w:t xml:space="preserve"> October</w:t>
      </w:r>
      <w:r w:rsidR="00B51957">
        <w:rPr>
          <w:spacing w:val="-10"/>
          <w:sz w:val="24"/>
          <w:szCs w:val="24"/>
        </w:rPr>
        <w:t xml:space="preserve"> </w:t>
      </w:r>
      <w:r w:rsidRPr="00BB5A95">
        <w:rPr>
          <w:spacing w:val="-10"/>
          <w:sz w:val="24"/>
          <w:szCs w:val="24"/>
        </w:rPr>
        <w:t xml:space="preserve">2023 RR-TAG call as shown in the document </w:t>
      </w:r>
      <w:hyperlink r:id="rId15" w:history="1">
        <w:r w:rsidR="001E0F4A" w:rsidRPr="004809B3">
          <w:rPr>
            <w:rStyle w:val="Hyperlink"/>
            <w:spacing w:val="-10"/>
            <w:sz w:val="24"/>
            <w:szCs w:val="24"/>
          </w:rPr>
          <w:t>18-23/0</w:t>
        </w:r>
        <w:r w:rsidR="0068732D" w:rsidRPr="004809B3">
          <w:rPr>
            <w:rStyle w:val="Hyperlink"/>
            <w:spacing w:val="-10"/>
            <w:sz w:val="24"/>
            <w:szCs w:val="24"/>
          </w:rPr>
          <w:t>1</w:t>
        </w:r>
        <w:r w:rsidR="00F1228A" w:rsidRPr="004809B3">
          <w:rPr>
            <w:rStyle w:val="Hyperlink"/>
            <w:spacing w:val="-10"/>
            <w:sz w:val="24"/>
            <w:szCs w:val="24"/>
          </w:rPr>
          <w:t>2</w:t>
        </w:r>
        <w:r w:rsidR="004809B3" w:rsidRPr="004809B3">
          <w:rPr>
            <w:rStyle w:val="Hyperlink"/>
            <w:spacing w:val="-10"/>
            <w:sz w:val="24"/>
            <w:szCs w:val="24"/>
          </w:rPr>
          <w:t>3</w:t>
        </w:r>
        <w:r w:rsidRPr="004809B3">
          <w:rPr>
            <w:rStyle w:val="Hyperlink"/>
            <w:spacing w:val="-10"/>
            <w:sz w:val="24"/>
            <w:szCs w:val="24"/>
          </w:rPr>
          <w:t>r</w:t>
        </w:r>
        <w:r w:rsidR="00F1228A" w:rsidRPr="004809B3">
          <w:rPr>
            <w:rStyle w:val="Hyperlink"/>
            <w:spacing w:val="-10"/>
            <w:sz w:val="24"/>
            <w:szCs w:val="24"/>
          </w:rPr>
          <w:t>1</w:t>
        </w:r>
      </w:hyperlink>
      <w:r w:rsidRPr="00BB5A95">
        <w:rPr>
          <w:spacing w:val="-10"/>
          <w:sz w:val="24"/>
          <w:szCs w:val="24"/>
        </w:rPr>
        <w:t>, with editorial privilege for the 802.18 Chair.</w:t>
      </w:r>
    </w:p>
    <w:p w:rsidR="0003157D" w:rsidRPr="00BB5A95" w:rsidRDefault="006E4DAD" w:rsidP="006E4DAD">
      <w:pPr>
        <w:tabs>
          <w:tab w:val="left" w:pos="2880"/>
        </w:tabs>
        <w:ind w:left="1440"/>
        <w:contextualSpacing/>
        <w:rPr>
          <w:sz w:val="24"/>
          <w:szCs w:val="24"/>
        </w:rPr>
      </w:pPr>
      <w:r w:rsidRPr="00BB5A95">
        <w:rPr>
          <w:sz w:val="24"/>
          <w:szCs w:val="24"/>
        </w:rPr>
        <w:t>Moved by:</w:t>
      </w:r>
      <w:r w:rsidR="00B15488">
        <w:rPr>
          <w:sz w:val="24"/>
          <w:szCs w:val="24"/>
        </w:rPr>
        <w:tab/>
        <w:t>Al Petrick</w:t>
      </w:r>
      <w:r w:rsidRPr="00BB5A95">
        <w:rPr>
          <w:sz w:val="24"/>
          <w:szCs w:val="24"/>
        </w:rPr>
        <w:tab/>
      </w:r>
      <w:r w:rsidR="00B51957">
        <w:rPr>
          <w:sz w:val="24"/>
          <w:szCs w:val="24"/>
        </w:rPr>
        <w:t xml:space="preserve"> </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4809B3">
        <w:rPr>
          <w:sz w:val="24"/>
          <w:szCs w:val="24"/>
        </w:rPr>
        <w:t>Stuart Kerry</w:t>
      </w:r>
    </w:p>
    <w:p w:rsidR="0003157D" w:rsidRPr="00BB5A95" w:rsidRDefault="005A7D3D" w:rsidP="006E4DAD">
      <w:pPr>
        <w:tabs>
          <w:tab w:val="left" w:pos="2880"/>
        </w:tabs>
        <w:ind w:left="1440"/>
        <w:contextualSpacing/>
        <w:rPr>
          <w:sz w:val="24"/>
          <w:szCs w:val="24"/>
        </w:rPr>
      </w:pPr>
      <w:r w:rsidRPr="00BB5A95">
        <w:rPr>
          <w:sz w:val="24"/>
          <w:szCs w:val="24"/>
        </w:rPr>
        <w:t xml:space="preserve">Discussion?  </w:t>
      </w:r>
      <w:r w:rsidR="006E4DAD" w:rsidRPr="00BB5A95">
        <w:rPr>
          <w:sz w:val="24"/>
          <w:szCs w:val="24"/>
        </w:rPr>
        <w:t xml:space="preserve"> </w:t>
      </w:r>
      <w:r w:rsidR="006E4DAD" w:rsidRPr="00BB5A95">
        <w:rPr>
          <w:sz w:val="24"/>
          <w:szCs w:val="24"/>
        </w:rPr>
        <w:tab/>
      </w:r>
      <w:r w:rsidRPr="00BB5A95">
        <w:rPr>
          <w:sz w:val="24"/>
          <w:szCs w:val="24"/>
        </w:rPr>
        <w:t>None</w:t>
      </w:r>
    </w:p>
    <w:p w:rsidR="0003157D"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w:t>
      </w:r>
      <w:r w:rsidR="00C933B7">
        <w:rPr>
          <w:sz w:val="24"/>
          <w:szCs w:val="24"/>
        </w:rPr>
        <w:t xml:space="preserve"> unanimous consent</w:t>
      </w:r>
      <w:r w:rsidRPr="00BB5A95">
        <w:rPr>
          <w:sz w:val="24"/>
          <w:szCs w:val="24"/>
        </w:rPr>
        <w:br/>
      </w:r>
    </w:p>
    <w:p w:rsidR="00034533" w:rsidRDefault="00034533" w:rsidP="006E4DAD">
      <w:pPr>
        <w:tabs>
          <w:tab w:val="left" w:pos="2880"/>
        </w:tabs>
        <w:ind w:left="1440"/>
        <w:contextualSpacing/>
        <w:rPr>
          <w:sz w:val="24"/>
          <w:szCs w:val="24"/>
        </w:rPr>
      </w:pPr>
    </w:p>
    <w:p w:rsidR="00D906A0" w:rsidRDefault="00D906A0">
      <w:pPr>
        <w:rPr>
          <w:b/>
          <w:bCs/>
          <w:sz w:val="24"/>
          <w:szCs w:val="24"/>
        </w:rPr>
      </w:pPr>
      <w:r>
        <w:rPr>
          <w:b/>
          <w:bCs/>
          <w:sz w:val="24"/>
          <w:szCs w:val="24"/>
        </w:rPr>
        <w:br w:type="page"/>
      </w:r>
    </w:p>
    <w:p w:rsidR="00F1228A" w:rsidRPr="005A1274" w:rsidRDefault="00F1228A" w:rsidP="009E3965">
      <w:pPr>
        <w:pStyle w:val="ListParagraph"/>
        <w:numPr>
          <w:ilvl w:val="0"/>
          <w:numId w:val="1"/>
        </w:numPr>
        <w:contextualSpacing/>
        <w:jc w:val="both"/>
        <w:rPr>
          <w:b/>
          <w:bCs/>
          <w:sz w:val="24"/>
          <w:szCs w:val="24"/>
        </w:rPr>
      </w:pPr>
      <w:r w:rsidRPr="00D83414">
        <w:rPr>
          <w:b/>
          <w:bCs/>
          <w:sz w:val="24"/>
          <w:szCs w:val="24"/>
        </w:rPr>
        <w:lastRenderedPageBreak/>
        <w:t>Draft</w:t>
      </w:r>
      <w:r>
        <w:rPr>
          <w:b/>
          <w:bCs/>
          <w:sz w:val="24"/>
          <w:szCs w:val="24"/>
        </w:rPr>
        <w:t xml:space="preserve"> response</w:t>
      </w:r>
      <w:r w:rsidRPr="00D83414">
        <w:rPr>
          <w:b/>
          <w:bCs/>
          <w:sz w:val="24"/>
          <w:szCs w:val="24"/>
        </w:rPr>
        <w:t xml:space="preserve"> to </w:t>
      </w:r>
      <w:r w:rsidR="009E3965">
        <w:rPr>
          <w:b/>
          <w:bCs/>
          <w:sz w:val="24"/>
          <w:szCs w:val="24"/>
        </w:rPr>
        <w:t>India TRAI</w:t>
      </w:r>
      <w:r w:rsidRPr="00D83414">
        <w:rPr>
          <w:b/>
          <w:bCs/>
          <w:sz w:val="24"/>
          <w:szCs w:val="24"/>
        </w:rPr>
        <w:t>'s consultation</w:t>
      </w:r>
      <w:r w:rsidRPr="005A1274">
        <w:rPr>
          <w:b/>
          <w:bCs/>
          <w:sz w:val="24"/>
          <w:szCs w:val="24"/>
        </w:rPr>
        <w:t xml:space="preserve"> re </w:t>
      </w:r>
      <w:r w:rsidR="009E3965">
        <w:rPr>
          <w:b/>
          <w:bCs/>
          <w:sz w:val="24"/>
          <w:szCs w:val="24"/>
        </w:rPr>
        <w:t>TeraHertz</w:t>
      </w:r>
      <w:r w:rsidRPr="0069536D">
        <w:rPr>
          <w:b/>
          <w:bCs/>
          <w:sz w:val="24"/>
          <w:szCs w:val="24"/>
        </w:rPr>
        <w:t xml:space="preserve"> </w:t>
      </w:r>
      <w:r w:rsidRPr="00605EBF">
        <w:rPr>
          <w:b/>
          <w:bCs/>
          <w:sz w:val="24"/>
          <w:szCs w:val="24"/>
        </w:rPr>
        <w:t>(</w:t>
      </w:r>
      <w:hyperlink r:id="rId16" w:history="1">
        <w:r w:rsidRPr="009E3965">
          <w:rPr>
            <w:rStyle w:val="Hyperlink"/>
            <w:b/>
            <w:bCs/>
            <w:sz w:val="24"/>
            <w:szCs w:val="24"/>
          </w:rPr>
          <w:t>18-23/012</w:t>
        </w:r>
        <w:r w:rsidR="009E3965" w:rsidRPr="009E3965">
          <w:rPr>
            <w:rStyle w:val="Hyperlink"/>
            <w:b/>
            <w:bCs/>
            <w:sz w:val="24"/>
            <w:szCs w:val="24"/>
          </w:rPr>
          <w:t>4</w:t>
        </w:r>
        <w:r w:rsidRPr="009E3965">
          <w:rPr>
            <w:rStyle w:val="Hyperlink"/>
            <w:b/>
            <w:bCs/>
            <w:sz w:val="24"/>
            <w:szCs w:val="24"/>
          </w:rPr>
          <w:t>r2</w:t>
        </w:r>
      </w:hyperlink>
      <w:r w:rsidRPr="00605EBF">
        <w:rPr>
          <w:b/>
          <w:bCs/>
          <w:sz w:val="24"/>
          <w:szCs w:val="24"/>
        </w:rPr>
        <w:t>)</w:t>
      </w:r>
      <w:r>
        <w:rPr>
          <w:b/>
          <w:bCs/>
          <w:sz w:val="24"/>
          <w:szCs w:val="24"/>
        </w:rPr>
        <w:t xml:space="preserve">, </w:t>
      </w:r>
      <w:r w:rsidR="009E3965">
        <w:rPr>
          <w:bCs/>
          <w:sz w:val="24"/>
          <w:szCs w:val="24"/>
        </w:rPr>
        <w:t>Edward Au (Huawei), Ben Rolfe (</w:t>
      </w:r>
      <w:r w:rsidR="009E3965" w:rsidRPr="009E3965">
        <w:rPr>
          <w:bCs/>
          <w:sz w:val="24"/>
          <w:szCs w:val="24"/>
        </w:rPr>
        <w:t>Blind Creek Associates</w:t>
      </w:r>
      <w:r w:rsidR="009E3965">
        <w:rPr>
          <w:bCs/>
          <w:sz w:val="24"/>
          <w:szCs w:val="24"/>
        </w:rPr>
        <w:t xml:space="preserve">), Thomas </w:t>
      </w:r>
      <w:r w:rsidR="009E3965" w:rsidRPr="009E3965">
        <w:rPr>
          <w:bCs/>
          <w:sz w:val="24"/>
          <w:szCs w:val="24"/>
        </w:rPr>
        <w:t xml:space="preserve">Kürner </w:t>
      </w:r>
      <w:r w:rsidR="009E3965">
        <w:rPr>
          <w:bCs/>
          <w:sz w:val="24"/>
          <w:szCs w:val="24"/>
        </w:rPr>
        <w:t>(</w:t>
      </w:r>
      <w:r w:rsidR="009E3965" w:rsidRPr="009E3965">
        <w:rPr>
          <w:bCs/>
          <w:sz w:val="24"/>
          <w:szCs w:val="24"/>
        </w:rPr>
        <w:t>TU Braunschweig</w:t>
      </w:r>
      <w:r w:rsidR="009E3965">
        <w:rPr>
          <w:bCs/>
          <w:sz w:val="24"/>
          <w:szCs w:val="24"/>
        </w:rPr>
        <w:t>)</w:t>
      </w:r>
    </w:p>
    <w:p w:rsidR="001E0F4A" w:rsidRDefault="001E0F4A" w:rsidP="001E0F4A">
      <w:pPr>
        <w:pStyle w:val="ListParagraph"/>
        <w:ind w:left="360"/>
        <w:contextualSpacing/>
        <w:jc w:val="both"/>
        <w:rPr>
          <w:b/>
          <w:bCs/>
          <w:sz w:val="24"/>
          <w:szCs w:val="24"/>
        </w:rPr>
      </w:pPr>
    </w:p>
    <w:p w:rsidR="00360586" w:rsidRPr="00360586" w:rsidRDefault="00360586" w:rsidP="001E0F4A">
      <w:pPr>
        <w:pStyle w:val="ListParagraph"/>
        <w:ind w:left="360"/>
        <w:contextualSpacing/>
        <w:jc w:val="both"/>
        <w:rPr>
          <w:bCs/>
          <w:sz w:val="24"/>
          <w:szCs w:val="24"/>
        </w:rPr>
      </w:pPr>
      <w:r w:rsidRPr="00360586">
        <w:rPr>
          <w:bCs/>
          <w:sz w:val="24"/>
          <w:szCs w:val="24"/>
        </w:rPr>
        <w:t>Chair hands chair role to co-vice-chair (Stuart Kerry).</w:t>
      </w:r>
    </w:p>
    <w:p w:rsidR="00360586" w:rsidRPr="00887467" w:rsidRDefault="00360586" w:rsidP="001E0F4A">
      <w:pPr>
        <w:pStyle w:val="ListParagraph"/>
        <w:ind w:left="360"/>
        <w:contextualSpacing/>
        <w:jc w:val="both"/>
        <w:rPr>
          <w:b/>
          <w:bCs/>
          <w:sz w:val="24"/>
          <w:szCs w:val="24"/>
        </w:rPr>
      </w:pPr>
    </w:p>
    <w:p w:rsidR="00F47128" w:rsidRPr="00F47128" w:rsidRDefault="001E0F4A" w:rsidP="00F47128">
      <w:pPr>
        <w:pStyle w:val="ListParagraph"/>
        <w:ind w:left="360"/>
        <w:contextualSpacing/>
        <w:jc w:val="both"/>
        <w:rPr>
          <w:sz w:val="24"/>
          <w:szCs w:val="24"/>
        </w:rPr>
      </w:pPr>
      <w:r w:rsidRPr="00BB5A95">
        <w:rPr>
          <w:sz w:val="24"/>
          <w:szCs w:val="24"/>
        </w:rPr>
        <w:t>Doc</w:t>
      </w:r>
      <w:r>
        <w:rPr>
          <w:sz w:val="24"/>
          <w:szCs w:val="24"/>
        </w:rPr>
        <w:t>ument</w:t>
      </w:r>
      <w:r w:rsidR="00EB7C70">
        <w:rPr>
          <w:sz w:val="24"/>
          <w:szCs w:val="24"/>
        </w:rPr>
        <w:t xml:space="preserve"> is</w:t>
      </w:r>
      <w:r>
        <w:rPr>
          <w:sz w:val="24"/>
          <w:szCs w:val="24"/>
        </w:rPr>
        <w:t xml:space="preserve"> presented. </w:t>
      </w:r>
      <w:r w:rsidR="00461F7D">
        <w:rPr>
          <w:sz w:val="24"/>
          <w:szCs w:val="24"/>
        </w:rPr>
        <w:t>Discussion takes place</w:t>
      </w:r>
      <w:r w:rsidRPr="00BB5A95">
        <w:rPr>
          <w:sz w:val="24"/>
          <w:szCs w:val="24"/>
        </w:rPr>
        <w:t>.</w:t>
      </w:r>
      <w:r w:rsidR="00461F7D">
        <w:rPr>
          <w:sz w:val="24"/>
          <w:szCs w:val="24"/>
        </w:rPr>
        <w:t xml:space="preserve"> </w:t>
      </w:r>
    </w:p>
    <w:p w:rsidR="000A1E80" w:rsidRPr="00F47128" w:rsidRDefault="000A1E80" w:rsidP="00F47128">
      <w:pPr>
        <w:pStyle w:val="ListParagraph"/>
        <w:ind w:left="360"/>
        <w:contextualSpacing/>
        <w:jc w:val="both"/>
        <w:rPr>
          <w:sz w:val="24"/>
          <w:szCs w:val="24"/>
        </w:rPr>
      </w:pPr>
    </w:p>
    <w:p w:rsidR="008F48AA" w:rsidRPr="00F47128" w:rsidRDefault="008F48AA" w:rsidP="008F48AA">
      <w:pPr>
        <w:pStyle w:val="ListParagraph"/>
        <w:ind w:left="360"/>
        <w:contextualSpacing/>
        <w:jc w:val="both"/>
        <w:rPr>
          <w:sz w:val="24"/>
          <w:szCs w:val="24"/>
        </w:rPr>
      </w:pPr>
      <w:r>
        <w:rPr>
          <w:sz w:val="24"/>
          <w:szCs w:val="24"/>
        </w:rPr>
        <w:t xml:space="preserve">As for the next step of this draft response, </w:t>
      </w:r>
      <w:r w:rsidR="009E3965">
        <w:rPr>
          <w:sz w:val="24"/>
          <w:szCs w:val="24"/>
        </w:rPr>
        <w:t>the authors will update the draft based on the feedback received and present the revised draft next Thursday</w:t>
      </w:r>
      <w:r>
        <w:rPr>
          <w:sz w:val="24"/>
          <w:szCs w:val="24"/>
        </w:rPr>
        <w:t>.</w:t>
      </w:r>
    </w:p>
    <w:p w:rsidR="008F48AA" w:rsidRDefault="008F48AA" w:rsidP="001E0F4A">
      <w:pPr>
        <w:pStyle w:val="ListParagraph"/>
        <w:tabs>
          <w:tab w:val="left" w:pos="2430"/>
        </w:tabs>
        <w:contextualSpacing/>
      </w:pPr>
    </w:p>
    <w:p w:rsidR="000A1E80" w:rsidRPr="00B01DBA" w:rsidRDefault="000A1E80" w:rsidP="000A1E80">
      <w:pPr>
        <w:pStyle w:val="ListParagraph"/>
        <w:ind w:left="360"/>
        <w:contextualSpacing/>
        <w:jc w:val="both"/>
        <w:rPr>
          <w:bCs/>
          <w:sz w:val="24"/>
          <w:szCs w:val="24"/>
        </w:rPr>
      </w:pPr>
      <w:r>
        <w:rPr>
          <w:bCs/>
          <w:sz w:val="24"/>
          <w:szCs w:val="24"/>
        </w:rPr>
        <w:t>Co-v</w:t>
      </w:r>
      <w:r w:rsidRPr="00B01DBA">
        <w:rPr>
          <w:bCs/>
          <w:sz w:val="24"/>
          <w:szCs w:val="24"/>
        </w:rPr>
        <w:t>ice-chair hands chair role to chair.</w:t>
      </w:r>
    </w:p>
    <w:p w:rsidR="000A1E80" w:rsidRDefault="000A1E80" w:rsidP="001E0F4A">
      <w:pPr>
        <w:pStyle w:val="ListParagraph"/>
        <w:tabs>
          <w:tab w:val="left" w:pos="2430"/>
        </w:tabs>
        <w:contextualSpacing/>
      </w:pPr>
    </w:p>
    <w:p w:rsidR="002145D6" w:rsidRPr="002145D6" w:rsidRDefault="009E3965" w:rsidP="009E3965">
      <w:pPr>
        <w:pStyle w:val="ListParagraph"/>
        <w:numPr>
          <w:ilvl w:val="0"/>
          <w:numId w:val="1"/>
        </w:numPr>
        <w:contextualSpacing/>
      </w:pPr>
      <w:r>
        <w:rPr>
          <w:b/>
          <w:bCs/>
          <w:sz w:val="24"/>
          <w:szCs w:val="24"/>
        </w:rPr>
        <w:t xml:space="preserve">Status of ongoing consultations, </w:t>
      </w:r>
      <w:r>
        <w:rPr>
          <w:sz w:val="24"/>
          <w:szCs w:val="24"/>
        </w:rPr>
        <w:t>(</w:t>
      </w:r>
      <w:hyperlink r:id="rId17" w:history="1">
        <w:r>
          <w:rPr>
            <w:rStyle w:val="Hyperlink"/>
            <w:sz w:val="24"/>
            <w:szCs w:val="24"/>
          </w:rPr>
          <w:t>18-22/0035r95</w:t>
        </w:r>
      </w:hyperlink>
      <w:r>
        <w:rPr>
          <w:sz w:val="24"/>
          <w:szCs w:val="24"/>
        </w:rPr>
        <w:t>), Edward Au (Chair)</w:t>
      </w:r>
      <w:r>
        <w:rPr>
          <w:sz w:val="24"/>
          <w:szCs w:val="24"/>
        </w:rPr>
        <w:br/>
      </w:r>
      <w:r>
        <w:rPr>
          <w:sz w:val="24"/>
          <w:szCs w:val="24"/>
        </w:rPr>
        <w:br/>
        <w:t>Chair presents ongoing consultations and upcoming deadlines to the group.</w:t>
      </w:r>
    </w:p>
    <w:p w:rsidR="002145D6" w:rsidRDefault="002145D6" w:rsidP="002145D6">
      <w:pPr>
        <w:contextualSpacing/>
        <w:rPr>
          <w:sz w:val="24"/>
          <w:szCs w:val="24"/>
        </w:rPr>
      </w:pPr>
    </w:p>
    <w:p w:rsidR="009E3965" w:rsidRDefault="002145D6" w:rsidP="00F41D68">
      <w:pPr>
        <w:tabs>
          <w:tab w:val="left" w:pos="360"/>
        </w:tabs>
        <w:ind w:left="360" w:hanging="360"/>
        <w:contextualSpacing/>
        <w:jc w:val="both"/>
        <w:rPr>
          <w:sz w:val="24"/>
          <w:szCs w:val="24"/>
        </w:rPr>
      </w:pPr>
      <w:r>
        <w:rPr>
          <w:sz w:val="24"/>
          <w:szCs w:val="24"/>
        </w:rPr>
        <w:tab/>
        <w:t>Regarding the European Commission (EU) Radio Spectrum Policy Group (RSPG)’s consultation, there is a discussion on whether we may respond specially on the proposed 6 GHz work item.</w:t>
      </w:r>
      <w:r w:rsidR="00F41D68">
        <w:rPr>
          <w:sz w:val="24"/>
          <w:szCs w:val="24"/>
        </w:rPr>
        <w:t xml:space="preserve">  A participant commented that we may consider asking to expand the scope of activities under this proposed work item to consider the </w:t>
      </w:r>
      <w:r w:rsidR="00F41D68" w:rsidRPr="00F41D68">
        <w:rPr>
          <w:sz w:val="24"/>
          <w:szCs w:val="24"/>
        </w:rPr>
        <w:t>impact of use of narrow band devices (Bluetooth etc</w:t>
      </w:r>
      <w:r w:rsidR="00F41D68">
        <w:rPr>
          <w:sz w:val="24"/>
          <w:szCs w:val="24"/>
        </w:rPr>
        <w:t>.,</w:t>
      </w:r>
      <w:r w:rsidR="00F41D68" w:rsidRPr="00F41D68">
        <w:rPr>
          <w:sz w:val="24"/>
          <w:szCs w:val="24"/>
        </w:rPr>
        <w:t>) on spectrum availability in the lower 6GHz band and i</w:t>
      </w:r>
      <w:r w:rsidR="00F41D68">
        <w:rPr>
          <w:sz w:val="24"/>
          <w:szCs w:val="24"/>
        </w:rPr>
        <w:t>t impact on enterprise networks, p</w:t>
      </w:r>
      <w:r w:rsidR="00F41D68" w:rsidRPr="00F41D68">
        <w:rPr>
          <w:sz w:val="24"/>
          <w:szCs w:val="24"/>
        </w:rPr>
        <w:t xml:space="preserve">ossible rollout of AFC type deployments in </w:t>
      </w:r>
      <w:r w:rsidR="00F41D68">
        <w:rPr>
          <w:sz w:val="24"/>
          <w:szCs w:val="24"/>
        </w:rPr>
        <w:t xml:space="preserve">the </w:t>
      </w:r>
      <w:r w:rsidR="00F41D68" w:rsidRPr="00F41D68">
        <w:rPr>
          <w:sz w:val="24"/>
          <w:szCs w:val="24"/>
        </w:rPr>
        <w:t>lower 6</w:t>
      </w:r>
      <w:r w:rsidR="00F41D68">
        <w:rPr>
          <w:sz w:val="24"/>
          <w:szCs w:val="24"/>
        </w:rPr>
        <w:t xml:space="preserve"> </w:t>
      </w:r>
      <w:r w:rsidR="00F41D68" w:rsidRPr="00F41D68">
        <w:rPr>
          <w:sz w:val="24"/>
          <w:szCs w:val="24"/>
        </w:rPr>
        <w:t>GHz band</w:t>
      </w:r>
      <w:r w:rsidR="00F41D68">
        <w:rPr>
          <w:sz w:val="24"/>
          <w:szCs w:val="24"/>
        </w:rPr>
        <w:t>, and t</w:t>
      </w:r>
      <w:r w:rsidR="00F41D68" w:rsidRPr="00F41D68">
        <w:rPr>
          <w:sz w:val="24"/>
          <w:szCs w:val="24"/>
        </w:rPr>
        <w:t>he role of indoor wireless networks and seamless handover from outdoor to indoor networks in meeting future sustainability goals for communication networks in the EU.</w:t>
      </w:r>
      <w:r w:rsidR="00F41D68">
        <w:rPr>
          <w:sz w:val="24"/>
          <w:szCs w:val="24"/>
        </w:rPr>
        <w:t xml:space="preserve">  Another participant commented that we may consider the impact on indoor networks, rather than specially the enterprise networks, given the diversity of use cases and applications of IEEE 802 wireless technologies.</w:t>
      </w:r>
    </w:p>
    <w:p w:rsidR="00F41D68" w:rsidRDefault="00F41D68" w:rsidP="00F41D68">
      <w:pPr>
        <w:tabs>
          <w:tab w:val="left" w:pos="360"/>
        </w:tabs>
        <w:ind w:left="360" w:hanging="360"/>
        <w:contextualSpacing/>
        <w:jc w:val="both"/>
        <w:rPr>
          <w:sz w:val="24"/>
          <w:szCs w:val="24"/>
        </w:rPr>
      </w:pPr>
    </w:p>
    <w:p w:rsidR="00F41D68" w:rsidRPr="002145D6" w:rsidRDefault="00F41D68" w:rsidP="00F41D68">
      <w:pPr>
        <w:tabs>
          <w:tab w:val="left" w:pos="360"/>
        </w:tabs>
        <w:ind w:left="360" w:hanging="360"/>
        <w:contextualSpacing/>
        <w:jc w:val="both"/>
      </w:pPr>
      <w:r>
        <w:rPr>
          <w:sz w:val="24"/>
          <w:szCs w:val="24"/>
        </w:rPr>
        <w:tab/>
        <w:t xml:space="preserve">Regarding the United States (US) Federal Communications Commission (FCC)’s 6 GHz </w:t>
      </w:r>
      <w:r w:rsidRPr="00F41D68">
        <w:rPr>
          <w:sz w:val="24"/>
          <w:szCs w:val="24"/>
        </w:rPr>
        <w:t>Second Report and Order, Second Further Notice of Proposed Rulemaking, and Memorandum Opinion and Order on Remand</w:t>
      </w:r>
      <w:r>
        <w:rPr>
          <w:sz w:val="24"/>
          <w:szCs w:val="24"/>
        </w:rPr>
        <w:t xml:space="preserve">, Chair </w:t>
      </w:r>
      <w:r w:rsidRPr="00F41D68">
        <w:rPr>
          <w:sz w:val="24"/>
          <w:szCs w:val="24"/>
        </w:rPr>
        <w:t>encourage</w:t>
      </w:r>
      <w:r>
        <w:rPr>
          <w:sz w:val="24"/>
          <w:szCs w:val="24"/>
        </w:rPr>
        <w:t>s</w:t>
      </w:r>
      <w:r w:rsidRPr="00F41D68">
        <w:rPr>
          <w:sz w:val="24"/>
          <w:szCs w:val="24"/>
        </w:rPr>
        <w:t xml:space="preserve"> any interested individuals to start preparing any draft submission for IEEE 802.18 </w:t>
      </w:r>
      <w:r>
        <w:rPr>
          <w:sz w:val="24"/>
          <w:szCs w:val="24"/>
        </w:rPr>
        <w:t>to consider as soon as possible even though it is yet to be available on the Federal Register.</w:t>
      </w:r>
    </w:p>
    <w:p w:rsidR="009E3965" w:rsidRDefault="009E3965" w:rsidP="001E0F4A">
      <w:pPr>
        <w:pStyle w:val="ListParagraph"/>
        <w:tabs>
          <w:tab w:val="left" w:pos="2430"/>
        </w:tabs>
        <w:contextualSpacing/>
      </w:pPr>
    </w:p>
    <w:p w:rsidR="00B51957" w:rsidRDefault="00B51957" w:rsidP="00B51957">
      <w:pPr>
        <w:pStyle w:val="ListParagraph"/>
        <w:numPr>
          <w:ilvl w:val="0"/>
          <w:numId w:val="1"/>
        </w:numPr>
        <w:contextualSpacing/>
      </w:pPr>
      <w:r>
        <w:rPr>
          <w:b/>
          <w:bCs/>
          <w:sz w:val="24"/>
          <w:szCs w:val="24"/>
        </w:rPr>
        <w:t>General discussion topics</w:t>
      </w:r>
      <w:r>
        <w:rPr>
          <w:b/>
          <w:bCs/>
          <w:sz w:val="24"/>
          <w:szCs w:val="24"/>
        </w:rPr>
        <w:br/>
      </w:r>
    </w:p>
    <w:p w:rsidR="00F22374" w:rsidRPr="002D41CA" w:rsidRDefault="00474079" w:rsidP="00474079">
      <w:pPr>
        <w:pStyle w:val="ListParagraph"/>
        <w:numPr>
          <w:ilvl w:val="1"/>
          <w:numId w:val="1"/>
        </w:numPr>
        <w:contextualSpacing/>
        <w:rPr>
          <w:b/>
          <w:bCs/>
          <w:sz w:val="24"/>
          <w:szCs w:val="24"/>
        </w:rPr>
      </w:pPr>
      <w:r w:rsidRPr="00474079">
        <w:rPr>
          <w:b/>
          <w:bCs/>
          <w:sz w:val="24"/>
          <w:szCs w:val="24"/>
        </w:rPr>
        <w:t>Europe, Middle East, and Africa</w:t>
      </w:r>
      <w:r w:rsidR="00B51957" w:rsidRPr="00474079">
        <w:rPr>
          <w:b/>
          <w:bCs/>
          <w:sz w:val="24"/>
          <w:szCs w:val="24"/>
        </w:rPr>
        <w:br/>
      </w:r>
      <w:r w:rsidR="00B51957" w:rsidRPr="00474079">
        <w:rPr>
          <w:b/>
          <w:bCs/>
          <w:sz w:val="24"/>
          <w:szCs w:val="24"/>
        </w:rPr>
        <w:br/>
      </w:r>
      <w:r w:rsidR="00B51957" w:rsidRPr="00474079">
        <w:rPr>
          <w:sz w:val="24"/>
          <w:szCs w:val="24"/>
        </w:rPr>
        <w:t xml:space="preserve">See information contained in </w:t>
      </w:r>
      <w:r w:rsidR="00186616">
        <w:rPr>
          <w:sz w:val="24"/>
          <w:szCs w:val="24"/>
        </w:rPr>
        <w:t xml:space="preserve">the </w:t>
      </w:r>
      <w:r w:rsidR="00B51957" w:rsidRPr="00474079">
        <w:rPr>
          <w:sz w:val="24"/>
          <w:szCs w:val="24"/>
        </w:rPr>
        <w:t xml:space="preserve">agenda deck. </w:t>
      </w:r>
    </w:p>
    <w:p w:rsidR="002D41CA" w:rsidRDefault="002D41CA" w:rsidP="002D41CA">
      <w:pPr>
        <w:pStyle w:val="ListParagraph"/>
        <w:contextualSpacing/>
        <w:rPr>
          <w:b/>
          <w:bCs/>
          <w:sz w:val="24"/>
          <w:szCs w:val="24"/>
        </w:rPr>
      </w:pPr>
    </w:p>
    <w:p w:rsidR="00CF47F0" w:rsidRPr="00F22374" w:rsidRDefault="00845800" w:rsidP="00845800">
      <w:pPr>
        <w:pStyle w:val="ListParagraph"/>
        <w:contextualSpacing/>
        <w:jc w:val="both"/>
        <w:rPr>
          <w:bCs/>
          <w:sz w:val="24"/>
          <w:szCs w:val="24"/>
        </w:rPr>
      </w:pPr>
      <w:r w:rsidRPr="00845800">
        <w:rPr>
          <w:bCs/>
          <w:sz w:val="24"/>
          <w:szCs w:val="24"/>
        </w:rPr>
        <w:t>Guido Hiertz (ETSI BRAN Chair) provided an update on</w:t>
      </w:r>
      <w:r w:rsidR="00CF47F0" w:rsidRPr="00845800">
        <w:rPr>
          <w:bCs/>
          <w:sz w:val="24"/>
          <w:szCs w:val="24"/>
        </w:rPr>
        <w:t xml:space="preserve"> the selected outcome of the ETSI BRAN plenary meeting #12</w:t>
      </w:r>
      <w:r w:rsidRPr="00845800">
        <w:rPr>
          <w:bCs/>
          <w:sz w:val="24"/>
          <w:szCs w:val="24"/>
        </w:rPr>
        <w:t>1</w:t>
      </w:r>
      <w:r w:rsidR="00CF47F0" w:rsidRPr="00845800">
        <w:rPr>
          <w:bCs/>
          <w:sz w:val="24"/>
          <w:szCs w:val="24"/>
        </w:rPr>
        <w:t xml:space="preserve">, including the ENAP recirculation of EN </w:t>
      </w:r>
      <w:r w:rsidRPr="00845800">
        <w:rPr>
          <w:bCs/>
          <w:sz w:val="24"/>
          <w:szCs w:val="24"/>
        </w:rPr>
        <w:t xml:space="preserve">301 893 and EN </w:t>
      </w:r>
      <w:r w:rsidR="00CF47F0" w:rsidRPr="00845800">
        <w:rPr>
          <w:bCs/>
          <w:sz w:val="24"/>
          <w:szCs w:val="24"/>
        </w:rPr>
        <w:t xml:space="preserve">303 753, </w:t>
      </w:r>
      <w:r w:rsidRPr="00845800">
        <w:rPr>
          <w:bCs/>
          <w:sz w:val="24"/>
          <w:szCs w:val="24"/>
        </w:rPr>
        <w:t xml:space="preserve">the discussion about </w:t>
      </w:r>
      <w:r w:rsidR="00CF47F0" w:rsidRPr="00845800">
        <w:rPr>
          <w:bCs/>
          <w:sz w:val="24"/>
          <w:szCs w:val="24"/>
        </w:rPr>
        <w:t xml:space="preserve">a new work item related to 6 GHz narrowband for next revision of EN 303 687, </w:t>
      </w:r>
      <w:r w:rsidRPr="00845800">
        <w:rPr>
          <w:bCs/>
          <w:sz w:val="24"/>
          <w:szCs w:val="24"/>
        </w:rPr>
        <w:t xml:space="preserve">a liaison from ETSI TC ERM regarding deprecation of ES 202 131 because the receiver requirements therein may not be up-to-date, </w:t>
      </w:r>
      <w:r w:rsidR="00CF47F0" w:rsidRPr="00845800">
        <w:rPr>
          <w:bCs/>
          <w:sz w:val="24"/>
          <w:szCs w:val="24"/>
        </w:rPr>
        <w:t>and the dates of the next plenary meeting #12</w:t>
      </w:r>
      <w:r w:rsidRPr="00845800">
        <w:rPr>
          <w:bCs/>
          <w:sz w:val="24"/>
          <w:szCs w:val="24"/>
        </w:rPr>
        <w:t>2</w:t>
      </w:r>
      <w:r w:rsidR="00CF47F0" w:rsidRPr="00845800">
        <w:rPr>
          <w:bCs/>
          <w:sz w:val="24"/>
          <w:szCs w:val="24"/>
        </w:rPr>
        <w:t>.</w:t>
      </w:r>
      <w:r w:rsidR="00CF47F0" w:rsidRPr="00F22374">
        <w:rPr>
          <w:bCs/>
          <w:sz w:val="24"/>
          <w:szCs w:val="24"/>
        </w:rPr>
        <w:br/>
      </w:r>
    </w:p>
    <w:p w:rsidR="00B51957" w:rsidRPr="006E4706" w:rsidRDefault="0095200F" w:rsidP="00B51957">
      <w:pPr>
        <w:pStyle w:val="ListParagraph"/>
        <w:numPr>
          <w:ilvl w:val="1"/>
          <w:numId w:val="1"/>
        </w:numPr>
        <w:contextualSpacing/>
      </w:pPr>
      <w:r>
        <w:rPr>
          <w:b/>
          <w:bCs/>
          <w:sz w:val="24"/>
          <w:szCs w:val="24"/>
        </w:rPr>
        <w:t>Americas</w:t>
      </w:r>
      <w:r w:rsidR="00B51957">
        <w:rPr>
          <w:b/>
          <w:bCs/>
          <w:sz w:val="24"/>
          <w:szCs w:val="24"/>
        </w:rPr>
        <w:br/>
      </w:r>
      <w:r w:rsidR="00B51957">
        <w:rPr>
          <w:b/>
          <w:bCs/>
          <w:sz w:val="24"/>
          <w:szCs w:val="24"/>
        </w:rPr>
        <w:br/>
      </w:r>
      <w:r w:rsidR="00B51957">
        <w:rPr>
          <w:sz w:val="24"/>
          <w:szCs w:val="24"/>
        </w:rPr>
        <w:t xml:space="preserve">See information contained in </w:t>
      </w:r>
      <w:r w:rsidR="00186616">
        <w:rPr>
          <w:sz w:val="24"/>
          <w:szCs w:val="24"/>
        </w:rPr>
        <w:t>the</w:t>
      </w:r>
      <w:r w:rsidR="00B51957">
        <w:rPr>
          <w:sz w:val="24"/>
          <w:szCs w:val="24"/>
        </w:rPr>
        <w:t xml:space="preserve"> agenda deck.</w:t>
      </w:r>
    </w:p>
    <w:p w:rsidR="00186616" w:rsidRPr="00F22374" w:rsidRDefault="00186616" w:rsidP="00186616">
      <w:pPr>
        <w:pStyle w:val="ListParagraph"/>
        <w:contextualSpacing/>
        <w:rPr>
          <w:bCs/>
          <w:sz w:val="24"/>
          <w:szCs w:val="24"/>
        </w:rPr>
      </w:pPr>
    </w:p>
    <w:p w:rsidR="00186616" w:rsidRPr="00342103" w:rsidRDefault="00186616" w:rsidP="00186616">
      <w:pPr>
        <w:pStyle w:val="ListParagraph"/>
        <w:numPr>
          <w:ilvl w:val="1"/>
          <w:numId w:val="1"/>
        </w:numPr>
        <w:contextualSpacing/>
      </w:pPr>
      <w:r>
        <w:rPr>
          <w:b/>
          <w:bCs/>
          <w:sz w:val="24"/>
          <w:szCs w:val="24"/>
        </w:rPr>
        <w:lastRenderedPageBreak/>
        <w:t>Asia Pacific</w:t>
      </w:r>
      <w:r>
        <w:rPr>
          <w:b/>
          <w:bCs/>
          <w:sz w:val="24"/>
          <w:szCs w:val="24"/>
        </w:rPr>
        <w:br/>
      </w:r>
      <w:r>
        <w:rPr>
          <w:b/>
          <w:bCs/>
          <w:sz w:val="24"/>
          <w:szCs w:val="24"/>
        </w:rPr>
        <w:br/>
      </w:r>
      <w:r>
        <w:rPr>
          <w:sz w:val="24"/>
          <w:szCs w:val="24"/>
        </w:rPr>
        <w:t>See information contained in the agenda deck.</w:t>
      </w:r>
    </w:p>
    <w:p w:rsidR="00186616" w:rsidRDefault="00186616" w:rsidP="00B22D83">
      <w:pPr>
        <w:contextualSpacing/>
      </w:pPr>
    </w:p>
    <w:p w:rsidR="00B22D83" w:rsidRPr="000C00BA" w:rsidRDefault="00B22D83" w:rsidP="00B22D83">
      <w:pPr>
        <w:pStyle w:val="ListParagraph"/>
        <w:numPr>
          <w:ilvl w:val="1"/>
          <w:numId w:val="1"/>
        </w:numPr>
        <w:contextualSpacing/>
      </w:pPr>
      <w:r>
        <w:rPr>
          <w:b/>
          <w:bCs/>
          <w:sz w:val="24"/>
          <w:szCs w:val="24"/>
        </w:rPr>
        <w:t>ITU</w:t>
      </w:r>
      <w:r w:rsidR="007262D4">
        <w:rPr>
          <w:b/>
          <w:bCs/>
          <w:sz w:val="24"/>
          <w:szCs w:val="24"/>
        </w:rPr>
        <w:t>-R</w:t>
      </w:r>
      <w:r>
        <w:rPr>
          <w:b/>
          <w:bCs/>
          <w:sz w:val="24"/>
          <w:szCs w:val="24"/>
        </w:rPr>
        <w:br/>
      </w:r>
      <w:r>
        <w:rPr>
          <w:b/>
          <w:bCs/>
          <w:sz w:val="24"/>
          <w:szCs w:val="24"/>
        </w:rPr>
        <w:br/>
      </w:r>
      <w:r>
        <w:rPr>
          <w:sz w:val="24"/>
          <w:szCs w:val="24"/>
        </w:rPr>
        <w:t xml:space="preserve">See information contained in </w:t>
      </w:r>
      <w:r w:rsidR="00186616">
        <w:rPr>
          <w:sz w:val="24"/>
          <w:szCs w:val="24"/>
        </w:rPr>
        <w:t>the</w:t>
      </w:r>
      <w:r>
        <w:rPr>
          <w:sz w:val="24"/>
          <w:szCs w:val="24"/>
        </w:rPr>
        <w:t xml:space="preserve"> agenda deck.</w:t>
      </w:r>
    </w:p>
    <w:p w:rsidR="00B51957" w:rsidRPr="000C00BA" w:rsidRDefault="00B51957" w:rsidP="000C00BA">
      <w:pPr>
        <w:pStyle w:val="ListParagraph"/>
        <w:contextualSpacing/>
      </w:pPr>
    </w:p>
    <w:p w:rsidR="0003157D" w:rsidRDefault="005A7D3D" w:rsidP="000B282E">
      <w:pPr>
        <w:pStyle w:val="ListParagraph"/>
        <w:numPr>
          <w:ilvl w:val="0"/>
          <w:numId w:val="1"/>
        </w:numPr>
        <w:contextualSpacing/>
      </w:pPr>
      <w:r>
        <w:rPr>
          <w:b/>
          <w:bCs/>
          <w:sz w:val="24"/>
          <w:szCs w:val="24"/>
        </w:rPr>
        <w:t>Reminder of future meetings</w:t>
      </w:r>
      <w:r w:rsidR="00BB5A95">
        <w:rPr>
          <w:sz w:val="24"/>
          <w:szCs w:val="24"/>
        </w:rPr>
        <w:br/>
      </w:r>
      <w:r w:rsidR="00BB5A95">
        <w:rPr>
          <w:sz w:val="24"/>
          <w:szCs w:val="24"/>
        </w:rPr>
        <w:br/>
        <w:t>The ISUS ad-hoc call on</w:t>
      </w:r>
      <w:r w:rsidR="009E651D">
        <w:rPr>
          <w:sz w:val="24"/>
          <w:szCs w:val="24"/>
        </w:rPr>
        <w:t xml:space="preserve"> </w:t>
      </w:r>
      <w:r w:rsidR="000B282E">
        <w:rPr>
          <w:sz w:val="24"/>
          <w:szCs w:val="24"/>
        </w:rPr>
        <w:t>3 November</w:t>
      </w:r>
      <w:r>
        <w:rPr>
          <w:sz w:val="24"/>
          <w:szCs w:val="24"/>
        </w:rPr>
        <w:t xml:space="preserve"> 2023 is cancel</w:t>
      </w:r>
      <w:r w:rsidR="007262D4">
        <w:rPr>
          <w:sz w:val="24"/>
          <w:szCs w:val="24"/>
        </w:rPr>
        <w:t>l</w:t>
      </w:r>
      <w:r>
        <w:rPr>
          <w:sz w:val="24"/>
          <w:szCs w:val="24"/>
        </w:rPr>
        <w:t>ed</w:t>
      </w:r>
      <w:r w:rsidR="000C00BA">
        <w:rPr>
          <w:sz w:val="24"/>
          <w:szCs w:val="24"/>
        </w:rPr>
        <w:t>.</w:t>
      </w:r>
      <w:r>
        <w:rPr>
          <w:sz w:val="24"/>
          <w:szCs w:val="24"/>
        </w:rPr>
        <w:br/>
      </w:r>
      <w:r>
        <w:rPr>
          <w:sz w:val="24"/>
          <w:szCs w:val="24"/>
        </w:rPr>
        <w:br/>
        <w:t xml:space="preserve">The next weekly teleconference call is scheduled for </w:t>
      </w:r>
      <w:r w:rsidR="000B282E">
        <w:rPr>
          <w:sz w:val="24"/>
          <w:szCs w:val="24"/>
        </w:rPr>
        <w:t>9 November</w:t>
      </w:r>
      <w:r w:rsidR="0049422B">
        <w:rPr>
          <w:sz w:val="24"/>
          <w:szCs w:val="24"/>
        </w:rPr>
        <w:t xml:space="preserve"> </w:t>
      </w:r>
      <w:r>
        <w:rPr>
          <w:sz w:val="24"/>
          <w:szCs w:val="24"/>
        </w:rPr>
        <w:t>2023.</w:t>
      </w:r>
      <w:r>
        <w:rPr>
          <w:sz w:val="24"/>
          <w:szCs w:val="24"/>
        </w:rPr>
        <w:br/>
      </w:r>
      <w:r>
        <w:rPr>
          <w:sz w:val="24"/>
          <w:szCs w:val="24"/>
        </w:rPr>
        <w:br/>
        <w:t xml:space="preserve">Reminder of registration for the IEEE 802 </w:t>
      </w:r>
      <w:r w:rsidR="009E651D">
        <w:rPr>
          <w:sz w:val="24"/>
          <w:szCs w:val="24"/>
        </w:rPr>
        <w:t>November</w:t>
      </w:r>
      <w:r w:rsidR="00732548">
        <w:rPr>
          <w:sz w:val="24"/>
          <w:szCs w:val="24"/>
        </w:rPr>
        <w:t xml:space="preserve"> 2023 </w:t>
      </w:r>
      <w:r w:rsidR="009E651D">
        <w:rPr>
          <w:sz w:val="24"/>
          <w:szCs w:val="24"/>
        </w:rPr>
        <w:t>plenary</w:t>
      </w:r>
      <w:r w:rsidR="00EF3DFB">
        <w:rPr>
          <w:sz w:val="24"/>
          <w:szCs w:val="24"/>
        </w:rPr>
        <w:t xml:space="preserve"> and the IEEE 802 January 2024 wireless interim, which is an credited session</w:t>
      </w:r>
      <w:r w:rsidR="008E2940">
        <w:rPr>
          <w:sz w:val="24"/>
          <w:szCs w:val="24"/>
        </w:rPr>
        <w:t>.</w:t>
      </w:r>
      <w:r w:rsidR="00BA18FD">
        <w:rPr>
          <w:sz w:val="24"/>
          <w:szCs w:val="24"/>
        </w:rPr>
        <w:t xml:space="preserve">  Webex will be provided for those who attend the mixed mode meetings virtually.</w:t>
      </w:r>
      <w:r>
        <w:rPr>
          <w:sz w:val="24"/>
          <w:szCs w:val="24"/>
        </w:rPr>
        <w:br/>
      </w:r>
    </w:p>
    <w:p w:rsidR="0003157D" w:rsidRDefault="005A7D3D">
      <w:pPr>
        <w:numPr>
          <w:ilvl w:val="0"/>
          <w:numId w:val="1"/>
        </w:numPr>
        <w:contextualSpacing/>
        <w:rPr>
          <w:b/>
          <w:sz w:val="24"/>
          <w:szCs w:val="24"/>
        </w:rPr>
      </w:pPr>
      <w:r>
        <w:rPr>
          <w:b/>
          <w:sz w:val="24"/>
          <w:szCs w:val="24"/>
        </w:rPr>
        <w:t>Any other business</w:t>
      </w:r>
    </w:p>
    <w:p w:rsidR="00D906A0" w:rsidRDefault="00D906A0">
      <w:pPr>
        <w:contextualSpacing/>
        <w:rPr>
          <w:sz w:val="24"/>
          <w:szCs w:val="24"/>
        </w:rPr>
      </w:pPr>
    </w:p>
    <w:p w:rsidR="00461F7D" w:rsidRDefault="00186616" w:rsidP="00461F7D">
      <w:pPr>
        <w:contextualSpacing/>
        <w:jc w:val="both"/>
        <w:rPr>
          <w:sz w:val="24"/>
          <w:szCs w:val="24"/>
        </w:rPr>
      </w:pPr>
      <w:r>
        <w:rPr>
          <w:sz w:val="24"/>
          <w:szCs w:val="24"/>
        </w:rPr>
        <w:t>None.</w:t>
      </w:r>
    </w:p>
    <w:p w:rsidR="00461F7D" w:rsidRDefault="00461F7D" w:rsidP="00461F7D">
      <w:pPr>
        <w:contextualSpacing/>
        <w:rPr>
          <w:sz w:val="24"/>
          <w:szCs w:val="24"/>
        </w:rPr>
      </w:pPr>
    </w:p>
    <w:p w:rsidR="0003157D" w:rsidRDefault="005A7D3D">
      <w:pPr>
        <w:numPr>
          <w:ilvl w:val="0"/>
          <w:numId w:val="1"/>
        </w:numPr>
        <w:contextualSpacing/>
        <w:rPr>
          <w:b/>
          <w:sz w:val="24"/>
          <w:szCs w:val="24"/>
        </w:rPr>
      </w:pPr>
      <w:r>
        <w:rPr>
          <w:b/>
          <w:sz w:val="24"/>
          <w:szCs w:val="24"/>
        </w:rPr>
        <w:t>Final administrative items</w:t>
      </w:r>
    </w:p>
    <w:p w:rsidR="0003157D" w:rsidRDefault="005A7D3D" w:rsidP="00131F4A">
      <w:pPr>
        <w:numPr>
          <w:ilvl w:val="1"/>
          <w:numId w:val="1"/>
        </w:numPr>
        <w:contextualSpacing/>
        <w:jc w:val="both"/>
        <w:rPr>
          <w:color w:val="000000"/>
          <w:sz w:val="24"/>
          <w:szCs w:val="24"/>
        </w:rPr>
      </w:pPr>
      <w:r>
        <w:rPr>
          <w:color w:val="000000"/>
          <w:sz w:val="24"/>
          <w:szCs w:val="24"/>
        </w:rPr>
        <w:t xml:space="preserve">Next 802.18 </w:t>
      </w:r>
      <w:r w:rsidR="00C63CED">
        <w:rPr>
          <w:color w:val="000000"/>
          <w:sz w:val="24"/>
          <w:szCs w:val="24"/>
        </w:rPr>
        <w:t>plenary</w:t>
      </w:r>
      <w:r>
        <w:rPr>
          <w:color w:val="000000"/>
          <w:sz w:val="24"/>
          <w:szCs w:val="24"/>
        </w:rPr>
        <w:t xml:space="preserve"> session is scheduled for week: </w:t>
      </w:r>
      <w:r w:rsidR="00C63CED">
        <w:rPr>
          <w:color w:val="000000"/>
          <w:sz w:val="24"/>
          <w:szCs w:val="24"/>
        </w:rPr>
        <w:t>12 November to 17 November</w:t>
      </w:r>
      <w:r>
        <w:rPr>
          <w:color w:val="000000"/>
          <w:sz w:val="24"/>
          <w:szCs w:val="24"/>
        </w:rPr>
        <w:t xml:space="preserve"> 2023. </w:t>
      </w:r>
    </w:p>
    <w:p w:rsidR="0003157D" w:rsidRDefault="000B282E">
      <w:pPr>
        <w:numPr>
          <w:ilvl w:val="3"/>
          <w:numId w:val="1"/>
        </w:numPr>
        <w:contextualSpacing/>
      </w:pPr>
      <w:r>
        <w:rPr>
          <w:color w:val="000000"/>
          <w:sz w:val="24"/>
          <w:szCs w:val="24"/>
        </w:rPr>
        <w:t xml:space="preserve">Call in info is available at </w:t>
      </w:r>
      <w:hyperlink r:id="rId18">
        <w:r>
          <w:rPr>
            <w:rStyle w:val="Internetlnk"/>
            <w:sz w:val="24"/>
            <w:szCs w:val="24"/>
          </w:rPr>
          <w:t>IEEE 802.18 TAG Calendar</w:t>
        </w:r>
      </w:hyperlink>
    </w:p>
    <w:p w:rsidR="0003157D" w:rsidRDefault="005A7D3D">
      <w:pPr>
        <w:numPr>
          <w:ilvl w:val="3"/>
          <w:numId w:val="1"/>
        </w:numPr>
        <w:contextualSpacing/>
        <w:rPr>
          <w:sz w:val="24"/>
          <w:szCs w:val="24"/>
        </w:rPr>
      </w:pPr>
      <w:r>
        <w:rPr>
          <w:sz w:val="24"/>
          <w:szCs w:val="24"/>
        </w:rPr>
        <w:t xml:space="preserve">All late changes/cancellations will be sent out to the 802.18 list server. </w:t>
      </w:r>
    </w:p>
    <w:p w:rsidR="0003157D" w:rsidRDefault="005A7D3D">
      <w:pPr>
        <w:numPr>
          <w:ilvl w:val="1"/>
          <w:numId w:val="1"/>
        </w:numPr>
        <w:contextualSpacing/>
        <w:rPr>
          <w:bCs/>
          <w:sz w:val="24"/>
          <w:szCs w:val="24"/>
        </w:rPr>
      </w:pPr>
      <w:r>
        <w:rPr>
          <w:bCs/>
          <w:sz w:val="24"/>
          <w:szCs w:val="24"/>
        </w:rPr>
        <w:t xml:space="preserve">Adjourn: </w:t>
      </w:r>
      <w:r>
        <w:rPr>
          <w:bCs/>
          <w:sz w:val="24"/>
          <w:szCs w:val="24"/>
        </w:rPr>
        <w:tab/>
        <w:t xml:space="preserve"> </w:t>
      </w:r>
    </w:p>
    <w:p w:rsidR="0003157D" w:rsidRDefault="005A7D3D">
      <w:pPr>
        <w:pStyle w:val="ListParagraph"/>
        <w:numPr>
          <w:ilvl w:val="0"/>
          <w:numId w:val="3"/>
        </w:numPr>
        <w:ind w:left="720" w:firstLine="0"/>
        <w:contextualSpacing/>
        <w:rPr>
          <w:sz w:val="24"/>
          <w:szCs w:val="24"/>
        </w:rPr>
      </w:pPr>
      <w:r>
        <w:rPr>
          <w:sz w:val="24"/>
          <w:szCs w:val="24"/>
        </w:rPr>
        <w:t>Any objection to Adjourn?  None heard.</w:t>
      </w:r>
    </w:p>
    <w:p w:rsidR="0003157D" w:rsidRDefault="005A7D3D">
      <w:pPr>
        <w:pStyle w:val="ListParagraph"/>
        <w:numPr>
          <w:ilvl w:val="0"/>
          <w:numId w:val="3"/>
        </w:numPr>
        <w:ind w:left="720" w:firstLine="0"/>
        <w:contextualSpacing/>
        <w:rPr>
          <w:sz w:val="24"/>
          <w:szCs w:val="24"/>
        </w:rPr>
      </w:pPr>
      <w:r>
        <w:rPr>
          <w:sz w:val="24"/>
          <w:szCs w:val="24"/>
        </w:rPr>
        <w:t xml:space="preserve">Adjourn at </w:t>
      </w:r>
      <w:r w:rsidR="00DE4DCC">
        <w:rPr>
          <w:sz w:val="24"/>
          <w:szCs w:val="24"/>
        </w:rPr>
        <w:t>1</w:t>
      </w:r>
      <w:r w:rsidR="000B282E">
        <w:rPr>
          <w:sz w:val="24"/>
          <w:szCs w:val="24"/>
        </w:rPr>
        <w:t>6:00</w:t>
      </w:r>
      <w:r w:rsidR="00DE4DCC">
        <w:rPr>
          <w:sz w:val="24"/>
          <w:szCs w:val="24"/>
        </w:rPr>
        <w:t xml:space="preserve"> ET</w:t>
      </w:r>
    </w:p>
    <w:p w:rsidR="0003157D" w:rsidRDefault="0003157D">
      <w:pPr>
        <w:rPr>
          <w:sz w:val="24"/>
          <w:szCs w:val="24"/>
        </w:rPr>
      </w:pPr>
    </w:p>
    <w:p w:rsidR="00627E64" w:rsidRDefault="00627E64">
      <w:pPr>
        <w:rPr>
          <w:b/>
          <w:sz w:val="24"/>
          <w:szCs w:val="24"/>
        </w:rPr>
      </w:pPr>
      <w:r>
        <w:rPr>
          <w:b/>
          <w:sz w:val="24"/>
          <w:szCs w:val="24"/>
        </w:rPr>
        <w:br w:type="page"/>
      </w:r>
    </w:p>
    <w:p w:rsidR="0003157D" w:rsidRDefault="005A7D3D">
      <w:pPr>
        <w:pStyle w:val="ListParagraph"/>
        <w:ind w:left="0"/>
        <w:rPr>
          <w:rFonts w:eastAsia="Times New Roman"/>
          <w:b/>
          <w:bCs/>
          <w:sz w:val="24"/>
          <w:szCs w:val="24"/>
        </w:rPr>
      </w:pPr>
      <w:r>
        <w:rPr>
          <w:b/>
          <w:sz w:val="24"/>
          <w:szCs w:val="24"/>
        </w:rPr>
        <w:lastRenderedPageBreak/>
        <w:t>ATTENDANCE (</w:t>
      </w:r>
      <w:r>
        <w:rPr>
          <w:rFonts w:eastAsia="Times New Roman"/>
          <w:b/>
          <w:bCs/>
          <w:sz w:val="24"/>
          <w:szCs w:val="24"/>
        </w:rPr>
        <w:t>Weekly Meeting Attendance Names and Affiliations):</w:t>
      </w:r>
    </w:p>
    <w:p w:rsidR="00224DC6" w:rsidRPr="002145D6" w:rsidRDefault="002727F3" w:rsidP="002145D6">
      <w:pPr>
        <w:contextualSpacing/>
        <w:rPr>
          <w:color w:val="000000"/>
          <w:sz w:val="24"/>
          <w:szCs w:val="24"/>
        </w:rPr>
      </w:pPr>
      <w:r>
        <w:rPr>
          <w:color w:val="000000"/>
          <w:sz w:val="24"/>
          <w:szCs w:val="24"/>
        </w:rPr>
        <w:t>22</w:t>
      </w:r>
      <w:r w:rsidR="0080748D" w:rsidRPr="00A709B7">
        <w:rPr>
          <w:color w:val="000000"/>
          <w:sz w:val="24"/>
          <w:szCs w:val="24"/>
        </w:rPr>
        <w:t xml:space="preserve"> attendees, </w:t>
      </w:r>
      <w:r w:rsidR="00CA419F">
        <w:rPr>
          <w:color w:val="000000"/>
          <w:sz w:val="24"/>
          <w:szCs w:val="24"/>
        </w:rPr>
        <w:t>1</w:t>
      </w:r>
      <w:r>
        <w:rPr>
          <w:color w:val="000000"/>
          <w:sz w:val="24"/>
          <w:szCs w:val="24"/>
        </w:rPr>
        <w:t>7</w:t>
      </w:r>
      <w:r w:rsidR="0080748D" w:rsidRPr="00A709B7">
        <w:rPr>
          <w:color w:val="000000"/>
          <w:sz w:val="24"/>
          <w:szCs w:val="24"/>
        </w:rPr>
        <w:t xml:space="preserve"> voters (including the chair) [Audited and reported by Stuart Kerry]. </w:t>
      </w:r>
    </w:p>
    <w:tbl>
      <w:tblPr>
        <w:tblW w:w="10485" w:type="dxa"/>
        <w:tblCellSpacing w:w="90" w:type="dxa"/>
        <w:tblInd w:w="171" w:type="dxa"/>
        <w:tblBorders>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2"/>
        <w:gridCol w:w="1883"/>
        <w:gridCol w:w="2335"/>
        <w:gridCol w:w="4216"/>
        <w:gridCol w:w="1329"/>
      </w:tblGrid>
      <w:tr w:rsidR="002145D6" w:rsidRPr="002145D6" w:rsidTr="002145D6">
        <w:trPr>
          <w:trHeight w:val="255"/>
          <w:tblCellSpacing w:w="90" w:type="dxa"/>
        </w:trPr>
        <w:tc>
          <w:tcPr>
            <w:tcW w:w="8894" w:type="dxa"/>
            <w:gridSpan w:val="4"/>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Voting Attendees:</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2-Nov</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1</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Au</w:t>
            </w:r>
          </w:p>
        </w:tc>
        <w:tc>
          <w:tcPr>
            <w:tcW w:w="2140"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Edward (Kwok Shum)</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Huawei Technologies Co., Ltd</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2</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Auluck</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Vijay</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Self</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3</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Fang</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Yonggang</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MediaTek Inc.</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4</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Hiertz</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Guido</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Ericsson GmbH</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5</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Holcomb</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Jay</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Self</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6</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Kain</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Carl</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USDOT, Noblis, Inc.</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7</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Kenney</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John</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TOYOTA InfoTechnology Center U.S.A.</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8</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Kerry</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Stuart</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OK</w:t>
            </w:r>
            <w:r w:rsidRPr="002145D6">
              <w:rPr>
                <w:rFonts w:ascii="Cambria Math" w:eastAsia="Times New Roman" w:hAnsi="Cambria Math" w:cs="Cambria Math"/>
                <w:color w:val="222222"/>
                <w:sz w:val="20"/>
                <w:lang w:eastAsia="zh-CN"/>
              </w:rPr>
              <w:t>‐</w:t>
            </w:r>
            <w:r w:rsidRPr="002145D6">
              <w:rPr>
                <w:rFonts w:eastAsia="Times New Roman"/>
                <w:color w:val="222222"/>
                <w:sz w:val="20"/>
                <w:lang w:eastAsia="zh-CN"/>
              </w:rPr>
              <w:t>Brit, Self</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9</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Kürner</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Thomas</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TU Braunschweig</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10</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Levy</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Joseph</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InterDigital, Inc.</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11</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Lynch</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Michael</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MJ Lynch &amp; Associates, LLC.</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12</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Nikolich</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Paul</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Self</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13</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Petrick</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Al</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Skyworks Solutions Inc.</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14</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Pirhonen</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Riku</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NXP Semiconductors</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117"/>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15</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Scott</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Andy</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NCTA – The Internet &amp; Television Association</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16</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Ward</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Lisa</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Rohde &amp; Schwarz</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both"/>
              <w:rPr>
                <w:rFonts w:eastAsia="Times New Roman"/>
                <w:color w:val="222222"/>
                <w:sz w:val="20"/>
                <w:lang w:eastAsia="zh-CN"/>
              </w:rPr>
            </w:pPr>
            <w:r w:rsidRPr="002145D6">
              <w:rPr>
                <w:rFonts w:eastAsia="Times New Roman"/>
                <w:color w:val="222222"/>
                <w:sz w:val="20"/>
                <w:lang w:eastAsia="zh-CN"/>
              </w:rPr>
              <w:t>17</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Yaghoobi</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Hassan</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Intel Corporation</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8894" w:type="dxa"/>
            <w:gridSpan w:val="4"/>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Non-Voting Attendees:</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2-Nov</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1</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Gowans</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Andy</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Cisco Systems</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2</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Haasz</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Jodi</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IEEE SA</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3</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Hamilton</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Mark</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Ruckus/CommScope</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4</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Patwardhan</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Gaurav</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Hewlett Packard Enterprise</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r w:rsidR="002145D6" w:rsidRPr="002145D6" w:rsidTr="002145D6">
        <w:trPr>
          <w:trHeight w:val="255"/>
          <w:tblCellSpacing w:w="90" w:type="dxa"/>
        </w:trPr>
        <w:tc>
          <w:tcPr>
            <w:tcW w:w="442"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5</w:t>
            </w:r>
          </w:p>
        </w:tc>
        <w:tc>
          <w:tcPr>
            <w:tcW w:w="1687"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b/>
                <w:bCs/>
                <w:color w:val="222222"/>
                <w:sz w:val="20"/>
                <w:lang w:eastAsia="zh-CN"/>
              </w:rPr>
              <w:t>Rolfe</w:t>
            </w:r>
          </w:p>
        </w:tc>
        <w:tc>
          <w:tcPr>
            <w:tcW w:w="2140"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Benjamin</w:t>
            </w:r>
          </w:p>
        </w:tc>
        <w:tc>
          <w:tcPr>
            <w:tcW w:w="4085" w:type="dxa"/>
            <w:shd w:val="clear" w:color="auto" w:fill="FFFFFF"/>
            <w:tcMar>
              <w:top w:w="0" w:type="dxa"/>
              <w:left w:w="108" w:type="dxa"/>
              <w:bottom w:w="0" w:type="dxa"/>
              <w:right w:w="108" w:type="dxa"/>
            </w:tcMar>
            <w:vAlign w:val="center"/>
            <w:hideMark/>
          </w:tcPr>
          <w:p w:rsidR="002145D6" w:rsidRPr="002145D6" w:rsidRDefault="002145D6" w:rsidP="002145D6">
            <w:pPr>
              <w:suppressAutoHyphens w:val="0"/>
              <w:rPr>
                <w:rFonts w:eastAsia="Times New Roman"/>
                <w:color w:val="222222"/>
                <w:sz w:val="20"/>
                <w:lang w:eastAsia="zh-CN"/>
              </w:rPr>
            </w:pPr>
            <w:r w:rsidRPr="002145D6">
              <w:rPr>
                <w:rFonts w:eastAsia="Times New Roman"/>
                <w:color w:val="222222"/>
                <w:sz w:val="20"/>
                <w:lang w:eastAsia="zh-CN"/>
              </w:rPr>
              <w:t>Blind Creek Associates</w:t>
            </w:r>
          </w:p>
        </w:tc>
        <w:tc>
          <w:tcPr>
            <w:tcW w:w="1051" w:type="dxa"/>
            <w:shd w:val="clear" w:color="auto" w:fill="FFFFFF"/>
            <w:noWrap/>
            <w:tcMar>
              <w:top w:w="0" w:type="dxa"/>
              <w:left w:w="108" w:type="dxa"/>
              <w:bottom w:w="0" w:type="dxa"/>
              <w:right w:w="108" w:type="dxa"/>
            </w:tcMar>
            <w:vAlign w:val="center"/>
            <w:hideMark/>
          </w:tcPr>
          <w:p w:rsidR="002145D6" w:rsidRPr="002145D6" w:rsidRDefault="002145D6" w:rsidP="002145D6">
            <w:pPr>
              <w:suppressAutoHyphens w:val="0"/>
              <w:jc w:val="center"/>
              <w:rPr>
                <w:rFonts w:eastAsia="Times New Roman"/>
                <w:color w:val="222222"/>
                <w:sz w:val="20"/>
                <w:lang w:eastAsia="zh-CN"/>
              </w:rPr>
            </w:pPr>
            <w:r w:rsidRPr="002145D6">
              <w:rPr>
                <w:rFonts w:eastAsia="Times New Roman"/>
                <w:b/>
                <w:bCs/>
                <w:color w:val="222222"/>
                <w:sz w:val="20"/>
                <w:lang w:eastAsia="zh-CN"/>
              </w:rPr>
              <w:t>x</w:t>
            </w:r>
          </w:p>
        </w:tc>
      </w:tr>
    </w:tbl>
    <w:p w:rsidR="002145D6" w:rsidRDefault="002145D6">
      <w:pPr>
        <w:pStyle w:val="ListParagraph"/>
        <w:ind w:left="0"/>
        <w:rPr>
          <w:rFonts w:eastAsia="Times New Roman"/>
          <w:b/>
          <w:bCs/>
          <w:sz w:val="24"/>
          <w:szCs w:val="24"/>
        </w:rPr>
      </w:pPr>
    </w:p>
    <w:p w:rsidR="002145D6" w:rsidRPr="0049736E" w:rsidRDefault="002145D6">
      <w:pPr>
        <w:pStyle w:val="ListParagraph"/>
        <w:ind w:left="0"/>
        <w:rPr>
          <w:rFonts w:eastAsia="Times New Roman"/>
          <w:b/>
          <w:bCs/>
          <w:sz w:val="24"/>
          <w:szCs w:val="24"/>
        </w:rPr>
      </w:pPr>
    </w:p>
    <w:sectPr w:rsidR="002145D6" w:rsidRPr="0049736E">
      <w:headerReference w:type="default" r:id="rId19"/>
      <w:footerReference w:type="default" r:id="rId20"/>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50E" w:rsidRDefault="009E050E">
      <w:r>
        <w:separator/>
      </w:r>
    </w:p>
  </w:endnote>
  <w:endnote w:type="continuationSeparator" w:id="0">
    <w:p w:rsidR="009E050E" w:rsidRDefault="009E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1"/>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64720E">
    <w:pPr>
      <w:pStyle w:val="Footer"/>
      <w:tabs>
        <w:tab w:val="clear" w:pos="6480"/>
        <w:tab w:val="center" w:pos="5040"/>
        <w:tab w:val="right" w:pos="9990"/>
      </w:tabs>
    </w:pPr>
    <w:fldSimple w:instr=" SUBJECT ">
      <w:r w:rsidR="005A7D3D">
        <w:t>RR-TAG Minutes</w:t>
      </w:r>
    </w:fldSimple>
    <w:r w:rsidR="005A7D3D">
      <w:tab/>
      <w:t xml:space="preserve">page </w:t>
    </w:r>
    <w:r w:rsidR="005A7D3D">
      <w:fldChar w:fldCharType="begin"/>
    </w:r>
    <w:r w:rsidR="005A7D3D">
      <w:instrText xml:space="preserve"> PAGE </w:instrText>
    </w:r>
    <w:r w:rsidR="005A7D3D">
      <w:fldChar w:fldCharType="separate"/>
    </w:r>
    <w:r w:rsidR="00B02773">
      <w:rPr>
        <w:noProof/>
      </w:rPr>
      <w:t>5</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B02773">
      <w:rPr>
        <w:noProof/>
      </w:rPr>
      <w:t>5</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50E" w:rsidRDefault="009E050E">
      <w:r>
        <w:separator/>
      </w:r>
    </w:p>
  </w:footnote>
  <w:footnote w:type="continuationSeparator" w:id="0">
    <w:p w:rsidR="009E050E" w:rsidRDefault="009E0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4809B3">
    <w:pPr>
      <w:pStyle w:val="Header"/>
      <w:tabs>
        <w:tab w:val="clear" w:pos="6480"/>
        <w:tab w:val="center" w:pos="4680"/>
        <w:tab w:val="right" w:pos="9990"/>
      </w:tabs>
    </w:pPr>
    <w:r>
      <w:t>November</w:t>
    </w:r>
    <w:r w:rsidR="004D1FB4">
      <w:t xml:space="preserve"> </w:t>
    </w:r>
    <w:r w:rsidR="005A7D3D">
      <w:t>2023</w:t>
    </w:r>
    <w:r w:rsidR="005A7D3D">
      <w:tab/>
    </w:r>
    <w:r w:rsidR="005A7D3D">
      <w:tab/>
      <w:t>doc.: IEEE 802.18-23</w:t>
    </w:r>
    <w:r w:rsidR="00B51957">
      <w:t>/</w:t>
    </w:r>
    <w:r w:rsidR="00055C42">
      <w:t>01</w:t>
    </w:r>
    <w:r w:rsidR="00D83414">
      <w:t>2</w:t>
    </w:r>
    <w:r>
      <w:t>6</w:t>
    </w:r>
    <w:r w:rsidR="005A7D3D">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57D"/>
    <w:rsid w:val="000216D9"/>
    <w:rsid w:val="00023465"/>
    <w:rsid w:val="0003157D"/>
    <w:rsid w:val="0003342E"/>
    <w:rsid w:val="00034533"/>
    <w:rsid w:val="00055C42"/>
    <w:rsid w:val="00081286"/>
    <w:rsid w:val="000854B8"/>
    <w:rsid w:val="000A1E80"/>
    <w:rsid w:val="000B282E"/>
    <w:rsid w:val="000B7671"/>
    <w:rsid w:val="000C00BA"/>
    <w:rsid w:val="000D25BC"/>
    <w:rsid w:val="0010213C"/>
    <w:rsid w:val="001076E0"/>
    <w:rsid w:val="00107790"/>
    <w:rsid w:val="00127139"/>
    <w:rsid w:val="00127EF7"/>
    <w:rsid w:val="00131F4A"/>
    <w:rsid w:val="001406A0"/>
    <w:rsid w:val="00180DB9"/>
    <w:rsid w:val="00182D7F"/>
    <w:rsid w:val="00186616"/>
    <w:rsid w:val="001C068B"/>
    <w:rsid w:val="001E0F4A"/>
    <w:rsid w:val="001F58A5"/>
    <w:rsid w:val="002008CB"/>
    <w:rsid w:val="002051A0"/>
    <w:rsid w:val="002145D6"/>
    <w:rsid w:val="00224DC6"/>
    <w:rsid w:val="002337FD"/>
    <w:rsid w:val="00233AF0"/>
    <w:rsid w:val="00260977"/>
    <w:rsid w:val="002727F3"/>
    <w:rsid w:val="00281CA1"/>
    <w:rsid w:val="002A47B0"/>
    <w:rsid w:val="002B0D03"/>
    <w:rsid w:val="002C07EF"/>
    <w:rsid w:val="002D41CA"/>
    <w:rsid w:val="002E09CE"/>
    <w:rsid w:val="002F7422"/>
    <w:rsid w:val="003060FF"/>
    <w:rsid w:val="003331E1"/>
    <w:rsid w:val="003378E6"/>
    <w:rsid w:val="00342103"/>
    <w:rsid w:val="00347BC3"/>
    <w:rsid w:val="00360586"/>
    <w:rsid w:val="00393326"/>
    <w:rsid w:val="003A13B9"/>
    <w:rsid w:val="00411AC5"/>
    <w:rsid w:val="00413210"/>
    <w:rsid w:val="00417972"/>
    <w:rsid w:val="00455530"/>
    <w:rsid w:val="00461F7D"/>
    <w:rsid w:val="00474079"/>
    <w:rsid w:val="004809B3"/>
    <w:rsid w:val="0049422B"/>
    <w:rsid w:val="0049736E"/>
    <w:rsid w:val="004A41A5"/>
    <w:rsid w:val="004C7F27"/>
    <w:rsid w:val="004D1FB4"/>
    <w:rsid w:val="004D6244"/>
    <w:rsid w:val="004F1B8C"/>
    <w:rsid w:val="004F2FEB"/>
    <w:rsid w:val="005229BF"/>
    <w:rsid w:val="00543E9A"/>
    <w:rsid w:val="00553279"/>
    <w:rsid w:val="00575C51"/>
    <w:rsid w:val="005A1274"/>
    <w:rsid w:val="005A25AD"/>
    <w:rsid w:val="005A7D3D"/>
    <w:rsid w:val="005C3ABD"/>
    <w:rsid w:val="005E17E0"/>
    <w:rsid w:val="005F4717"/>
    <w:rsid w:val="00602F43"/>
    <w:rsid w:val="00605EBF"/>
    <w:rsid w:val="00614EA6"/>
    <w:rsid w:val="0062363F"/>
    <w:rsid w:val="00627E64"/>
    <w:rsid w:val="00641690"/>
    <w:rsid w:val="0064720E"/>
    <w:rsid w:val="0068732D"/>
    <w:rsid w:val="00693143"/>
    <w:rsid w:val="0069536D"/>
    <w:rsid w:val="006A1C81"/>
    <w:rsid w:val="006E4706"/>
    <w:rsid w:val="006E4DAD"/>
    <w:rsid w:val="007037E5"/>
    <w:rsid w:val="007262D4"/>
    <w:rsid w:val="00732548"/>
    <w:rsid w:val="00735A91"/>
    <w:rsid w:val="00743F72"/>
    <w:rsid w:val="00750FFE"/>
    <w:rsid w:val="0075369B"/>
    <w:rsid w:val="00754F4C"/>
    <w:rsid w:val="00762A3C"/>
    <w:rsid w:val="007A4D36"/>
    <w:rsid w:val="007B4459"/>
    <w:rsid w:val="007C5087"/>
    <w:rsid w:val="007C53B6"/>
    <w:rsid w:val="007E5766"/>
    <w:rsid w:val="007E700C"/>
    <w:rsid w:val="007F276B"/>
    <w:rsid w:val="00806BE7"/>
    <w:rsid w:val="0080748D"/>
    <w:rsid w:val="00845800"/>
    <w:rsid w:val="00851E5F"/>
    <w:rsid w:val="00853FC1"/>
    <w:rsid w:val="00856438"/>
    <w:rsid w:val="00863F29"/>
    <w:rsid w:val="00887467"/>
    <w:rsid w:val="008962F8"/>
    <w:rsid w:val="008A40DF"/>
    <w:rsid w:val="008B1920"/>
    <w:rsid w:val="008C42C0"/>
    <w:rsid w:val="008D6ED6"/>
    <w:rsid w:val="008E035F"/>
    <w:rsid w:val="008E2940"/>
    <w:rsid w:val="008F48AA"/>
    <w:rsid w:val="00937692"/>
    <w:rsid w:val="0095200F"/>
    <w:rsid w:val="00961C78"/>
    <w:rsid w:val="00967F06"/>
    <w:rsid w:val="00974A6E"/>
    <w:rsid w:val="0099389F"/>
    <w:rsid w:val="009E050E"/>
    <w:rsid w:val="009E3965"/>
    <w:rsid w:val="009E651D"/>
    <w:rsid w:val="009F46D5"/>
    <w:rsid w:val="00A709B7"/>
    <w:rsid w:val="00A70AF8"/>
    <w:rsid w:val="00AB079C"/>
    <w:rsid w:val="00AD34B8"/>
    <w:rsid w:val="00AF1FDF"/>
    <w:rsid w:val="00AF2DAA"/>
    <w:rsid w:val="00B01DBA"/>
    <w:rsid w:val="00B02773"/>
    <w:rsid w:val="00B15488"/>
    <w:rsid w:val="00B17B31"/>
    <w:rsid w:val="00B22D83"/>
    <w:rsid w:val="00B37C26"/>
    <w:rsid w:val="00B51957"/>
    <w:rsid w:val="00BA18FD"/>
    <w:rsid w:val="00BA6F8E"/>
    <w:rsid w:val="00BB38E4"/>
    <w:rsid w:val="00BB5A95"/>
    <w:rsid w:val="00BC1B6F"/>
    <w:rsid w:val="00BE644E"/>
    <w:rsid w:val="00BF0B11"/>
    <w:rsid w:val="00BF10E7"/>
    <w:rsid w:val="00C07A9F"/>
    <w:rsid w:val="00C10DF6"/>
    <w:rsid w:val="00C156B6"/>
    <w:rsid w:val="00C3334D"/>
    <w:rsid w:val="00C43976"/>
    <w:rsid w:val="00C63CED"/>
    <w:rsid w:val="00C750A7"/>
    <w:rsid w:val="00C755D2"/>
    <w:rsid w:val="00C92BBA"/>
    <w:rsid w:val="00C933B7"/>
    <w:rsid w:val="00CA419F"/>
    <w:rsid w:val="00CA51D7"/>
    <w:rsid w:val="00CB2B3A"/>
    <w:rsid w:val="00CC442E"/>
    <w:rsid w:val="00CD22BB"/>
    <w:rsid w:val="00CE5B44"/>
    <w:rsid w:val="00CF47F0"/>
    <w:rsid w:val="00D40EEA"/>
    <w:rsid w:val="00D463C1"/>
    <w:rsid w:val="00D72902"/>
    <w:rsid w:val="00D83414"/>
    <w:rsid w:val="00D906A0"/>
    <w:rsid w:val="00DA48AD"/>
    <w:rsid w:val="00DB6E2D"/>
    <w:rsid w:val="00DC6605"/>
    <w:rsid w:val="00DC7CE3"/>
    <w:rsid w:val="00DE1F97"/>
    <w:rsid w:val="00DE288B"/>
    <w:rsid w:val="00DE4DCC"/>
    <w:rsid w:val="00E20173"/>
    <w:rsid w:val="00E2350C"/>
    <w:rsid w:val="00E36F4E"/>
    <w:rsid w:val="00E52F07"/>
    <w:rsid w:val="00E5588D"/>
    <w:rsid w:val="00E816D5"/>
    <w:rsid w:val="00EB6906"/>
    <w:rsid w:val="00EB7C70"/>
    <w:rsid w:val="00EF3DFB"/>
    <w:rsid w:val="00F1228A"/>
    <w:rsid w:val="00F20F43"/>
    <w:rsid w:val="00F22374"/>
    <w:rsid w:val="00F41D68"/>
    <w:rsid w:val="00F44230"/>
    <w:rsid w:val="00F45CB6"/>
    <w:rsid w:val="00F47128"/>
    <w:rsid w:val="00FB5B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
    <w:name w:val="Unresolved Mention"/>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4093">
      <w:bodyDiv w:val="1"/>
      <w:marLeft w:val="0"/>
      <w:marRight w:val="0"/>
      <w:marTop w:val="0"/>
      <w:marBottom w:val="0"/>
      <w:divBdr>
        <w:top w:val="none" w:sz="0" w:space="0" w:color="auto"/>
        <w:left w:val="none" w:sz="0" w:space="0" w:color="auto"/>
        <w:bottom w:val="none" w:sz="0" w:space="0" w:color="auto"/>
        <w:right w:val="none" w:sz="0" w:space="0" w:color="auto"/>
      </w:divBdr>
      <w:divsChild>
        <w:div w:id="691956924">
          <w:marLeft w:val="360"/>
          <w:marRight w:val="187"/>
          <w:marTop w:val="120"/>
          <w:marBottom w:val="0"/>
          <w:divBdr>
            <w:top w:val="none" w:sz="0" w:space="0" w:color="auto"/>
            <w:left w:val="none" w:sz="0" w:space="0" w:color="auto"/>
            <w:bottom w:val="none" w:sz="0" w:space="0" w:color="auto"/>
            <w:right w:val="none" w:sz="0" w:space="0" w:color="auto"/>
          </w:divBdr>
        </w:div>
      </w:divsChild>
    </w:div>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31605086">
      <w:bodyDiv w:val="1"/>
      <w:marLeft w:val="0"/>
      <w:marRight w:val="0"/>
      <w:marTop w:val="0"/>
      <w:marBottom w:val="0"/>
      <w:divBdr>
        <w:top w:val="none" w:sz="0" w:space="0" w:color="auto"/>
        <w:left w:val="none" w:sz="0" w:space="0" w:color="auto"/>
        <w:bottom w:val="none" w:sz="0" w:space="0" w:color="auto"/>
        <w:right w:val="none" w:sz="0" w:space="0" w:color="auto"/>
      </w:divBdr>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222299014">
      <w:bodyDiv w:val="1"/>
      <w:marLeft w:val="0"/>
      <w:marRight w:val="0"/>
      <w:marTop w:val="0"/>
      <w:marBottom w:val="0"/>
      <w:divBdr>
        <w:top w:val="none" w:sz="0" w:space="0" w:color="auto"/>
        <w:left w:val="none" w:sz="0" w:space="0" w:color="auto"/>
        <w:bottom w:val="none" w:sz="0" w:space="0" w:color="auto"/>
        <w:right w:val="none" w:sz="0" w:space="0" w:color="auto"/>
      </w:divBdr>
    </w:div>
    <w:div w:id="251091644">
      <w:bodyDiv w:val="1"/>
      <w:marLeft w:val="0"/>
      <w:marRight w:val="0"/>
      <w:marTop w:val="0"/>
      <w:marBottom w:val="0"/>
      <w:divBdr>
        <w:top w:val="none" w:sz="0" w:space="0" w:color="auto"/>
        <w:left w:val="none" w:sz="0" w:space="0" w:color="auto"/>
        <w:bottom w:val="none" w:sz="0" w:space="0" w:color="auto"/>
        <w:right w:val="none" w:sz="0" w:space="0" w:color="auto"/>
      </w:divBdr>
    </w:div>
    <w:div w:id="279529296">
      <w:bodyDiv w:val="1"/>
      <w:marLeft w:val="0"/>
      <w:marRight w:val="0"/>
      <w:marTop w:val="0"/>
      <w:marBottom w:val="0"/>
      <w:divBdr>
        <w:top w:val="none" w:sz="0" w:space="0" w:color="auto"/>
        <w:left w:val="none" w:sz="0" w:space="0" w:color="auto"/>
        <w:bottom w:val="none" w:sz="0" w:space="0" w:color="auto"/>
        <w:right w:val="none" w:sz="0" w:space="0" w:color="auto"/>
      </w:divBdr>
      <w:divsChild>
        <w:div w:id="613445417">
          <w:marLeft w:val="360"/>
          <w:marRight w:val="187"/>
          <w:marTop w:val="120"/>
          <w:marBottom w:val="0"/>
          <w:divBdr>
            <w:top w:val="none" w:sz="0" w:space="0" w:color="auto"/>
            <w:left w:val="none" w:sz="0" w:space="0" w:color="auto"/>
            <w:bottom w:val="none" w:sz="0" w:space="0" w:color="auto"/>
            <w:right w:val="none" w:sz="0" w:space="0" w:color="auto"/>
          </w:divBdr>
        </w:div>
      </w:divsChild>
    </w:div>
    <w:div w:id="317925158">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461576054">
      <w:bodyDiv w:val="1"/>
      <w:marLeft w:val="0"/>
      <w:marRight w:val="0"/>
      <w:marTop w:val="0"/>
      <w:marBottom w:val="0"/>
      <w:divBdr>
        <w:top w:val="none" w:sz="0" w:space="0" w:color="auto"/>
        <w:left w:val="none" w:sz="0" w:space="0" w:color="auto"/>
        <w:bottom w:val="none" w:sz="0" w:space="0" w:color="auto"/>
        <w:right w:val="none" w:sz="0" w:space="0" w:color="auto"/>
      </w:divBdr>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473989044">
      <w:bodyDiv w:val="1"/>
      <w:marLeft w:val="0"/>
      <w:marRight w:val="0"/>
      <w:marTop w:val="0"/>
      <w:marBottom w:val="0"/>
      <w:divBdr>
        <w:top w:val="none" w:sz="0" w:space="0" w:color="auto"/>
        <w:left w:val="none" w:sz="0" w:space="0" w:color="auto"/>
        <w:bottom w:val="none" w:sz="0" w:space="0" w:color="auto"/>
        <w:right w:val="none" w:sz="0" w:space="0" w:color="auto"/>
      </w:divBdr>
    </w:div>
    <w:div w:id="484518919">
      <w:bodyDiv w:val="1"/>
      <w:marLeft w:val="0"/>
      <w:marRight w:val="0"/>
      <w:marTop w:val="0"/>
      <w:marBottom w:val="0"/>
      <w:divBdr>
        <w:top w:val="none" w:sz="0" w:space="0" w:color="auto"/>
        <w:left w:val="none" w:sz="0" w:space="0" w:color="auto"/>
        <w:bottom w:val="none" w:sz="0" w:space="0" w:color="auto"/>
        <w:right w:val="none" w:sz="0" w:space="0" w:color="auto"/>
      </w:divBdr>
    </w:div>
    <w:div w:id="506092640">
      <w:bodyDiv w:val="1"/>
      <w:marLeft w:val="0"/>
      <w:marRight w:val="0"/>
      <w:marTop w:val="0"/>
      <w:marBottom w:val="0"/>
      <w:divBdr>
        <w:top w:val="none" w:sz="0" w:space="0" w:color="auto"/>
        <w:left w:val="none" w:sz="0" w:space="0" w:color="auto"/>
        <w:bottom w:val="none" w:sz="0" w:space="0" w:color="auto"/>
        <w:right w:val="none" w:sz="0" w:space="0" w:color="auto"/>
      </w:divBdr>
    </w:div>
    <w:div w:id="543105199">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360"/>
          <w:marRight w:val="187"/>
          <w:marTop w:val="120"/>
          <w:marBottom w:val="0"/>
          <w:divBdr>
            <w:top w:val="none" w:sz="0" w:space="0" w:color="auto"/>
            <w:left w:val="none" w:sz="0" w:space="0" w:color="auto"/>
            <w:bottom w:val="none" w:sz="0" w:space="0" w:color="auto"/>
            <w:right w:val="none" w:sz="0" w:space="0" w:color="auto"/>
          </w:divBdr>
        </w:div>
      </w:divsChild>
    </w:div>
    <w:div w:id="566501909">
      <w:bodyDiv w:val="1"/>
      <w:marLeft w:val="0"/>
      <w:marRight w:val="0"/>
      <w:marTop w:val="0"/>
      <w:marBottom w:val="0"/>
      <w:divBdr>
        <w:top w:val="none" w:sz="0" w:space="0" w:color="auto"/>
        <w:left w:val="none" w:sz="0" w:space="0" w:color="auto"/>
        <w:bottom w:val="none" w:sz="0" w:space="0" w:color="auto"/>
        <w:right w:val="none" w:sz="0" w:space="0" w:color="auto"/>
      </w:divBdr>
    </w:div>
    <w:div w:id="567345864">
      <w:bodyDiv w:val="1"/>
      <w:marLeft w:val="0"/>
      <w:marRight w:val="0"/>
      <w:marTop w:val="0"/>
      <w:marBottom w:val="0"/>
      <w:divBdr>
        <w:top w:val="none" w:sz="0" w:space="0" w:color="auto"/>
        <w:left w:val="none" w:sz="0" w:space="0" w:color="auto"/>
        <w:bottom w:val="none" w:sz="0" w:space="0" w:color="auto"/>
        <w:right w:val="none" w:sz="0" w:space="0" w:color="auto"/>
      </w:divBdr>
    </w:div>
    <w:div w:id="585455742">
      <w:bodyDiv w:val="1"/>
      <w:marLeft w:val="0"/>
      <w:marRight w:val="0"/>
      <w:marTop w:val="0"/>
      <w:marBottom w:val="0"/>
      <w:divBdr>
        <w:top w:val="none" w:sz="0" w:space="0" w:color="auto"/>
        <w:left w:val="none" w:sz="0" w:space="0" w:color="auto"/>
        <w:bottom w:val="none" w:sz="0" w:space="0" w:color="auto"/>
        <w:right w:val="none" w:sz="0" w:space="0" w:color="auto"/>
      </w:divBdr>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679812895">
      <w:bodyDiv w:val="1"/>
      <w:marLeft w:val="0"/>
      <w:marRight w:val="0"/>
      <w:marTop w:val="0"/>
      <w:marBottom w:val="0"/>
      <w:divBdr>
        <w:top w:val="none" w:sz="0" w:space="0" w:color="auto"/>
        <w:left w:val="none" w:sz="0" w:space="0" w:color="auto"/>
        <w:bottom w:val="none" w:sz="0" w:space="0" w:color="auto"/>
        <w:right w:val="none" w:sz="0" w:space="0" w:color="auto"/>
      </w:divBdr>
      <w:divsChild>
        <w:div w:id="1905947524">
          <w:marLeft w:val="360"/>
          <w:marRight w:val="187"/>
          <w:marTop w:val="120"/>
          <w:marBottom w:val="0"/>
          <w:divBdr>
            <w:top w:val="none" w:sz="0" w:space="0" w:color="auto"/>
            <w:left w:val="none" w:sz="0" w:space="0" w:color="auto"/>
            <w:bottom w:val="none" w:sz="0" w:space="0" w:color="auto"/>
            <w:right w:val="none" w:sz="0" w:space="0" w:color="auto"/>
          </w:divBdr>
        </w:div>
      </w:divsChild>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747457410">
      <w:bodyDiv w:val="1"/>
      <w:marLeft w:val="0"/>
      <w:marRight w:val="0"/>
      <w:marTop w:val="0"/>
      <w:marBottom w:val="0"/>
      <w:divBdr>
        <w:top w:val="none" w:sz="0" w:space="0" w:color="auto"/>
        <w:left w:val="none" w:sz="0" w:space="0" w:color="auto"/>
        <w:bottom w:val="none" w:sz="0" w:space="0" w:color="auto"/>
        <w:right w:val="none" w:sz="0" w:space="0" w:color="auto"/>
      </w:divBdr>
    </w:div>
    <w:div w:id="754401281">
      <w:bodyDiv w:val="1"/>
      <w:marLeft w:val="0"/>
      <w:marRight w:val="0"/>
      <w:marTop w:val="0"/>
      <w:marBottom w:val="0"/>
      <w:divBdr>
        <w:top w:val="none" w:sz="0" w:space="0" w:color="auto"/>
        <w:left w:val="none" w:sz="0" w:space="0" w:color="auto"/>
        <w:bottom w:val="none" w:sz="0" w:space="0" w:color="auto"/>
        <w:right w:val="none" w:sz="0" w:space="0" w:color="auto"/>
      </w:divBdr>
      <w:divsChild>
        <w:div w:id="883106149">
          <w:marLeft w:val="360"/>
          <w:marRight w:val="187"/>
          <w:marTop w:val="360"/>
          <w:marBottom w:val="0"/>
          <w:divBdr>
            <w:top w:val="none" w:sz="0" w:space="0" w:color="auto"/>
            <w:left w:val="none" w:sz="0" w:space="0" w:color="auto"/>
            <w:bottom w:val="none" w:sz="0" w:space="0" w:color="auto"/>
            <w:right w:val="none" w:sz="0" w:space="0" w:color="auto"/>
          </w:divBdr>
        </w:div>
      </w:divsChild>
    </w:div>
    <w:div w:id="755830394">
      <w:bodyDiv w:val="1"/>
      <w:marLeft w:val="0"/>
      <w:marRight w:val="0"/>
      <w:marTop w:val="0"/>
      <w:marBottom w:val="0"/>
      <w:divBdr>
        <w:top w:val="none" w:sz="0" w:space="0" w:color="auto"/>
        <w:left w:val="none" w:sz="0" w:space="0" w:color="auto"/>
        <w:bottom w:val="none" w:sz="0" w:space="0" w:color="auto"/>
        <w:right w:val="none" w:sz="0" w:space="0" w:color="auto"/>
      </w:divBdr>
    </w:div>
    <w:div w:id="811093185">
      <w:bodyDiv w:val="1"/>
      <w:marLeft w:val="0"/>
      <w:marRight w:val="0"/>
      <w:marTop w:val="0"/>
      <w:marBottom w:val="0"/>
      <w:divBdr>
        <w:top w:val="none" w:sz="0" w:space="0" w:color="auto"/>
        <w:left w:val="none" w:sz="0" w:space="0" w:color="auto"/>
        <w:bottom w:val="none" w:sz="0" w:space="0" w:color="auto"/>
        <w:right w:val="none" w:sz="0" w:space="0" w:color="auto"/>
      </w:divBdr>
    </w:div>
    <w:div w:id="854030095">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20796353">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75377961">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07637491">
      <w:bodyDiv w:val="1"/>
      <w:marLeft w:val="0"/>
      <w:marRight w:val="0"/>
      <w:marTop w:val="0"/>
      <w:marBottom w:val="0"/>
      <w:divBdr>
        <w:top w:val="none" w:sz="0" w:space="0" w:color="auto"/>
        <w:left w:val="none" w:sz="0" w:space="0" w:color="auto"/>
        <w:bottom w:val="none" w:sz="0" w:space="0" w:color="auto"/>
        <w:right w:val="none" w:sz="0" w:space="0" w:color="auto"/>
      </w:divBdr>
    </w:div>
    <w:div w:id="1012756816">
      <w:bodyDiv w:val="1"/>
      <w:marLeft w:val="0"/>
      <w:marRight w:val="0"/>
      <w:marTop w:val="0"/>
      <w:marBottom w:val="0"/>
      <w:divBdr>
        <w:top w:val="none" w:sz="0" w:space="0" w:color="auto"/>
        <w:left w:val="none" w:sz="0" w:space="0" w:color="auto"/>
        <w:bottom w:val="none" w:sz="0" w:space="0" w:color="auto"/>
        <w:right w:val="none" w:sz="0" w:space="0" w:color="auto"/>
      </w:divBdr>
    </w:div>
    <w:div w:id="1030882485">
      <w:bodyDiv w:val="1"/>
      <w:marLeft w:val="0"/>
      <w:marRight w:val="0"/>
      <w:marTop w:val="0"/>
      <w:marBottom w:val="0"/>
      <w:divBdr>
        <w:top w:val="none" w:sz="0" w:space="0" w:color="auto"/>
        <w:left w:val="none" w:sz="0" w:space="0" w:color="auto"/>
        <w:bottom w:val="none" w:sz="0" w:space="0" w:color="auto"/>
        <w:right w:val="none" w:sz="0" w:space="0" w:color="auto"/>
      </w:divBdr>
    </w:div>
    <w:div w:id="1052846215">
      <w:bodyDiv w:val="1"/>
      <w:marLeft w:val="0"/>
      <w:marRight w:val="0"/>
      <w:marTop w:val="0"/>
      <w:marBottom w:val="0"/>
      <w:divBdr>
        <w:top w:val="none" w:sz="0" w:space="0" w:color="auto"/>
        <w:left w:val="none" w:sz="0" w:space="0" w:color="auto"/>
        <w:bottom w:val="none" w:sz="0" w:space="0" w:color="auto"/>
        <w:right w:val="none" w:sz="0" w:space="0" w:color="auto"/>
      </w:divBdr>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101488819">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7">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192766948">
      <w:bodyDiv w:val="1"/>
      <w:marLeft w:val="0"/>
      <w:marRight w:val="0"/>
      <w:marTop w:val="0"/>
      <w:marBottom w:val="0"/>
      <w:divBdr>
        <w:top w:val="none" w:sz="0" w:space="0" w:color="auto"/>
        <w:left w:val="none" w:sz="0" w:space="0" w:color="auto"/>
        <w:bottom w:val="none" w:sz="0" w:space="0" w:color="auto"/>
        <w:right w:val="none" w:sz="0" w:space="0" w:color="auto"/>
      </w:divBdr>
      <w:divsChild>
        <w:div w:id="1461070446">
          <w:marLeft w:val="360"/>
          <w:marRight w:val="187"/>
          <w:marTop w:val="120"/>
          <w:marBottom w:val="0"/>
          <w:divBdr>
            <w:top w:val="none" w:sz="0" w:space="0" w:color="auto"/>
            <w:left w:val="none" w:sz="0" w:space="0" w:color="auto"/>
            <w:bottom w:val="none" w:sz="0" w:space="0" w:color="auto"/>
            <w:right w:val="none" w:sz="0" w:space="0" w:color="auto"/>
          </w:divBdr>
        </w:div>
      </w:divsChild>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298295536">
      <w:bodyDiv w:val="1"/>
      <w:marLeft w:val="0"/>
      <w:marRight w:val="0"/>
      <w:marTop w:val="0"/>
      <w:marBottom w:val="0"/>
      <w:divBdr>
        <w:top w:val="none" w:sz="0" w:space="0" w:color="auto"/>
        <w:left w:val="none" w:sz="0" w:space="0" w:color="auto"/>
        <w:bottom w:val="none" w:sz="0" w:space="0" w:color="auto"/>
        <w:right w:val="none" w:sz="0" w:space="0" w:color="auto"/>
      </w:divBdr>
    </w:div>
    <w:div w:id="1310162493">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25665776">
      <w:bodyDiv w:val="1"/>
      <w:marLeft w:val="0"/>
      <w:marRight w:val="0"/>
      <w:marTop w:val="0"/>
      <w:marBottom w:val="0"/>
      <w:divBdr>
        <w:top w:val="none" w:sz="0" w:space="0" w:color="auto"/>
        <w:left w:val="none" w:sz="0" w:space="0" w:color="auto"/>
        <w:bottom w:val="none" w:sz="0" w:space="0" w:color="auto"/>
        <w:right w:val="none" w:sz="0" w:space="0" w:color="auto"/>
      </w:divBdr>
    </w:div>
    <w:div w:id="1350832018">
      <w:bodyDiv w:val="1"/>
      <w:marLeft w:val="0"/>
      <w:marRight w:val="0"/>
      <w:marTop w:val="0"/>
      <w:marBottom w:val="0"/>
      <w:divBdr>
        <w:top w:val="none" w:sz="0" w:space="0" w:color="auto"/>
        <w:left w:val="none" w:sz="0" w:space="0" w:color="auto"/>
        <w:bottom w:val="none" w:sz="0" w:space="0" w:color="auto"/>
        <w:right w:val="none" w:sz="0" w:space="0" w:color="auto"/>
      </w:divBdr>
      <w:divsChild>
        <w:div w:id="663970455">
          <w:marLeft w:val="360"/>
          <w:marRight w:val="187"/>
          <w:marTop w:val="120"/>
          <w:marBottom w:val="0"/>
          <w:divBdr>
            <w:top w:val="none" w:sz="0" w:space="0" w:color="auto"/>
            <w:left w:val="none" w:sz="0" w:space="0" w:color="auto"/>
            <w:bottom w:val="none" w:sz="0" w:space="0" w:color="auto"/>
            <w:right w:val="none" w:sz="0" w:space="0" w:color="auto"/>
          </w:divBdr>
        </w:div>
      </w:divsChild>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430421110">
      <w:bodyDiv w:val="1"/>
      <w:marLeft w:val="0"/>
      <w:marRight w:val="0"/>
      <w:marTop w:val="0"/>
      <w:marBottom w:val="0"/>
      <w:divBdr>
        <w:top w:val="none" w:sz="0" w:space="0" w:color="auto"/>
        <w:left w:val="none" w:sz="0" w:space="0" w:color="auto"/>
        <w:bottom w:val="none" w:sz="0" w:space="0" w:color="auto"/>
        <w:right w:val="none" w:sz="0" w:space="0" w:color="auto"/>
      </w:divBdr>
    </w:div>
    <w:div w:id="1432899645">
      <w:bodyDiv w:val="1"/>
      <w:marLeft w:val="0"/>
      <w:marRight w:val="0"/>
      <w:marTop w:val="0"/>
      <w:marBottom w:val="0"/>
      <w:divBdr>
        <w:top w:val="none" w:sz="0" w:space="0" w:color="auto"/>
        <w:left w:val="none" w:sz="0" w:space="0" w:color="auto"/>
        <w:bottom w:val="none" w:sz="0" w:space="0" w:color="auto"/>
        <w:right w:val="none" w:sz="0" w:space="0" w:color="auto"/>
      </w:divBdr>
    </w:div>
    <w:div w:id="1442650211">
      <w:bodyDiv w:val="1"/>
      <w:marLeft w:val="0"/>
      <w:marRight w:val="0"/>
      <w:marTop w:val="0"/>
      <w:marBottom w:val="0"/>
      <w:divBdr>
        <w:top w:val="none" w:sz="0" w:space="0" w:color="auto"/>
        <w:left w:val="none" w:sz="0" w:space="0" w:color="auto"/>
        <w:bottom w:val="none" w:sz="0" w:space="0" w:color="auto"/>
        <w:right w:val="none" w:sz="0" w:space="0" w:color="auto"/>
      </w:divBdr>
    </w:div>
    <w:div w:id="1450515944">
      <w:bodyDiv w:val="1"/>
      <w:marLeft w:val="0"/>
      <w:marRight w:val="0"/>
      <w:marTop w:val="0"/>
      <w:marBottom w:val="0"/>
      <w:divBdr>
        <w:top w:val="none" w:sz="0" w:space="0" w:color="auto"/>
        <w:left w:val="none" w:sz="0" w:space="0" w:color="auto"/>
        <w:bottom w:val="none" w:sz="0" w:space="0" w:color="auto"/>
        <w:right w:val="none" w:sz="0" w:space="0" w:color="auto"/>
      </w:divBdr>
    </w:div>
    <w:div w:id="1476869783">
      <w:bodyDiv w:val="1"/>
      <w:marLeft w:val="0"/>
      <w:marRight w:val="0"/>
      <w:marTop w:val="0"/>
      <w:marBottom w:val="0"/>
      <w:divBdr>
        <w:top w:val="none" w:sz="0" w:space="0" w:color="auto"/>
        <w:left w:val="none" w:sz="0" w:space="0" w:color="auto"/>
        <w:bottom w:val="none" w:sz="0" w:space="0" w:color="auto"/>
        <w:right w:val="none" w:sz="0" w:space="0" w:color="auto"/>
      </w:divBdr>
      <w:divsChild>
        <w:div w:id="1654404802">
          <w:marLeft w:val="360"/>
          <w:marRight w:val="187"/>
          <w:marTop w:val="120"/>
          <w:marBottom w:val="0"/>
          <w:divBdr>
            <w:top w:val="none" w:sz="0" w:space="0" w:color="auto"/>
            <w:left w:val="none" w:sz="0" w:space="0" w:color="auto"/>
            <w:bottom w:val="none" w:sz="0" w:space="0" w:color="auto"/>
            <w:right w:val="none" w:sz="0" w:space="0" w:color="auto"/>
          </w:divBdr>
        </w:div>
      </w:divsChild>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1492105">
      <w:bodyDiv w:val="1"/>
      <w:marLeft w:val="0"/>
      <w:marRight w:val="0"/>
      <w:marTop w:val="0"/>
      <w:marBottom w:val="0"/>
      <w:divBdr>
        <w:top w:val="none" w:sz="0" w:space="0" w:color="auto"/>
        <w:left w:val="none" w:sz="0" w:space="0" w:color="auto"/>
        <w:bottom w:val="none" w:sz="0" w:space="0" w:color="auto"/>
        <w:right w:val="none" w:sz="0" w:space="0" w:color="auto"/>
      </w:divBdr>
      <w:divsChild>
        <w:div w:id="481581174">
          <w:marLeft w:val="360"/>
          <w:marRight w:val="187"/>
          <w:marTop w:val="0"/>
          <w:marBottom w:val="0"/>
          <w:divBdr>
            <w:top w:val="none" w:sz="0" w:space="0" w:color="auto"/>
            <w:left w:val="none" w:sz="0" w:space="0" w:color="auto"/>
            <w:bottom w:val="none" w:sz="0" w:space="0" w:color="auto"/>
            <w:right w:val="none" w:sz="0" w:space="0" w:color="auto"/>
          </w:divBdr>
        </w:div>
        <w:div w:id="1518615342">
          <w:marLeft w:val="994"/>
          <w:marRight w:val="187"/>
          <w:marTop w:val="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702170627">
      <w:bodyDiv w:val="1"/>
      <w:marLeft w:val="0"/>
      <w:marRight w:val="0"/>
      <w:marTop w:val="0"/>
      <w:marBottom w:val="0"/>
      <w:divBdr>
        <w:top w:val="none" w:sz="0" w:space="0" w:color="auto"/>
        <w:left w:val="none" w:sz="0" w:space="0" w:color="auto"/>
        <w:bottom w:val="none" w:sz="0" w:space="0" w:color="auto"/>
        <w:right w:val="none" w:sz="0" w:space="0" w:color="auto"/>
      </w:divBdr>
      <w:divsChild>
        <w:div w:id="1397706690">
          <w:marLeft w:val="360"/>
          <w:marRight w:val="187"/>
          <w:marTop w:val="120"/>
          <w:marBottom w:val="0"/>
          <w:divBdr>
            <w:top w:val="none" w:sz="0" w:space="0" w:color="auto"/>
            <w:left w:val="none" w:sz="0" w:space="0" w:color="auto"/>
            <w:bottom w:val="none" w:sz="0" w:space="0" w:color="auto"/>
            <w:right w:val="none" w:sz="0" w:space="0" w:color="auto"/>
          </w:divBdr>
        </w:div>
      </w:divsChild>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782412652">
      <w:bodyDiv w:val="1"/>
      <w:marLeft w:val="0"/>
      <w:marRight w:val="0"/>
      <w:marTop w:val="0"/>
      <w:marBottom w:val="0"/>
      <w:divBdr>
        <w:top w:val="none" w:sz="0" w:space="0" w:color="auto"/>
        <w:left w:val="none" w:sz="0" w:space="0" w:color="auto"/>
        <w:bottom w:val="none" w:sz="0" w:space="0" w:color="auto"/>
        <w:right w:val="none" w:sz="0" w:space="0" w:color="auto"/>
      </w:divBdr>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06408839">
      <w:bodyDiv w:val="1"/>
      <w:marLeft w:val="0"/>
      <w:marRight w:val="0"/>
      <w:marTop w:val="0"/>
      <w:marBottom w:val="0"/>
      <w:divBdr>
        <w:top w:val="none" w:sz="0" w:space="0" w:color="auto"/>
        <w:left w:val="none" w:sz="0" w:space="0" w:color="auto"/>
        <w:bottom w:val="none" w:sz="0" w:space="0" w:color="auto"/>
        <w:right w:val="none" w:sz="0" w:space="0" w:color="auto"/>
      </w:divBdr>
    </w:div>
    <w:div w:id="1943756344">
      <w:bodyDiv w:val="1"/>
      <w:marLeft w:val="0"/>
      <w:marRight w:val="0"/>
      <w:marTop w:val="0"/>
      <w:marBottom w:val="0"/>
      <w:divBdr>
        <w:top w:val="none" w:sz="0" w:space="0" w:color="auto"/>
        <w:left w:val="none" w:sz="0" w:space="0" w:color="auto"/>
        <w:bottom w:val="none" w:sz="0" w:space="0" w:color="auto"/>
        <w:right w:val="none" w:sz="0" w:space="0" w:color="auto"/>
      </w:divBdr>
    </w:div>
    <w:div w:id="1969507423">
      <w:bodyDiv w:val="1"/>
      <w:marLeft w:val="0"/>
      <w:marRight w:val="0"/>
      <w:marTop w:val="0"/>
      <w:marBottom w:val="0"/>
      <w:divBdr>
        <w:top w:val="none" w:sz="0" w:space="0" w:color="auto"/>
        <w:left w:val="none" w:sz="0" w:space="0" w:color="auto"/>
        <w:bottom w:val="none" w:sz="0" w:space="0" w:color="auto"/>
        <w:right w:val="none" w:sz="0" w:space="0" w:color="auto"/>
      </w:divBdr>
    </w:div>
    <w:div w:id="1977366594">
      <w:bodyDiv w:val="1"/>
      <w:marLeft w:val="0"/>
      <w:marRight w:val="0"/>
      <w:marTop w:val="0"/>
      <w:marBottom w:val="0"/>
      <w:divBdr>
        <w:top w:val="none" w:sz="0" w:space="0" w:color="auto"/>
        <w:left w:val="none" w:sz="0" w:space="0" w:color="auto"/>
        <w:bottom w:val="none" w:sz="0" w:space="0" w:color="auto"/>
        <w:right w:val="none" w:sz="0" w:space="0" w:color="auto"/>
      </w:divBdr>
      <w:divsChild>
        <w:div w:id="471756244">
          <w:marLeft w:val="360"/>
          <w:marRight w:val="187"/>
          <w:marTop w:val="120"/>
          <w:marBottom w:val="0"/>
          <w:divBdr>
            <w:top w:val="none" w:sz="0" w:space="0" w:color="auto"/>
            <w:left w:val="none" w:sz="0" w:space="0" w:color="auto"/>
            <w:bottom w:val="none" w:sz="0" w:space="0" w:color="auto"/>
            <w:right w:val="none" w:sz="0" w:space="0" w:color="auto"/>
          </w:divBdr>
        </w:div>
      </w:divsChild>
    </w:div>
    <w:div w:id="1990745228">
      <w:bodyDiv w:val="1"/>
      <w:marLeft w:val="0"/>
      <w:marRight w:val="0"/>
      <w:marTop w:val="0"/>
      <w:marBottom w:val="0"/>
      <w:divBdr>
        <w:top w:val="none" w:sz="0" w:space="0" w:color="auto"/>
        <w:left w:val="none" w:sz="0" w:space="0" w:color="auto"/>
        <w:bottom w:val="none" w:sz="0" w:space="0" w:color="auto"/>
        <w:right w:val="none" w:sz="0" w:space="0" w:color="auto"/>
      </w:divBdr>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1991670929">
      <w:bodyDiv w:val="1"/>
      <w:marLeft w:val="0"/>
      <w:marRight w:val="0"/>
      <w:marTop w:val="0"/>
      <w:marBottom w:val="0"/>
      <w:divBdr>
        <w:top w:val="none" w:sz="0" w:space="0" w:color="auto"/>
        <w:left w:val="none" w:sz="0" w:space="0" w:color="auto"/>
        <w:bottom w:val="none" w:sz="0" w:space="0" w:color="auto"/>
        <w:right w:val="none" w:sz="0" w:space="0" w:color="auto"/>
      </w:divBdr>
      <w:divsChild>
        <w:div w:id="2108915283">
          <w:marLeft w:val="1627"/>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043819528">
      <w:bodyDiv w:val="1"/>
      <w:marLeft w:val="0"/>
      <w:marRight w:val="0"/>
      <w:marTop w:val="0"/>
      <w:marBottom w:val="0"/>
      <w:divBdr>
        <w:top w:val="none" w:sz="0" w:space="0" w:color="auto"/>
        <w:left w:val="none" w:sz="0" w:space="0" w:color="auto"/>
        <w:bottom w:val="none" w:sz="0" w:space="0" w:color="auto"/>
        <w:right w:val="none" w:sz="0" w:space="0" w:color="auto"/>
      </w:divBdr>
    </w:div>
    <w:div w:id="2123720305">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 w:id="21448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www.ieee802.org/devdocs.shtml" TargetMode="External"/><Relationship Id="rId18" Type="http://schemas.openxmlformats.org/officeDocument/2006/relationships/hyperlink" Target="https://calendar.google.com/calendar/embed?src=c2gedttabtbj4bps23j4847004@group.calendar.google.com&amp;ctz=America%2FNew_Yor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21/ec-21-0207-23-0PNP-ieee-802-lmsc-working-group-policies-and-procedures.pdf" TargetMode="External"/><Relationship Id="rId17" Type="http://schemas.openxmlformats.org/officeDocument/2006/relationships/hyperlink" Target="https://mentor.ieee.org/802.18/dcn/22/18-22-0035-95-0000-status-of-ongoing-consultations-and-tag-documents-for-approval.docx" TargetMode="External"/><Relationship Id="rId2" Type="http://schemas.openxmlformats.org/officeDocument/2006/relationships/numbering" Target="numbering.xml"/><Relationship Id="rId16" Type="http://schemas.openxmlformats.org/officeDocument/2006/relationships/hyperlink" Target="https://mentor.ieee.org/802.18/dcn/23/18-23-0124-02-0000-draft-response-to-india-trai-s-consultation-re-terahertz.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8/RRTAG_Voters.pdf" TargetMode="External"/><Relationship Id="rId5" Type="http://schemas.openxmlformats.org/officeDocument/2006/relationships/webSettings" Target="webSettings.xml"/><Relationship Id="rId15" Type="http://schemas.openxmlformats.org/officeDocument/2006/relationships/hyperlink" Target="https://mentor.ieee.org/802.18/dcn/23/18-23-0123-01-0000-rr-tag-minutes-19-october-2023.docx" TargetMode="External"/><Relationship Id="rId10" Type="http://schemas.openxmlformats.org/officeDocument/2006/relationships/hyperlink" Target="https://mentor.ieee.org/802.18/dcn/23/18-23-0125-01-0000-rr-tag-agenda-2-november-2023.ppt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standards.ieee.org/about/policies/opm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BCFC-F21D-4D63-A705-3D5141FC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72807</TotalTime>
  <Pages>1</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RR-TAG Meeting Minutes - 19 October 2023</vt:lpstr>
    </vt:vector>
  </TitlesOfParts>
  <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 - 2 November 2023</dc:title>
  <dc:subject>RR-TAG Minutes</dc:subject>
  <dc:creator>author</dc:creator>
  <cp:keywords>18-23/0126r0</cp:keywords>
  <dc:description/>
  <cp:lastModifiedBy>Edward Au</cp:lastModifiedBy>
  <cp:revision>261</cp:revision>
  <cp:lastPrinted>2012-05-15T22:13:00Z</cp:lastPrinted>
  <dcterms:created xsi:type="dcterms:W3CDTF">2022-11-10T19:11:00Z</dcterms:created>
  <dcterms:modified xsi:type="dcterms:W3CDTF">2023-11-03T20:16:00Z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