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061" w:rsidRDefault="00996A2D" w:rsidP="00EF5061">
      <w:pPr>
        <w:pStyle w:val="T1"/>
        <w:pBdr>
          <w:bottom w:val="single" w:sz="6" w:space="0" w:color="000000"/>
        </w:pBdr>
        <w:spacing w:after="240"/>
      </w:pPr>
      <w:r>
        <w:t>IEEE P802.18</w:t>
      </w:r>
      <w:r w:rsidR="00EF5061">
        <w:br/>
      </w:r>
      <w:r w:rsidRPr="000B6858">
        <w:t>Radio Regulatory Technical Advisory Group (RR-TAG)</w:t>
      </w:r>
    </w:p>
    <w:tbl>
      <w:tblPr>
        <w:tblW w:w="9576" w:type="dxa"/>
        <w:jc w:val="center"/>
        <w:tblLayout w:type="fixed"/>
        <w:tblLook w:val="0000" w:firstRow="0" w:lastRow="0" w:firstColumn="0" w:lastColumn="0" w:noHBand="0" w:noVBand="0"/>
      </w:tblPr>
      <w:tblGrid>
        <w:gridCol w:w="1975"/>
        <w:gridCol w:w="1890"/>
        <w:gridCol w:w="1350"/>
        <w:gridCol w:w="1260"/>
        <w:gridCol w:w="3101"/>
      </w:tblGrid>
      <w:tr w:rsidR="00EF5061" w:rsidTr="00C307C1">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EF5061" w:rsidRDefault="00EF5061" w:rsidP="00EF5061">
            <w:pPr>
              <w:pStyle w:val="T2"/>
              <w:widowControl w:val="0"/>
              <w:rPr>
                <w:b w:val="0"/>
              </w:rPr>
            </w:pPr>
            <w:r>
              <w:rPr>
                <w:b w:val="0"/>
              </w:rPr>
              <w:t>DRAFT - Proposed Liaison Statement to APG</w:t>
            </w:r>
          </w:p>
        </w:tc>
      </w:tr>
      <w:tr w:rsidR="00EF5061" w:rsidTr="00C307C1">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EF5061" w:rsidRDefault="00996A2D" w:rsidP="00C307C1">
            <w:pPr>
              <w:pStyle w:val="T2"/>
              <w:widowControl w:val="0"/>
              <w:ind w:left="0"/>
              <w:rPr>
                <w:b w:val="0"/>
                <w:sz w:val="20"/>
              </w:rPr>
            </w:pPr>
            <w:r>
              <w:rPr>
                <w:b w:val="0"/>
                <w:sz w:val="20"/>
              </w:rPr>
              <w:t>Date:  2023-07-10</w:t>
            </w:r>
          </w:p>
        </w:tc>
      </w:tr>
      <w:tr w:rsidR="00EF5061" w:rsidTr="00C307C1">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EF5061" w:rsidRDefault="00EF5061" w:rsidP="00C307C1">
            <w:pPr>
              <w:pStyle w:val="T2"/>
              <w:widowControl w:val="0"/>
              <w:spacing w:after="0"/>
              <w:ind w:left="0" w:right="0"/>
              <w:jc w:val="left"/>
              <w:rPr>
                <w:b w:val="0"/>
                <w:sz w:val="20"/>
              </w:rPr>
            </w:pPr>
            <w:r>
              <w:rPr>
                <w:b w:val="0"/>
                <w:sz w:val="20"/>
              </w:rPr>
              <w:t>Author:</w:t>
            </w:r>
          </w:p>
        </w:tc>
      </w:tr>
      <w:tr w:rsidR="00EF5061" w:rsidTr="00C307C1">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rsidR="00EF5061" w:rsidRDefault="00EF5061" w:rsidP="00C307C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rsidR="00EF5061" w:rsidRDefault="00EF5061" w:rsidP="00C307C1">
            <w:pPr>
              <w:pStyle w:val="T2"/>
              <w:widowControl w:val="0"/>
              <w:spacing w:after="0"/>
              <w:ind w:left="0" w:right="0"/>
              <w:jc w:val="left"/>
              <w:rPr>
                <w:b w:val="0"/>
                <w:sz w:val="20"/>
              </w:rPr>
            </w:pPr>
            <w:r>
              <w:rPr>
                <w:b w:val="0"/>
                <w:sz w:val="20"/>
              </w:rPr>
              <w:t>Company</w:t>
            </w:r>
          </w:p>
        </w:tc>
        <w:tc>
          <w:tcPr>
            <w:tcW w:w="1350" w:type="dxa"/>
            <w:tcBorders>
              <w:top w:val="single" w:sz="4" w:space="0" w:color="000000"/>
              <w:left w:val="single" w:sz="4" w:space="0" w:color="000000"/>
              <w:bottom w:val="single" w:sz="4" w:space="0" w:color="000000"/>
              <w:right w:val="single" w:sz="4" w:space="0" w:color="000000"/>
            </w:tcBorders>
            <w:vAlign w:val="center"/>
          </w:tcPr>
          <w:p w:rsidR="00EF5061" w:rsidRDefault="00EF5061" w:rsidP="00C307C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rsidR="00EF5061" w:rsidRDefault="00EF5061" w:rsidP="00C307C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rsidR="00EF5061" w:rsidRDefault="00EF5061" w:rsidP="00C307C1">
            <w:pPr>
              <w:pStyle w:val="T2"/>
              <w:widowControl w:val="0"/>
              <w:spacing w:after="0"/>
              <w:ind w:left="0" w:right="0"/>
              <w:jc w:val="left"/>
              <w:rPr>
                <w:b w:val="0"/>
                <w:sz w:val="20"/>
              </w:rPr>
            </w:pPr>
            <w:r>
              <w:rPr>
                <w:b w:val="0"/>
                <w:sz w:val="20"/>
              </w:rPr>
              <w:t>Email</w:t>
            </w:r>
          </w:p>
        </w:tc>
      </w:tr>
      <w:tr w:rsidR="00EF5061" w:rsidTr="00C307C1">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rsidR="00EF5061" w:rsidRPr="003B3B62" w:rsidRDefault="00EF5061" w:rsidP="00C307C1">
            <w:pPr>
              <w:pStyle w:val="T2"/>
              <w:widowControl w:val="0"/>
              <w:spacing w:after="0"/>
              <w:ind w:left="0" w:right="0"/>
              <w:jc w:val="left"/>
              <w:rPr>
                <w:b w:val="0"/>
                <w:sz w:val="20"/>
              </w:rPr>
            </w:pPr>
            <w:r>
              <w:rPr>
                <w:b w:val="0"/>
                <w:sz w:val="20"/>
              </w:rPr>
              <w:t>Hiroyo Ogawa</w:t>
            </w:r>
          </w:p>
        </w:tc>
        <w:tc>
          <w:tcPr>
            <w:tcW w:w="1890" w:type="dxa"/>
            <w:tcBorders>
              <w:top w:val="single" w:sz="4" w:space="0" w:color="000000"/>
              <w:left w:val="single" w:sz="4" w:space="0" w:color="000000"/>
              <w:bottom w:val="single" w:sz="4" w:space="0" w:color="000000"/>
              <w:right w:val="single" w:sz="4" w:space="0" w:color="000000"/>
            </w:tcBorders>
            <w:vAlign w:val="center"/>
          </w:tcPr>
          <w:p w:rsidR="00EF5061" w:rsidRPr="003B3B62" w:rsidRDefault="00EF5061" w:rsidP="00C307C1">
            <w:pPr>
              <w:pStyle w:val="T2"/>
              <w:widowControl w:val="0"/>
              <w:spacing w:after="0"/>
              <w:ind w:left="0" w:right="0"/>
              <w:jc w:val="left"/>
              <w:rPr>
                <w:b w:val="0"/>
                <w:sz w:val="20"/>
              </w:rPr>
            </w:pPr>
            <w:r>
              <w:rPr>
                <w:b w:val="0"/>
                <w:sz w:val="20"/>
              </w:rPr>
              <w:t>NICT</w:t>
            </w:r>
          </w:p>
        </w:tc>
        <w:tc>
          <w:tcPr>
            <w:tcW w:w="1350" w:type="dxa"/>
            <w:tcBorders>
              <w:top w:val="single" w:sz="4" w:space="0" w:color="000000"/>
              <w:left w:val="single" w:sz="4" w:space="0" w:color="000000"/>
              <w:bottom w:val="single" w:sz="4" w:space="0" w:color="000000"/>
              <w:right w:val="single" w:sz="4" w:space="0" w:color="000000"/>
            </w:tcBorders>
            <w:vAlign w:val="center"/>
          </w:tcPr>
          <w:p w:rsidR="00EF5061" w:rsidRPr="009D223B" w:rsidRDefault="00EF5061" w:rsidP="00C307C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F5061" w:rsidRPr="009D223B" w:rsidRDefault="00EF5061" w:rsidP="00C307C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EF5061" w:rsidRDefault="00EF5061" w:rsidP="00C307C1">
            <w:pPr>
              <w:pStyle w:val="T2"/>
              <w:widowControl w:val="0"/>
              <w:spacing w:after="0"/>
              <w:ind w:left="0" w:right="0"/>
              <w:jc w:val="left"/>
              <w:rPr>
                <w:b w:val="0"/>
                <w:sz w:val="20"/>
              </w:rPr>
            </w:pPr>
          </w:p>
        </w:tc>
      </w:tr>
      <w:tr w:rsidR="00EF5061" w:rsidTr="00C307C1">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rsidR="00EF5061" w:rsidRPr="009D223B" w:rsidRDefault="00EF5061" w:rsidP="00996A2D">
            <w:pPr>
              <w:pStyle w:val="T2"/>
              <w:widowControl w:val="0"/>
              <w:spacing w:after="0"/>
              <w:ind w:left="0" w:right="0"/>
              <w:jc w:val="left"/>
              <w:rPr>
                <w:b w:val="0"/>
                <w:sz w:val="20"/>
              </w:rPr>
            </w:pPr>
            <w:r w:rsidRPr="003B3B62">
              <w:rPr>
                <w:b w:val="0"/>
                <w:sz w:val="20"/>
              </w:rPr>
              <w:t>Thomas K</w:t>
            </w:r>
            <w:r w:rsidR="00996A2D">
              <w:rPr>
                <w:b w:val="0"/>
                <w:sz w:val="20"/>
              </w:rPr>
              <w:t>ü</w:t>
            </w:r>
            <w:bookmarkStart w:id="0" w:name="_GoBack"/>
            <w:bookmarkEnd w:id="0"/>
            <w:r w:rsidRPr="003B3B62">
              <w:rPr>
                <w:b w:val="0"/>
                <w:sz w:val="20"/>
              </w:rPr>
              <w:t>rner</w:t>
            </w:r>
          </w:p>
        </w:tc>
        <w:tc>
          <w:tcPr>
            <w:tcW w:w="1890" w:type="dxa"/>
            <w:tcBorders>
              <w:top w:val="single" w:sz="4" w:space="0" w:color="000000"/>
              <w:left w:val="single" w:sz="4" w:space="0" w:color="000000"/>
              <w:bottom w:val="single" w:sz="4" w:space="0" w:color="000000"/>
              <w:right w:val="single" w:sz="4" w:space="0" w:color="000000"/>
            </w:tcBorders>
            <w:vAlign w:val="center"/>
          </w:tcPr>
          <w:p w:rsidR="00EF5061" w:rsidRPr="009D223B" w:rsidRDefault="00EF5061" w:rsidP="00C307C1">
            <w:pPr>
              <w:pStyle w:val="T2"/>
              <w:widowControl w:val="0"/>
              <w:spacing w:after="0"/>
              <w:ind w:left="0" w:right="0"/>
              <w:jc w:val="left"/>
              <w:rPr>
                <w:b w:val="0"/>
                <w:sz w:val="20"/>
              </w:rPr>
            </w:pPr>
            <w:r w:rsidRPr="003B3B62">
              <w:rPr>
                <w:b w:val="0"/>
                <w:sz w:val="20"/>
              </w:rPr>
              <w:t>TU Braunschweig</w:t>
            </w:r>
          </w:p>
        </w:tc>
        <w:tc>
          <w:tcPr>
            <w:tcW w:w="1350" w:type="dxa"/>
            <w:tcBorders>
              <w:top w:val="single" w:sz="4" w:space="0" w:color="000000"/>
              <w:left w:val="single" w:sz="4" w:space="0" w:color="000000"/>
              <w:bottom w:val="single" w:sz="4" w:space="0" w:color="000000"/>
              <w:right w:val="single" w:sz="4" w:space="0" w:color="000000"/>
            </w:tcBorders>
            <w:vAlign w:val="center"/>
          </w:tcPr>
          <w:p w:rsidR="00EF5061" w:rsidRPr="009D223B" w:rsidRDefault="00EF5061" w:rsidP="00C307C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F5061" w:rsidRPr="009D223B" w:rsidRDefault="00EF5061" w:rsidP="00C307C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EF5061" w:rsidRDefault="00EF5061" w:rsidP="00C307C1">
            <w:pPr>
              <w:pStyle w:val="T2"/>
              <w:widowControl w:val="0"/>
              <w:spacing w:after="0"/>
              <w:ind w:left="0" w:right="0"/>
              <w:jc w:val="left"/>
              <w:rPr>
                <w:b w:val="0"/>
                <w:sz w:val="20"/>
              </w:rPr>
            </w:pPr>
          </w:p>
          <w:p w:rsidR="00EF5061" w:rsidRPr="009D223B" w:rsidRDefault="00EF5061" w:rsidP="00C307C1">
            <w:pPr>
              <w:pStyle w:val="T2"/>
              <w:widowControl w:val="0"/>
              <w:spacing w:after="0"/>
              <w:ind w:left="0" w:right="0"/>
              <w:jc w:val="left"/>
              <w:rPr>
                <w:b w:val="0"/>
                <w:sz w:val="20"/>
              </w:rPr>
            </w:pPr>
          </w:p>
        </w:tc>
      </w:tr>
    </w:tbl>
    <w:p w:rsidR="00EF5061" w:rsidRDefault="00EF5061" w:rsidP="00EF5061">
      <w:pPr>
        <w:pStyle w:val="T1"/>
        <w:spacing w:after="120"/>
        <w:rPr>
          <w:b w:val="0"/>
          <w:sz w:val="22"/>
        </w:rPr>
      </w:pPr>
      <w:r>
        <w:rPr>
          <w:b w:val="0"/>
          <w:noProof/>
          <w:sz w:val="22"/>
          <w:lang w:val="de-DE" w:eastAsia="de-DE"/>
        </w:rPr>
        <mc:AlternateContent>
          <mc:Choice Requires="wps">
            <w:drawing>
              <wp:anchor distT="0" distB="0" distL="0" distR="0" simplePos="0" relativeHeight="251659264" behindDoc="0" locked="0" layoutInCell="0" allowOverlap="1" wp14:anchorId="75B600E0" wp14:editId="624C7B3F">
                <wp:simplePos x="0" y="0"/>
                <wp:positionH relativeFrom="column">
                  <wp:posOffset>-62865</wp:posOffset>
                </wp:positionH>
                <wp:positionV relativeFrom="paragraph">
                  <wp:posOffset>205740</wp:posOffset>
                </wp:positionV>
                <wp:extent cx="5944870" cy="2846070"/>
                <wp:effectExtent l="0" t="0" r="0" b="0"/>
                <wp:wrapNone/>
                <wp:docPr id="3"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EF5061" w:rsidRPr="00A80E9A" w:rsidRDefault="00EF5061" w:rsidP="00EF5061">
                            <w:pPr>
                              <w:rPr>
                                <w:rFonts w:eastAsia="DengXian"/>
                              </w:rPr>
                            </w:pPr>
                            <w:r>
                              <w:t>This document drafts a proposed l</w:t>
                            </w:r>
                            <w:r w:rsidRPr="003B3B62">
                              <w:t xml:space="preserve">iaison </w:t>
                            </w:r>
                            <w:r>
                              <w:t>s</w:t>
                            </w:r>
                            <w:r w:rsidRPr="003B3B62">
                              <w:t xml:space="preserve">tatement </w:t>
                            </w:r>
                            <w:r>
                              <w:t>to APG</w:t>
                            </w:r>
                          </w:p>
                          <w:p w:rsidR="00EF5061" w:rsidRDefault="00EF5061" w:rsidP="00EF5061">
                            <w:pPr>
                              <w:pStyle w:val="Raminnehll"/>
                              <w:jc w:val="both"/>
                              <w:rPr>
                                <w:color w:val="000000"/>
                              </w:rPr>
                            </w:pPr>
                          </w:p>
                          <w:p w:rsidR="00EF5061" w:rsidRDefault="00EF5061" w:rsidP="00EF5061">
                            <w:pPr>
                              <w:pStyle w:val="Raminnehll"/>
                              <w:jc w:val="both"/>
                              <w:rPr>
                                <w:color w:val="000000"/>
                              </w:rPr>
                            </w:pPr>
                          </w:p>
                        </w:txbxContent>
                      </wps:txbx>
                      <wps:bodyPr anchor="t">
                        <a:noAutofit/>
                      </wps:bodyPr>
                    </wps:wsp>
                  </a:graphicData>
                </a:graphic>
              </wp:anchor>
            </w:drawing>
          </mc:Choice>
          <mc:Fallback>
            <w:pict>
              <v:rect w14:anchorId="75B600E0" id="Ram1" o:spid="_x0000_s1026" style="position:absolute;left:0;text-align:left;margin-left:-4.95pt;margin-top:16.2pt;width:468.1pt;height:224.1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BTeOMDgAQAAIQQAAA4AAAAAAAAAAAAAAAAALgIAAGRycy9lMm9Eb2MueG1sUEsBAi0A&#10;FAAGAAgAAAAhAEZ/tQ/gAAAACQEAAA8AAAAAAAAAAAAAAAAAOgQAAGRycy9kb3ducmV2LnhtbFBL&#10;BQYAAAAABAAEAPMAAABHBQAAAAA=&#10;" o:allowincell="f" stroked="f" strokeweight="0">
                <v:textbox>
                  <w:txbxContent>
                    <w:p w:rsidR="00EF5061" w:rsidRPr="00A80E9A" w:rsidRDefault="00EF5061" w:rsidP="00EF5061">
                      <w:pPr>
                        <w:rPr>
                          <w:rFonts w:eastAsia="DengXian"/>
                        </w:rPr>
                      </w:pPr>
                      <w:r>
                        <w:t>This document drafts a proposed l</w:t>
                      </w:r>
                      <w:r w:rsidRPr="003B3B62">
                        <w:t xml:space="preserve">iaison </w:t>
                      </w:r>
                      <w:r>
                        <w:t>s</w:t>
                      </w:r>
                      <w:r w:rsidRPr="003B3B62">
                        <w:t xml:space="preserve">tatement </w:t>
                      </w:r>
                      <w:r>
                        <w:t>to APG</w:t>
                      </w:r>
                    </w:p>
                    <w:p w:rsidR="00EF5061" w:rsidRDefault="00EF5061" w:rsidP="00EF5061">
                      <w:pPr>
                        <w:pStyle w:val="Raminnehll"/>
                        <w:jc w:val="both"/>
                        <w:rPr>
                          <w:color w:val="000000"/>
                        </w:rPr>
                      </w:pPr>
                    </w:p>
                    <w:p w:rsidR="00EF5061" w:rsidRDefault="00EF5061" w:rsidP="00EF5061">
                      <w:pPr>
                        <w:pStyle w:val="Raminnehll"/>
                        <w:jc w:val="both"/>
                        <w:rPr>
                          <w:color w:val="000000"/>
                        </w:rPr>
                      </w:pPr>
                    </w:p>
                  </w:txbxContent>
                </v:textbox>
              </v:rect>
            </w:pict>
          </mc:Fallback>
        </mc:AlternateContent>
      </w:r>
    </w:p>
    <w:p w:rsidR="00EF5061" w:rsidRDefault="00EF5061" w:rsidP="00EF5061">
      <w:r>
        <w:rPr>
          <w:noProof/>
          <w:lang w:val="de-DE" w:eastAsia="de-DE"/>
        </w:rPr>
        <mc:AlternateContent>
          <mc:Choice Requires="wps">
            <w:drawing>
              <wp:anchor distT="0" distB="0" distL="0" distR="0" simplePos="0" relativeHeight="251660288" behindDoc="0" locked="0" layoutInCell="0" allowOverlap="1" wp14:anchorId="2B21130E" wp14:editId="2EE4BA88">
                <wp:simplePos x="0" y="0"/>
                <wp:positionH relativeFrom="page">
                  <wp:posOffset>971550</wp:posOffset>
                </wp:positionH>
                <wp:positionV relativeFrom="page">
                  <wp:posOffset>8428355</wp:posOffset>
                </wp:positionV>
                <wp:extent cx="6059170" cy="573405"/>
                <wp:effectExtent l="635" t="1270" r="635" b="0"/>
                <wp:wrapNone/>
                <wp:docPr id="4"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EF5061" w:rsidRDefault="00EF5061" w:rsidP="00EF506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EF5061" w:rsidRDefault="00EF5061" w:rsidP="00EF506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B21130E" id="Ram 2" o:spid="_x0000_s1027" style="position:absolute;margin-left:76.5pt;margin-top:663.65pt;width:477.1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HF4JlryAQAAXQQAAA4AAAAAAAAAAAAAAAAALgIAAGRy&#10;cy9lMm9Eb2MueG1sUEsBAi0AFAAGAAgAAAAhAD+jFb/gAAAADgEAAA8AAAAAAAAAAAAAAAAATAQA&#10;AGRycy9kb3ducmV2LnhtbFBLBQYAAAAABAAEAPMAAABZBQAAAAA=&#10;" o:allowincell="f" strokeweight=".05pt">
                <v:stroke joinstyle="round"/>
                <v:textbox>
                  <w:txbxContent>
                    <w:p w:rsidR="00EF5061" w:rsidRDefault="00EF5061" w:rsidP="00EF506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EF5061" w:rsidRDefault="00EF5061" w:rsidP="00EF506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rsidR="0095191D" w:rsidRDefault="0095191D" w:rsidP="0095191D">
      <w:pPr>
        <w:rPr>
          <w:rFonts w:eastAsia="Malgun Gothic"/>
        </w:rPr>
      </w:pPr>
    </w:p>
    <w:p w:rsidR="0095191D" w:rsidRPr="0095191D" w:rsidRDefault="0095191D" w:rsidP="0095191D">
      <w:pPr>
        <w:rPr>
          <w:rFonts w:eastAsia="Malgun Gothic"/>
        </w:rPr>
      </w:pPr>
    </w:p>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95191D" w:rsidRPr="00891D0B" w:rsidTr="00AD3163">
        <w:trPr>
          <w:cantSplit/>
          <w:trHeight w:val="288"/>
        </w:trPr>
        <w:tc>
          <w:tcPr>
            <w:tcW w:w="1399" w:type="dxa"/>
            <w:vMerge w:val="restart"/>
          </w:tcPr>
          <w:p w:rsidR="0095191D" w:rsidRPr="00891D0B" w:rsidRDefault="0095191D" w:rsidP="00AD3163">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val="de-DE" w:eastAsia="de-DE"/>
              </w:rPr>
              <w:drawing>
                <wp:inline distT="0" distB="0" distL="0" distR="0" wp14:anchorId="470E21C0" wp14:editId="04319447">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rsidR="0095191D" w:rsidRPr="00891D0B" w:rsidRDefault="0095191D" w:rsidP="00AD3163">
            <w:pPr>
              <w:spacing w:before="40"/>
              <w:rPr>
                <w:sz w:val="22"/>
                <w:szCs w:val="22"/>
              </w:rPr>
            </w:pPr>
            <w:r w:rsidRPr="00891D0B">
              <w:rPr>
                <w:sz w:val="22"/>
                <w:szCs w:val="22"/>
              </w:rPr>
              <w:t>ASIA-PACIFIC TELECOMMUNITY</w:t>
            </w:r>
          </w:p>
        </w:tc>
        <w:tc>
          <w:tcPr>
            <w:tcW w:w="2160" w:type="dxa"/>
          </w:tcPr>
          <w:p w:rsidR="0095191D" w:rsidRPr="006C017D" w:rsidRDefault="0095191D" w:rsidP="00AD3163">
            <w:pPr>
              <w:pStyle w:val="berschrift8"/>
              <w:spacing w:before="40"/>
              <w:rPr>
                <w:rFonts w:ascii="Times New Roman" w:hAnsi="Times New Roman" w:cs="Times New Roman"/>
                <w:b/>
                <w:bCs/>
                <w:i w:val="0"/>
                <w:iCs w:val="0"/>
                <w:sz w:val="24"/>
                <w:szCs w:val="24"/>
              </w:rPr>
            </w:pPr>
            <w:r w:rsidRPr="006C017D">
              <w:rPr>
                <w:rFonts w:ascii="Times New Roman" w:hAnsi="Times New Roman" w:cs="Times New Roman"/>
                <w:b/>
                <w:bCs/>
                <w:i w:val="0"/>
                <w:iCs w:val="0"/>
                <w:sz w:val="24"/>
                <w:szCs w:val="24"/>
              </w:rPr>
              <w:t>Document No:</w:t>
            </w:r>
          </w:p>
        </w:tc>
      </w:tr>
      <w:tr w:rsidR="0095191D" w:rsidRPr="00C15799" w:rsidTr="00AD3163">
        <w:trPr>
          <w:cantSplit/>
          <w:trHeight w:val="504"/>
        </w:trPr>
        <w:tc>
          <w:tcPr>
            <w:tcW w:w="1399" w:type="dxa"/>
            <w:vMerge/>
          </w:tcPr>
          <w:p w:rsidR="0095191D" w:rsidRPr="00891D0B" w:rsidRDefault="0095191D" w:rsidP="00AD3163"/>
        </w:tc>
        <w:tc>
          <w:tcPr>
            <w:tcW w:w="5760" w:type="dxa"/>
            <w:vAlign w:val="center"/>
          </w:tcPr>
          <w:p w:rsidR="0095191D" w:rsidRDefault="0095191D" w:rsidP="00AD3163">
            <w:pPr>
              <w:spacing w:before="40"/>
              <w:rPr>
                <w:b/>
              </w:rPr>
            </w:pPr>
            <w:r>
              <w:rPr>
                <w:b/>
              </w:rPr>
              <w:t>The 6th Meeting of the APT Conference Preparatory</w:t>
            </w:r>
          </w:p>
          <w:p w:rsidR="0095191D" w:rsidRPr="00891D0B" w:rsidRDefault="0095191D" w:rsidP="00AD3163">
            <w:pPr>
              <w:spacing w:line="0" w:lineRule="atLeast"/>
            </w:pPr>
            <w:r>
              <w:rPr>
                <w:b/>
              </w:rPr>
              <w:t>Group for WRC-23 (APG23-6)</w:t>
            </w:r>
          </w:p>
        </w:tc>
        <w:tc>
          <w:tcPr>
            <w:tcW w:w="2160" w:type="dxa"/>
          </w:tcPr>
          <w:p w:rsidR="0095191D" w:rsidRPr="006C017D" w:rsidRDefault="0095191D" w:rsidP="00AD3163">
            <w:pPr>
              <w:spacing w:before="40"/>
              <w:rPr>
                <w:b/>
                <w:bCs/>
                <w:lang w:val="fr-FR"/>
              </w:rPr>
            </w:pPr>
            <w:r w:rsidRPr="006C017D">
              <w:rPr>
                <w:b/>
                <w:bCs/>
                <w:lang w:val="fr-FR"/>
              </w:rPr>
              <w:t>APG23-6/IN</w:t>
            </w:r>
            <w:r w:rsidR="00184228" w:rsidRPr="006C017D">
              <w:rPr>
                <w:b/>
                <w:bCs/>
                <w:lang w:val="fr-FR"/>
              </w:rPr>
              <w:t>F</w:t>
            </w:r>
            <w:r w:rsidRPr="006C017D">
              <w:rPr>
                <w:b/>
                <w:bCs/>
                <w:lang w:val="fr-FR"/>
              </w:rPr>
              <w:t>-xx</w:t>
            </w:r>
          </w:p>
          <w:p w:rsidR="0095191D" w:rsidRPr="006C017D" w:rsidRDefault="0095191D" w:rsidP="00AD3163">
            <w:pPr>
              <w:rPr>
                <w:b/>
                <w:bCs/>
                <w:lang w:val="en-GB"/>
              </w:rPr>
            </w:pPr>
          </w:p>
        </w:tc>
      </w:tr>
      <w:tr w:rsidR="0095191D" w:rsidRPr="00891D0B" w:rsidTr="00AD3163">
        <w:trPr>
          <w:cantSplit/>
          <w:trHeight w:val="288"/>
        </w:trPr>
        <w:tc>
          <w:tcPr>
            <w:tcW w:w="1399" w:type="dxa"/>
            <w:vMerge/>
          </w:tcPr>
          <w:p w:rsidR="0095191D" w:rsidRPr="007E1FDD" w:rsidRDefault="0095191D" w:rsidP="00AD3163">
            <w:pPr>
              <w:rPr>
                <w:lang w:val="en-GB"/>
              </w:rPr>
            </w:pPr>
          </w:p>
        </w:tc>
        <w:tc>
          <w:tcPr>
            <w:tcW w:w="5760" w:type="dxa"/>
            <w:vAlign w:val="bottom"/>
          </w:tcPr>
          <w:p w:rsidR="0095191D" w:rsidRPr="00712451" w:rsidRDefault="0095191D" w:rsidP="00AD3163">
            <w:pPr>
              <w:spacing w:before="40"/>
              <w:rPr>
                <w:b/>
              </w:rPr>
            </w:pPr>
            <w:r>
              <w:t>14 – 19 August 2023</w:t>
            </w:r>
            <w:r w:rsidRPr="00891D0B">
              <w:t xml:space="preserve">, </w:t>
            </w:r>
            <w:r>
              <w:t>Brisbane, Australia</w:t>
            </w:r>
          </w:p>
        </w:tc>
        <w:tc>
          <w:tcPr>
            <w:tcW w:w="2160" w:type="dxa"/>
            <w:vAlign w:val="bottom"/>
          </w:tcPr>
          <w:p w:rsidR="0095191D" w:rsidRPr="007E1FDD" w:rsidRDefault="006C017D" w:rsidP="00AD3163">
            <w:pPr>
              <w:spacing w:before="40"/>
              <w:rPr>
                <w:bCs/>
              </w:rPr>
            </w:pPr>
            <w:r>
              <w:rPr>
                <w:bCs/>
              </w:rPr>
              <w:t>12</w:t>
            </w:r>
            <w:r w:rsidR="0095191D" w:rsidRPr="007E1FDD">
              <w:rPr>
                <w:bCs/>
              </w:rPr>
              <w:t xml:space="preserve"> </w:t>
            </w:r>
            <w:r w:rsidR="0095191D">
              <w:rPr>
                <w:bCs/>
              </w:rPr>
              <w:t>August</w:t>
            </w:r>
            <w:r w:rsidR="0095191D" w:rsidRPr="007E1FDD">
              <w:rPr>
                <w:bCs/>
              </w:rPr>
              <w:t xml:space="preserve"> 20</w:t>
            </w:r>
            <w:r w:rsidR="0095191D">
              <w:rPr>
                <w:bCs/>
              </w:rPr>
              <w:t>23</w:t>
            </w:r>
          </w:p>
        </w:tc>
      </w:tr>
    </w:tbl>
    <w:p w:rsidR="0095191D" w:rsidRDefault="0095191D" w:rsidP="0095191D">
      <w:pPr>
        <w:jc w:val="center"/>
      </w:pPr>
    </w:p>
    <w:p w:rsidR="0095191D" w:rsidRDefault="0095191D" w:rsidP="0095191D">
      <w:pPr>
        <w:jc w:val="center"/>
      </w:pPr>
    </w:p>
    <w:p w:rsidR="0095191D" w:rsidRPr="003D25E1" w:rsidRDefault="0095191D" w:rsidP="0095191D">
      <w:pPr>
        <w:jc w:val="center"/>
      </w:pPr>
      <w:r>
        <w:t>IEEE802</w:t>
      </w:r>
    </w:p>
    <w:p w:rsidR="0095191D" w:rsidRPr="00B355DB" w:rsidRDefault="0095191D" w:rsidP="0095191D">
      <w:pPr>
        <w:jc w:val="center"/>
        <w:rPr>
          <w:caps/>
        </w:rPr>
      </w:pPr>
    </w:p>
    <w:p w:rsidR="0095191D" w:rsidRPr="006C017D" w:rsidRDefault="00184228" w:rsidP="0095191D">
      <w:pPr>
        <w:jc w:val="center"/>
        <w:rPr>
          <w:b/>
          <w:bCs/>
          <w:caps/>
          <w:sz w:val="28"/>
          <w:szCs w:val="28"/>
        </w:rPr>
      </w:pPr>
      <w:r w:rsidRPr="006C017D">
        <w:rPr>
          <w:b/>
          <w:bCs/>
          <w:caps/>
          <w:sz w:val="28"/>
          <w:szCs w:val="28"/>
        </w:rPr>
        <w:t xml:space="preserve">First inernational standard </w:t>
      </w:r>
      <w:r w:rsidR="009221C5" w:rsidRPr="006C017D">
        <w:rPr>
          <w:b/>
          <w:bCs/>
          <w:caps/>
          <w:sz w:val="28"/>
          <w:szCs w:val="28"/>
        </w:rPr>
        <w:t xml:space="preserve">operating in </w:t>
      </w:r>
      <w:r w:rsidR="006C017D">
        <w:rPr>
          <w:b/>
          <w:bCs/>
          <w:caps/>
          <w:sz w:val="28"/>
          <w:szCs w:val="28"/>
        </w:rPr>
        <w:t xml:space="preserve">the </w:t>
      </w:r>
      <w:r w:rsidR="009221C5" w:rsidRPr="006C017D">
        <w:rPr>
          <w:b/>
          <w:bCs/>
          <w:caps/>
          <w:sz w:val="28"/>
          <w:szCs w:val="28"/>
        </w:rPr>
        <w:t>frequency</w:t>
      </w:r>
      <w:r w:rsidR="00572304" w:rsidRPr="006C017D">
        <w:rPr>
          <w:b/>
          <w:bCs/>
          <w:caps/>
          <w:sz w:val="28"/>
          <w:szCs w:val="28"/>
        </w:rPr>
        <w:t xml:space="preserve"> range 252-325 Ghz</w:t>
      </w:r>
    </w:p>
    <w:p w:rsidR="0095191D" w:rsidRPr="0095191D" w:rsidRDefault="0095191D" w:rsidP="0095191D">
      <w:pPr>
        <w:spacing w:before="120"/>
        <w:rPr>
          <w:rFonts w:eastAsia="STXinwei"/>
          <w:b/>
          <w:color w:val="000000"/>
          <w:sz w:val="28"/>
          <w:szCs w:val="28"/>
          <w:lang w:eastAsia="zh-CN"/>
        </w:rPr>
      </w:pPr>
    </w:p>
    <w:p w:rsidR="0095191D" w:rsidRDefault="0095191D" w:rsidP="003E398A">
      <w:pPr>
        <w:spacing w:before="120"/>
        <w:rPr>
          <w:rFonts w:eastAsia="STXinwei"/>
          <w:b/>
          <w:color w:val="000000"/>
          <w:sz w:val="28"/>
          <w:szCs w:val="28"/>
          <w:lang w:eastAsia="zh-CN"/>
        </w:rPr>
      </w:pPr>
    </w:p>
    <w:p w:rsidR="0046259A" w:rsidRDefault="0046259A" w:rsidP="0046259A">
      <w:pPr>
        <w:pStyle w:val="Listenabsatz"/>
        <w:numPr>
          <w:ilvl w:val="0"/>
          <w:numId w:val="31"/>
        </w:numPr>
        <w:snapToGrid w:val="0"/>
        <w:spacing w:after="120"/>
        <w:ind w:left="357" w:hanging="357"/>
        <w:contextualSpacing w:val="0"/>
        <w:rPr>
          <w:b/>
          <w:bCs/>
          <w:lang w:eastAsia="ja-JP"/>
        </w:rPr>
      </w:pPr>
      <w:r>
        <w:rPr>
          <w:b/>
          <w:bCs/>
          <w:lang w:eastAsia="ja-JP"/>
        </w:rPr>
        <w:t>Introduction</w:t>
      </w:r>
    </w:p>
    <w:p w:rsidR="0046259A" w:rsidRPr="0046259A" w:rsidRDefault="0046259A" w:rsidP="0046259A">
      <w:pPr>
        <w:snapToGrid w:val="0"/>
        <w:spacing w:after="120"/>
        <w:jc w:val="both"/>
        <w:rPr>
          <w:bCs/>
          <w:lang w:eastAsia="ja-JP"/>
        </w:rPr>
      </w:pPr>
      <w:r w:rsidRPr="0046259A">
        <w:rPr>
          <w:bCs/>
          <w:lang w:eastAsia="ja-JP"/>
        </w:rPr>
        <w:t>IEEE 802 L</w:t>
      </w:r>
      <w:r>
        <w:rPr>
          <w:bCs/>
          <w:lang w:eastAsia="ja-JP"/>
        </w:rPr>
        <w:t>AN/</w:t>
      </w:r>
      <w:r w:rsidRPr="0046259A">
        <w:rPr>
          <w:bCs/>
          <w:lang w:eastAsia="ja-JP"/>
        </w:rPr>
        <w:t>M</w:t>
      </w:r>
      <w:r>
        <w:rPr>
          <w:bCs/>
          <w:lang w:eastAsia="ja-JP"/>
        </w:rPr>
        <w:t xml:space="preserve">AN </w:t>
      </w:r>
      <w:r w:rsidRPr="0046259A">
        <w:rPr>
          <w:bCs/>
          <w:lang w:eastAsia="ja-JP"/>
        </w:rPr>
        <w:t>S</w:t>
      </w:r>
      <w:r>
        <w:rPr>
          <w:bCs/>
          <w:lang w:eastAsia="ja-JP"/>
        </w:rPr>
        <w:t xml:space="preserve">tandards </w:t>
      </w:r>
      <w:r w:rsidRPr="0046259A">
        <w:rPr>
          <w:bCs/>
          <w:lang w:eastAsia="ja-JP"/>
        </w:rPr>
        <w:t>C</w:t>
      </w:r>
      <w:r>
        <w:rPr>
          <w:bCs/>
          <w:lang w:eastAsia="ja-JP"/>
        </w:rPr>
        <w:t>ommittee (IEEE 802 LMSC)</w:t>
      </w:r>
      <w:r w:rsidRPr="0046259A">
        <w:rPr>
          <w:bCs/>
          <w:lang w:eastAsia="ja-JP"/>
        </w:rPr>
        <w:t xml:space="preserve">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w:t>
      </w:r>
      <w:r w:rsidR="00473430">
        <w:rPr>
          <w:bCs/>
          <w:lang w:eastAsia="ja-JP"/>
        </w:rPr>
        <w:t>, which</w:t>
      </w:r>
      <w:r w:rsidRPr="0046259A">
        <w:rPr>
          <w:bCs/>
          <w:lang w:eastAsia="ja-JP"/>
        </w:rPr>
        <w:t xml:space="preserve"> are critical for all networked applications today.</w:t>
      </w:r>
    </w:p>
    <w:p w:rsidR="0046259A" w:rsidRPr="0046259A" w:rsidRDefault="0046259A" w:rsidP="0046259A">
      <w:pPr>
        <w:snapToGrid w:val="0"/>
        <w:spacing w:after="120"/>
        <w:jc w:val="both"/>
        <w:rPr>
          <w:bCs/>
          <w:lang w:eastAsia="ja-JP"/>
        </w:rPr>
      </w:pPr>
      <w:r w:rsidRPr="0046259A">
        <w:rPr>
          <w:bCs/>
          <w:lang w:eastAsia="ja-JP"/>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w:t>
      </w:r>
      <w:r>
        <w:rPr>
          <w:bCs/>
          <w:lang w:eastAsia="ja-JP"/>
        </w:rPr>
        <w:t>ng the views of IEEE as a whole</w:t>
      </w:r>
      <w:r>
        <w:rPr>
          <w:rStyle w:val="Funotenzeichen"/>
          <w:bCs/>
          <w:lang w:eastAsia="ja-JP"/>
        </w:rPr>
        <w:footnoteReference w:id="1"/>
      </w:r>
      <w:r w:rsidRPr="0046259A">
        <w:rPr>
          <w:bCs/>
          <w:lang w:eastAsia="ja-JP"/>
        </w:rPr>
        <w:t>.</w:t>
      </w:r>
    </w:p>
    <w:p w:rsidR="008175E0" w:rsidRDefault="008175E0" w:rsidP="008175E0">
      <w:pPr>
        <w:snapToGrid w:val="0"/>
        <w:spacing w:afterLines="50" w:after="120"/>
        <w:jc w:val="both"/>
        <w:rPr>
          <w:lang w:eastAsia="ja-JP"/>
        </w:rPr>
      </w:pPr>
      <w:r>
        <w:rPr>
          <w:rFonts w:hint="eastAsia"/>
          <w:lang w:eastAsia="ja-JP"/>
        </w:rPr>
        <w:t>A</w:t>
      </w:r>
      <w:r>
        <w:rPr>
          <w:lang w:eastAsia="ja-JP"/>
        </w:rPr>
        <w:t xml:space="preserve">t APG23-5 meeting held on February 2023, one possible WRC-27 agenda item which considers </w:t>
      </w:r>
      <w:r w:rsidRPr="00BA6E4F">
        <w:rPr>
          <w:lang w:eastAsia="ja-JP"/>
        </w:rPr>
        <w:t>new allocations to fixed</w:t>
      </w:r>
      <w:r>
        <w:rPr>
          <w:lang w:eastAsia="ja-JP"/>
        </w:rPr>
        <w:t xml:space="preserve"> service (FS)</w:t>
      </w:r>
      <w:r w:rsidRPr="00BA6E4F">
        <w:rPr>
          <w:lang w:eastAsia="ja-JP"/>
        </w:rPr>
        <w:t>, mobile</w:t>
      </w:r>
      <w:r>
        <w:rPr>
          <w:lang w:eastAsia="ja-JP"/>
        </w:rPr>
        <w:t xml:space="preserve"> service (MS)</w:t>
      </w:r>
      <w:r w:rsidRPr="00BA6E4F">
        <w:rPr>
          <w:lang w:eastAsia="ja-JP"/>
        </w:rPr>
        <w:t>, radio astronomy service</w:t>
      </w:r>
      <w:r>
        <w:rPr>
          <w:lang w:eastAsia="ja-JP"/>
        </w:rPr>
        <w:t xml:space="preserve"> (RAS)</w:t>
      </w:r>
      <w:r w:rsidRPr="00BA6E4F">
        <w:rPr>
          <w:lang w:eastAsia="ja-JP"/>
        </w:rPr>
        <w:t xml:space="preserve"> and Earth exploration-satellite service </w:t>
      </w:r>
      <w:r>
        <w:rPr>
          <w:lang w:eastAsia="ja-JP"/>
        </w:rPr>
        <w:t xml:space="preserve">(EESS) </w:t>
      </w:r>
      <w:r w:rsidRPr="00BA6E4F">
        <w:rPr>
          <w:lang w:eastAsia="ja-JP"/>
        </w:rPr>
        <w:t xml:space="preserve">(passive) in the frequency range 275-325 GHz on a co-primary basis </w:t>
      </w:r>
      <w:r>
        <w:rPr>
          <w:lang w:eastAsia="ja-JP"/>
        </w:rPr>
        <w:t>in the Table of Frequency Allocations was proposed and carried forward to APG23-6 for further study. The purpose of this agenda item is shown as follows:</w:t>
      </w:r>
    </w:p>
    <w:p w:rsidR="008175E0" w:rsidRDefault="008175E0" w:rsidP="00DF15FF">
      <w:pPr>
        <w:pStyle w:val="Listenabsatz"/>
        <w:numPr>
          <w:ilvl w:val="0"/>
          <w:numId w:val="30"/>
        </w:numPr>
        <w:snapToGrid w:val="0"/>
        <w:spacing w:afterLines="50" w:after="120"/>
        <w:jc w:val="both"/>
        <w:rPr>
          <w:lang w:eastAsia="ja-JP"/>
        </w:rPr>
      </w:pPr>
      <w:r>
        <w:rPr>
          <w:lang w:eastAsia="ja-JP"/>
        </w:rPr>
        <w:t xml:space="preserve">To extend the frequency range of the Table of Frequency Allocations of the Radio Regulations (RR) up to 325 GHz and add a new allocation table for four </w:t>
      </w:r>
      <w:proofErr w:type="spellStart"/>
      <w:r>
        <w:rPr>
          <w:lang w:eastAsia="ja-JP"/>
        </w:rPr>
        <w:t>radiocommunication</w:t>
      </w:r>
      <w:proofErr w:type="spellEnd"/>
      <w:r>
        <w:rPr>
          <w:lang w:eastAsia="ja-JP"/>
        </w:rPr>
        <w:t xml:space="preserve"> services in the frequency range 275-325 GHz.</w:t>
      </w:r>
    </w:p>
    <w:p w:rsidR="008175E0" w:rsidRDefault="008175E0" w:rsidP="00DF15FF">
      <w:pPr>
        <w:pStyle w:val="Listenabsatz"/>
        <w:numPr>
          <w:ilvl w:val="0"/>
          <w:numId w:val="30"/>
        </w:numPr>
        <w:snapToGrid w:val="0"/>
        <w:spacing w:afterLines="50" w:after="120"/>
        <w:jc w:val="both"/>
        <w:rPr>
          <w:lang w:eastAsia="ja-JP"/>
        </w:rPr>
      </w:pPr>
      <w:r>
        <w:rPr>
          <w:rFonts w:hint="eastAsia"/>
          <w:lang w:eastAsia="ja-JP"/>
        </w:rPr>
        <w:lastRenderedPageBreak/>
        <w:t>T</w:t>
      </w:r>
      <w:r>
        <w:rPr>
          <w:lang w:eastAsia="ja-JP"/>
        </w:rPr>
        <w:t>o coexist between active services (FS and MS) and passive services (RAS and EESS (passive)) in the frequency range 275-325 GHz.</w:t>
      </w:r>
    </w:p>
    <w:p w:rsidR="008175E0" w:rsidRDefault="008175E0" w:rsidP="00DF15FF">
      <w:pPr>
        <w:pStyle w:val="Listenabsatz"/>
        <w:numPr>
          <w:ilvl w:val="0"/>
          <w:numId w:val="30"/>
        </w:numPr>
        <w:snapToGrid w:val="0"/>
        <w:spacing w:afterLines="50" w:after="120"/>
        <w:jc w:val="both"/>
        <w:rPr>
          <w:lang w:eastAsia="ja-JP"/>
        </w:rPr>
      </w:pPr>
      <w:r>
        <w:rPr>
          <w:lang w:eastAsia="ja-JP"/>
        </w:rPr>
        <w:t xml:space="preserve">To update RR </w:t>
      </w:r>
      <w:r w:rsidRPr="004C2C9D">
        <w:rPr>
          <w:bCs/>
          <w:iCs/>
          <w:color w:val="000000"/>
          <w:lang w:eastAsia="ja-JP"/>
        </w:rPr>
        <w:t>Nos.</w:t>
      </w:r>
      <w:r>
        <w:rPr>
          <w:bCs/>
          <w:iCs/>
          <w:color w:val="000000"/>
          <w:lang w:eastAsia="ja-JP"/>
        </w:rPr>
        <w:t xml:space="preserve"> </w:t>
      </w:r>
      <w:r w:rsidRPr="004C2C9D">
        <w:rPr>
          <w:rFonts w:eastAsia="MS Mincho"/>
          <w:b/>
          <w:bCs/>
          <w:lang w:eastAsia="ja-JP"/>
        </w:rPr>
        <w:t xml:space="preserve">5.138, 5.149, 5.340, 5.564A </w:t>
      </w:r>
      <w:r w:rsidRPr="004C2C9D">
        <w:rPr>
          <w:rFonts w:eastAsia="MS Mincho"/>
          <w:lang w:eastAsia="ja-JP"/>
        </w:rPr>
        <w:t>and</w:t>
      </w:r>
      <w:r w:rsidRPr="004C2C9D">
        <w:rPr>
          <w:rFonts w:eastAsia="MS Mincho"/>
          <w:b/>
          <w:bCs/>
          <w:lang w:eastAsia="ja-JP"/>
        </w:rPr>
        <w:t xml:space="preserve"> 5.565</w:t>
      </w:r>
      <w:r>
        <w:rPr>
          <w:bCs/>
          <w:iCs/>
          <w:color w:val="000000"/>
          <w:lang w:eastAsia="ja-JP"/>
        </w:rPr>
        <w:t xml:space="preserve"> consequently.</w:t>
      </w:r>
    </w:p>
    <w:p w:rsidR="008175E0" w:rsidRPr="00FB3DD1" w:rsidRDefault="008175E0" w:rsidP="00DF15FF">
      <w:pPr>
        <w:pStyle w:val="Listenabsatz"/>
        <w:numPr>
          <w:ilvl w:val="0"/>
          <w:numId w:val="30"/>
        </w:numPr>
        <w:snapToGrid w:val="0"/>
        <w:spacing w:afterLines="50" w:after="120"/>
        <w:ind w:left="357" w:hanging="357"/>
        <w:contextualSpacing w:val="0"/>
        <w:jc w:val="both"/>
        <w:rPr>
          <w:lang w:eastAsia="ja-JP"/>
        </w:rPr>
      </w:pPr>
      <w:r>
        <w:rPr>
          <w:rFonts w:hint="eastAsia"/>
          <w:lang w:eastAsia="ja-JP"/>
        </w:rPr>
        <w:t>T</w:t>
      </w:r>
      <w:r>
        <w:rPr>
          <w:lang w:eastAsia="ja-JP"/>
        </w:rPr>
        <w:t>o support future worldwide utilization of IEEE802.15.3d devices.</w:t>
      </w:r>
    </w:p>
    <w:p w:rsidR="0046259A" w:rsidRPr="00DF15FF" w:rsidRDefault="00DF15FF" w:rsidP="00DF15FF">
      <w:pPr>
        <w:pStyle w:val="Listenabsatz"/>
        <w:snapToGrid w:val="0"/>
        <w:spacing w:after="120"/>
        <w:ind w:left="357" w:hanging="357"/>
        <w:contextualSpacing w:val="0"/>
        <w:rPr>
          <w:bCs/>
          <w:lang w:eastAsia="ja-JP"/>
        </w:rPr>
      </w:pPr>
      <w:r w:rsidRPr="00DF15FF">
        <w:rPr>
          <w:bCs/>
          <w:lang w:eastAsia="ja-JP"/>
        </w:rPr>
        <w:t xml:space="preserve">This document reflects the </w:t>
      </w:r>
      <w:r>
        <w:rPr>
          <w:bCs/>
          <w:lang w:eastAsia="ja-JP"/>
        </w:rPr>
        <w:t>IEEE 802 LMSC’s position on this possible</w:t>
      </w:r>
      <w:r w:rsidRPr="00DF15FF">
        <w:rPr>
          <w:bCs/>
          <w:lang w:eastAsia="ja-JP"/>
        </w:rPr>
        <w:t xml:space="preserve"> agenda</w:t>
      </w:r>
      <w:r>
        <w:rPr>
          <w:bCs/>
          <w:lang w:eastAsia="ja-JP"/>
        </w:rPr>
        <w:t xml:space="preserve"> item.</w:t>
      </w:r>
    </w:p>
    <w:p w:rsidR="00DF15FF" w:rsidRDefault="00DF15FF" w:rsidP="0046259A">
      <w:pPr>
        <w:pStyle w:val="Listenabsatz"/>
        <w:snapToGrid w:val="0"/>
        <w:spacing w:after="120"/>
        <w:ind w:left="357"/>
        <w:contextualSpacing w:val="0"/>
        <w:rPr>
          <w:b/>
          <w:bCs/>
          <w:lang w:eastAsia="ja-JP"/>
        </w:rPr>
      </w:pPr>
    </w:p>
    <w:p w:rsidR="00DF15FF" w:rsidRDefault="003C2966" w:rsidP="00304572">
      <w:pPr>
        <w:pStyle w:val="Listenabsatz"/>
        <w:numPr>
          <w:ilvl w:val="0"/>
          <w:numId w:val="31"/>
        </w:numPr>
        <w:snapToGrid w:val="0"/>
        <w:spacing w:after="120"/>
        <w:ind w:left="357" w:hanging="357"/>
        <w:contextualSpacing w:val="0"/>
        <w:rPr>
          <w:b/>
          <w:bCs/>
          <w:lang w:eastAsia="ja-JP"/>
        </w:rPr>
      </w:pPr>
      <w:r w:rsidRPr="003C2966">
        <w:rPr>
          <w:b/>
          <w:bCs/>
          <w:lang w:eastAsia="ja-JP"/>
        </w:rPr>
        <w:t>Overview</w:t>
      </w:r>
      <w:r w:rsidR="003E398A" w:rsidRPr="003C2966">
        <w:rPr>
          <w:b/>
          <w:bCs/>
          <w:lang w:eastAsia="ja-JP"/>
        </w:rPr>
        <w:t xml:space="preserve"> of </w:t>
      </w:r>
      <w:r w:rsidR="006C017D" w:rsidRPr="003C2966">
        <w:rPr>
          <w:b/>
          <w:bCs/>
          <w:lang w:eastAsia="ja-JP"/>
        </w:rPr>
        <w:t>THz work in IEEE 802 LMSC</w:t>
      </w:r>
    </w:p>
    <w:p w:rsidR="00304572" w:rsidRPr="00304572" w:rsidRDefault="00304572" w:rsidP="00E70462">
      <w:pPr>
        <w:pStyle w:val="Listenabsatz"/>
        <w:snapToGrid w:val="0"/>
        <w:spacing w:after="120"/>
        <w:ind w:left="357"/>
        <w:contextualSpacing w:val="0"/>
        <w:rPr>
          <w:b/>
          <w:bCs/>
          <w:lang w:eastAsia="ja-JP"/>
        </w:rPr>
      </w:pPr>
      <w:r>
        <w:rPr>
          <w:b/>
          <w:bCs/>
          <w:lang w:eastAsia="ja-JP"/>
        </w:rPr>
        <w:t>2.1</w:t>
      </w:r>
      <w:r w:rsidR="00E37376">
        <w:rPr>
          <w:b/>
          <w:bCs/>
          <w:lang w:eastAsia="ja-JP"/>
        </w:rPr>
        <w:t xml:space="preserve">  Background</w:t>
      </w:r>
    </w:p>
    <w:p w:rsidR="007C7B85" w:rsidRPr="007C7B85" w:rsidRDefault="007C7B85" w:rsidP="00DF15FF">
      <w:pPr>
        <w:snapToGrid w:val="0"/>
        <w:spacing w:after="120"/>
        <w:jc w:val="both"/>
        <w:rPr>
          <w:lang w:eastAsia="ja-JP"/>
        </w:rPr>
      </w:pPr>
      <w:r w:rsidRPr="007C7B85">
        <w:rPr>
          <w:lang w:eastAsia="ja-JP"/>
        </w:rPr>
        <w:t>IEEE 802 LMSC has been working on THz Communications since 2008, when an Interest Group (IG) THz was formed in the IEEE 802.15 Working Group for Wireless Specialty Network, followed by transiting the Interest Group to the current IE</w:t>
      </w:r>
      <w:r w:rsidR="00473430">
        <w:rPr>
          <w:lang w:eastAsia="ja-JP"/>
        </w:rPr>
        <w:t>EE 802.15 Standing Committee THz</w:t>
      </w:r>
      <w:r w:rsidRPr="007C7B85">
        <w:rPr>
          <w:lang w:eastAsia="ja-JP"/>
        </w:rPr>
        <w:t xml:space="preserve"> (SC THz). As a spin-off of the activities of the IEEE 802.15 IG THz group, IEEE 802 LMSC published </w:t>
      </w:r>
      <w:bookmarkStart w:id="1" w:name="_Hlk138103167"/>
      <w:r w:rsidRPr="007C7B85">
        <w:rPr>
          <w:lang w:eastAsia="ja-JP"/>
        </w:rPr>
        <w:t xml:space="preserve">IEEE </w:t>
      </w:r>
      <w:proofErr w:type="spellStart"/>
      <w:r w:rsidRPr="007C7B85">
        <w:rPr>
          <w:lang w:eastAsia="ja-JP"/>
        </w:rPr>
        <w:t>Std</w:t>
      </w:r>
      <w:proofErr w:type="spellEnd"/>
      <w:r w:rsidRPr="007C7B85">
        <w:rPr>
          <w:lang w:eastAsia="ja-JP"/>
        </w:rPr>
        <w:t xml:space="preserve"> 802.15.3d</w:t>
      </w:r>
      <w:r w:rsidRPr="007C7B85">
        <w:rPr>
          <w:vertAlign w:val="superscript"/>
          <w:lang w:eastAsia="ja-JP"/>
        </w:rPr>
        <w:t>TM</w:t>
      </w:r>
      <w:r w:rsidRPr="007C7B85">
        <w:rPr>
          <w:lang w:eastAsia="ja-JP"/>
        </w:rPr>
        <w:t xml:space="preserve">-2017 </w:t>
      </w:r>
      <w:bookmarkEnd w:id="1"/>
      <w:r w:rsidRPr="007C7B85">
        <w:rPr>
          <w:lang w:eastAsia="ja-JP"/>
        </w:rPr>
        <w:t xml:space="preserve">in 2017 - an amendment to IEEE </w:t>
      </w:r>
      <w:proofErr w:type="spellStart"/>
      <w:r w:rsidRPr="007C7B85">
        <w:rPr>
          <w:lang w:eastAsia="ja-JP"/>
        </w:rPr>
        <w:t>Std</w:t>
      </w:r>
      <w:proofErr w:type="spellEnd"/>
      <w:r w:rsidRPr="007C7B85">
        <w:rPr>
          <w:lang w:eastAsia="ja-JP"/>
        </w:rPr>
        <w:t xml:space="preserve"> 802.15.3</w:t>
      </w:r>
      <w:r w:rsidR="00407F73" w:rsidRPr="00407F73">
        <w:rPr>
          <w:vertAlign w:val="superscript"/>
          <w:lang w:eastAsia="ja-JP"/>
        </w:rPr>
        <w:t>TM</w:t>
      </w:r>
      <w:r w:rsidRPr="007C7B85">
        <w:rPr>
          <w:lang w:eastAsia="ja-JP"/>
        </w:rPr>
        <w:t>-2016, which defines physical layer (PHY) at the frequency range between 252 GHz and 325 GHz for switched point-to-point links and defines two PHY modes that enables data rates of up to 100 Gb/s using eight different bandwidths between 2.16 GHz and 69.12 GHz. Applications targeted with this standard comprise wireless backhaul/</w:t>
      </w:r>
      <w:proofErr w:type="spellStart"/>
      <w:r w:rsidRPr="007C7B85">
        <w:rPr>
          <w:lang w:eastAsia="ja-JP"/>
        </w:rPr>
        <w:t>fronthaul</w:t>
      </w:r>
      <w:proofErr w:type="spellEnd"/>
      <w:r w:rsidRPr="007C7B85">
        <w:rPr>
          <w:lang w:eastAsia="ja-JP"/>
        </w:rPr>
        <w:t xml:space="preserve"> links, wireless links in data centers as well as short-range applications such as kiosk downloading, intra-device and close-proximity communication. In 2022, IEEE 802 LMSC initiated a project to revise IEEE </w:t>
      </w:r>
      <w:proofErr w:type="spellStart"/>
      <w:proofErr w:type="gramStart"/>
      <w:r w:rsidRPr="007C7B85">
        <w:rPr>
          <w:lang w:eastAsia="ja-JP"/>
        </w:rPr>
        <w:t>Std</w:t>
      </w:r>
      <w:proofErr w:type="spellEnd"/>
      <w:proofErr w:type="gramEnd"/>
      <w:r w:rsidRPr="007C7B85">
        <w:rPr>
          <w:lang w:eastAsia="ja-JP"/>
        </w:rPr>
        <w:t xml:space="preserve"> 802.15.3</w:t>
      </w:r>
      <w:r w:rsidR="00407F73" w:rsidRPr="00407F73">
        <w:rPr>
          <w:vertAlign w:val="superscript"/>
          <w:lang w:eastAsia="ja-JP"/>
        </w:rPr>
        <w:t>TM</w:t>
      </w:r>
      <w:r w:rsidRPr="007C7B85">
        <w:rPr>
          <w:lang w:eastAsia="ja-JP"/>
        </w:rPr>
        <w:t xml:space="preserve">-2016, which also includes the integration of amendment IEEE </w:t>
      </w:r>
      <w:proofErr w:type="spellStart"/>
      <w:r w:rsidRPr="007C7B85">
        <w:rPr>
          <w:lang w:eastAsia="ja-JP"/>
        </w:rPr>
        <w:t>Std</w:t>
      </w:r>
      <w:proofErr w:type="spellEnd"/>
      <w:r w:rsidRPr="007C7B85">
        <w:rPr>
          <w:lang w:eastAsia="ja-JP"/>
        </w:rPr>
        <w:t xml:space="preserve"> 802.15.3d</w:t>
      </w:r>
      <w:r w:rsidR="00263582" w:rsidRPr="00407F73">
        <w:rPr>
          <w:vertAlign w:val="superscript"/>
          <w:lang w:eastAsia="ja-JP"/>
        </w:rPr>
        <w:t>TM</w:t>
      </w:r>
      <w:r w:rsidRPr="007C7B85">
        <w:rPr>
          <w:lang w:eastAsia="ja-JP"/>
        </w:rPr>
        <w:t xml:space="preserve">-2017 into the main standard IEEE </w:t>
      </w:r>
      <w:proofErr w:type="spellStart"/>
      <w:r w:rsidRPr="007C7B85">
        <w:rPr>
          <w:lang w:eastAsia="ja-JP"/>
        </w:rPr>
        <w:t>Std</w:t>
      </w:r>
      <w:proofErr w:type="spellEnd"/>
      <w:r w:rsidRPr="007C7B85">
        <w:rPr>
          <w:lang w:eastAsia="ja-JP"/>
        </w:rPr>
        <w:t xml:space="preserve"> 802.15.3</w:t>
      </w:r>
      <w:r w:rsidRPr="00407F73">
        <w:rPr>
          <w:vertAlign w:val="superscript"/>
          <w:lang w:eastAsia="ja-JP"/>
        </w:rPr>
        <w:t>TM</w:t>
      </w:r>
      <w:r w:rsidR="00263582">
        <w:rPr>
          <w:lang w:eastAsia="ja-JP"/>
        </w:rPr>
        <w:t>-2016</w:t>
      </w:r>
      <w:r w:rsidR="000A7124">
        <w:rPr>
          <w:lang w:eastAsia="ja-JP"/>
        </w:rPr>
        <w:t xml:space="preserve"> and an extension of the channel plan up 450 GHz covering the spectrum, </w:t>
      </w:r>
      <w:r w:rsidR="003671BA">
        <w:rPr>
          <w:lang w:eastAsia="ja-JP"/>
        </w:rPr>
        <w:t>that has been identified by WRC-</w:t>
      </w:r>
      <w:r w:rsidR="000A7124">
        <w:rPr>
          <w:lang w:eastAsia="ja-JP"/>
        </w:rPr>
        <w:t xml:space="preserve">19 in </w:t>
      </w:r>
      <w:r w:rsidR="003671BA">
        <w:rPr>
          <w:lang w:eastAsia="ja-JP"/>
        </w:rPr>
        <w:t xml:space="preserve">RR No. </w:t>
      </w:r>
      <w:r w:rsidR="000A7124">
        <w:rPr>
          <w:lang w:eastAsia="ja-JP"/>
        </w:rPr>
        <w:t>5.564A.</w:t>
      </w:r>
    </w:p>
    <w:p w:rsidR="007C7B85" w:rsidRDefault="00E37376" w:rsidP="00E37376">
      <w:pPr>
        <w:pStyle w:val="Listenabsatz"/>
        <w:snapToGrid w:val="0"/>
        <w:spacing w:after="120"/>
        <w:ind w:left="357"/>
        <w:contextualSpacing w:val="0"/>
        <w:rPr>
          <w:b/>
          <w:bCs/>
          <w:lang w:eastAsia="ja-JP"/>
        </w:rPr>
      </w:pPr>
      <w:r>
        <w:rPr>
          <w:b/>
          <w:bCs/>
          <w:lang w:eastAsia="ja-JP"/>
        </w:rPr>
        <w:t xml:space="preserve">2.2 </w:t>
      </w:r>
      <w:r w:rsidR="007C7B85">
        <w:rPr>
          <w:b/>
          <w:bCs/>
          <w:lang w:eastAsia="ja-JP"/>
        </w:rPr>
        <w:t>Us</w:t>
      </w:r>
      <w:r w:rsidR="00A852B2">
        <w:rPr>
          <w:b/>
          <w:bCs/>
          <w:lang w:eastAsia="ja-JP"/>
        </w:rPr>
        <w:t>e</w:t>
      </w:r>
      <w:r w:rsidR="007C7B85">
        <w:rPr>
          <w:b/>
          <w:bCs/>
          <w:lang w:eastAsia="ja-JP"/>
        </w:rPr>
        <w:t xml:space="preserve"> </w:t>
      </w:r>
      <w:r w:rsidR="00511539">
        <w:rPr>
          <w:b/>
          <w:bCs/>
          <w:lang w:eastAsia="ja-JP"/>
        </w:rPr>
        <w:t>cases</w:t>
      </w:r>
      <w:r w:rsidR="007C7B85">
        <w:rPr>
          <w:b/>
          <w:bCs/>
          <w:lang w:eastAsia="ja-JP"/>
        </w:rPr>
        <w:t xml:space="preserve"> supported by</w:t>
      </w:r>
      <w:bookmarkStart w:id="2" w:name="_Hlk138193882"/>
      <w:r w:rsidR="007C7B85">
        <w:rPr>
          <w:b/>
          <w:bCs/>
          <w:lang w:eastAsia="ja-JP"/>
        </w:rPr>
        <w:t xml:space="preserve"> </w:t>
      </w:r>
      <w:r w:rsidR="007C7B85" w:rsidRPr="007C7B85">
        <w:rPr>
          <w:b/>
          <w:bCs/>
          <w:lang w:eastAsia="ja-JP"/>
        </w:rPr>
        <w:t xml:space="preserve">IEEE </w:t>
      </w:r>
      <w:proofErr w:type="spellStart"/>
      <w:r w:rsidR="007C7B85" w:rsidRPr="007C7B85">
        <w:rPr>
          <w:b/>
          <w:bCs/>
          <w:lang w:eastAsia="ja-JP"/>
        </w:rPr>
        <w:t>Std</w:t>
      </w:r>
      <w:proofErr w:type="spellEnd"/>
      <w:r w:rsidR="007C7B85" w:rsidRPr="007C7B85">
        <w:rPr>
          <w:b/>
          <w:bCs/>
          <w:lang w:eastAsia="ja-JP"/>
        </w:rPr>
        <w:t xml:space="preserve"> 802.15.3d</w:t>
      </w:r>
      <w:r w:rsidR="007C7B85" w:rsidRPr="007C7B85">
        <w:rPr>
          <w:b/>
          <w:bCs/>
          <w:vertAlign w:val="superscript"/>
          <w:lang w:eastAsia="ja-JP"/>
        </w:rPr>
        <w:t>TM</w:t>
      </w:r>
      <w:r w:rsidR="007C7B85" w:rsidRPr="007C7B85">
        <w:rPr>
          <w:b/>
          <w:bCs/>
          <w:lang w:eastAsia="ja-JP"/>
        </w:rPr>
        <w:t>-2017</w:t>
      </w:r>
      <w:bookmarkEnd w:id="2"/>
    </w:p>
    <w:p w:rsidR="007C7B85" w:rsidRDefault="007C7B85" w:rsidP="007C7B85">
      <w:pPr>
        <w:snapToGrid w:val="0"/>
        <w:spacing w:after="120"/>
        <w:rPr>
          <w:lang w:eastAsia="ja-JP"/>
        </w:rPr>
      </w:pPr>
      <w:r>
        <w:rPr>
          <w:lang w:eastAsia="ja-JP"/>
        </w:rPr>
        <w:t>The standard</w:t>
      </w:r>
      <w:r w:rsidRPr="007C7B85">
        <w:rPr>
          <w:lang w:eastAsia="ja-JP"/>
        </w:rPr>
        <w:t xml:space="preserve"> defines a wireless switched point-to-point physical layer operating at PHY data rates of 100 </w:t>
      </w:r>
      <w:proofErr w:type="spellStart"/>
      <w:r w:rsidRPr="007C7B85">
        <w:rPr>
          <w:lang w:eastAsia="ja-JP"/>
        </w:rPr>
        <w:t>Gbps</w:t>
      </w:r>
      <w:proofErr w:type="spellEnd"/>
      <w:r w:rsidRPr="007C7B85">
        <w:rPr>
          <w:lang w:eastAsia="ja-JP"/>
        </w:rPr>
        <w:t xml:space="preserve"> with fallback solutions at lower data rates. Th</w:t>
      </w:r>
      <w:r w:rsidR="0052270D">
        <w:rPr>
          <w:lang w:eastAsia="ja-JP"/>
        </w:rPr>
        <w:t>e standard</w:t>
      </w:r>
      <w:r w:rsidRPr="007C7B85">
        <w:rPr>
          <w:lang w:eastAsia="ja-JP"/>
        </w:rPr>
        <w:t xml:space="preserve"> provide</w:t>
      </w:r>
      <w:r w:rsidR="0052270D">
        <w:rPr>
          <w:lang w:eastAsia="ja-JP"/>
        </w:rPr>
        <w:t>s</w:t>
      </w:r>
      <w:r w:rsidRPr="007C7B85">
        <w:rPr>
          <w:lang w:eastAsia="ja-JP"/>
        </w:rPr>
        <w:t xml:space="preserve"> low complexity, low cost, low power consumption, and high data rate wireless connectivity among devices. </w:t>
      </w:r>
      <w:r w:rsidR="00E37376">
        <w:rPr>
          <w:lang w:eastAsia="ja-JP"/>
        </w:rPr>
        <w:t>The supported d</w:t>
      </w:r>
      <w:r w:rsidR="00E37376" w:rsidRPr="007C7B85">
        <w:rPr>
          <w:lang w:eastAsia="ja-JP"/>
        </w:rPr>
        <w:t xml:space="preserve">ata </w:t>
      </w:r>
      <w:r w:rsidRPr="007C7B85">
        <w:rPr>
          <w:lang w:eastAsia="ja-JP"/>
        </w:rPr>
        <w:t xml:space="preserve">rates </w:t>
      </w:r>
      <w:r w:rsidR="00E37376">
        <w:rPr>
          <w:lang w:eastAsia="ja-JP"/>
        </w:rPr>
        <w:t>are expected</w:t>
      </w:r>
      <w:r w:rsidRPr="007C7B85">
        <w:rPr>
          <w:lang w:eastAsia="ja-JP"/>
        </w:rPr>
        <w:t xml:space="preserve"> to satisfy a set of consumer multimedia industry needs, and to support emerging wireless switched point-to-point applications</w:t>
      </w:r>
      <w:r w:rsidR="0052270D">
        <w:rPr>
          <w:lang w:eastAsia="ja-JP"/>
        </w:rPr>
        <w:t>. Five use cases supported by this standard are shown below and the detailed information is provided in Application Requirement Document</w:t>
      </w:r>
      <w:r w:rsidR="0052270D">
        <w:rPr>
          <w:rStyle w:val="Funotenzeichen"/>
          <w:lang w:eastAsia="ja-JP"/>
        </w:rPr>
        <w:footnoteReference w:id="2"/>
      </w:r>
      <w:r w:rsidR="0052270D">
        <w:rPr>
          <w:lang w:eastAsia="ja-JP"/>
        </w:rPr>
        <w:t>.</w:t>
      </w:r>
    </w:p>
    <w:p w:rsidR="0052270D" w:rsidRDefault="0052270D" w:rsidP="0052270D">
      <w:pPr>
        <w:snapToGrid w:val="0"/>
        <w:spacing w:after="60"/>
        <w:rPr>
          <w:lang w:eastAsia="ja-JP"/>
        </w:rPr>
      </w:pPr>
      <w:r>
        <w:rPr>
          <w:lang w:eastAsia="ja-JP"/>
        </w:rPr>
        <w:t>-</w:t>
      </w:r>
      <w:r>
        <w:rPr>
          <w:lang w:eastAsia="ja-JP"/>
        </w:rPr>
        <w:tab/>
        <w:t>Intra-device communication</w:t>
      </w:r>
    </w:p>
    <w:p w:rsidR="0052270D" w:rsidRDefault="0052270D" w:rsidP="0052270D">
      <w:pPr>
        <w:snapToGrid w:val="0"/>
        <w:spacing w:after="60"/>
        <w:rPr>
          <w:lang w:eastAsia="ja-JP"/>
        </w:rPr>
      </w:pPr>
      <w:r>
        <w:rPr>
          <w:lang w:eastAsia="ja-JP"/>
        </w:rPr>
        <w:t>-</w:t>
      </w:r>
      <w:r>
        <w:rPr>
          <w:lang w:eastAsia="ja-JP"/>
        </w:rPr>
        <w:tab/>
        <w:t>Close proximity P2P applications (e.g. kiosk downloading and file exchange)</w:t>
      </w:r>
    </w:p>
    <w:p w:rsidR="00C7191E" w:rsidRDefault="00C7191E" w:rsidP="00C7191E">
      <w:pPr>
        <w:snapToGrid w:val="0"/>
        <w:spacing w:after="60"/>
        <w:rPr>
          <w:lang w:eastAsia="ja-JP"/>
        </w:rPr>
      </w:pPr>
      <w:r>
        <w:rPr>
          <w:lang w:eastAsia="ja-JP"/>
        </w:rPr>
        <w:t>-</w:t>
      </w:r>
      <w:r>
        <w:rPr>
          <w:lang w:eastAsia="ja-JP"/>
        </w:rPr>
        <w:tab/>
        <w:t>Wireless backhaul/</w:t>
      </w:r>
      <w:proofErr w:type="spellStart"/>
      <w:r>
        <w:rPr>
          <w:lang w:eastAsia="ja-JP"/>
        </w:rPr>
        <w:t>fronthaul</w:t>
      </w:r>
      <w:proofErr w:type="spellEnd"/>
    </w:p>
    <w:p w:rsidR="00C7191E" w:rsidRDefault="00C7191E" w:rsidP="0052270D">
      <w:pPr>
        <w:snapToGrid w:val="0"/>
        <w:spacing w:after="60"/>
        <w:rPr>
          <w:lang w:eastAsia="ja-JP"/>
        </w:rPr>
      </w:pPr>
      <w:r>
        <w:rPr>
          <w:lang w:eastAsia="ja-JP"/>
        </w:rPr>
        <w:t>-</w:t>
      </w:r>
      <w:r>
        <w:rPr>
          <w:lang w:eastAsia="ja-JP"/>
        </w:rPr>
        <w:tab/>
        <w:t>Data centers</w:t>
      </w:r>
    </w:p>
    <w:p w:rsidR="0052270D" w:rsidRDefault="0052270D" w:rsidP="0052270D">
      <w:pPr>
        <w:snapToGrid w:val="0"/>
        <w:spacing w:after="120"/>
        <w:rPr>
          <w:lang w:eastAsia="ja-JP"/>
        </w:rPr>
      </w:pPr>
      <w:r>
        <w:rPr>
          <w:lang w:eastAsia="ja-JP"/>
        </w:rPr>
        <w:lastRenderedPageBreak/>
        <w:t>-</w:t>
      </w:r>
      <w:r>
        <w:rPr>
          <w:lang w:eastAsia="ja-JP"/>
        </w:rPr>
        <w:tab/>
        <w:t>Touchless gate systems</w:t>
      </w:r>
      <w:r w:rsidR="00C7191E">
        <w:rPr>
          <w:rStyle w:val="Funotenzeichen"/>
          <w:lang w:eastAsia="ja-JP"/>
        </w:rPr>
        <w:footnoteReference w:id="3"/>
      </w:r>
    </w:p>
    <w:p w:rsidR="007C7B85" w:rsidRDefault="00E37376" w:rsidP="00E70462">
      <w:pPr>
        <w:pStyle w:val="Listenabsatz"/>
        <w:snapToGrid w:val="0"/>
        <w:spacing w:after="120"/>
        <w:ind w:left="357"/>
        <w:contextualSpacing w:val="0"/>
        <w:rPr>
          <w:b/>
          <w:bCs/>
          <w:lang w:eastAsia="ja-JP"/>
        </w:rPr>
      </w:pPr>
      <w:r>
        <w:rPr>
          <w:b/>
          <w:bCs/>
          <w:lang w:eastAsia="ja-JP"/>
        </w:rPr>
        <w:t xml:space="preserve">2.3 </w:t>
      </w:r>
      <w:r w:rsidR="007C7B85">
        <w:rPr>
          <w:rFonts w:hint="eastAsia"/>
          <w:b/>
          <w:bCs/>
          <w:lang w:eastAsia="ja-JP"/>
        </w:rPr>
        <w:t>T</w:t>
      </w:r>
      <w:r w:rsidR="007C7B85">
        <w:rPr>
          <w:b/>
          <w:bCs/>
          <w:lang w:eastAsia="ja-JP"/>
        </w:rPr>
        <w:t xml:space="preserve">echnical </w:t>
      </w:r>
      <w:r w:rsidR="000D58A2">
        <w:rPr>
          <w:b/>
          <w:bCs/>
          <w:lang w:eastAsia="ja-JP"/>
        </w:rPr>
        <w:t>requirement</w:t>
      </w:r>
      <w:r>
        <w:rPr>
          <w:b/>
          <w:bCs/>
          <w:lang w:eastAsia="ja-JP"/>
        </w:rPr>
        <w:t>s</w:t>
      </w:r>
      <w:r w:rsidR="000D58A2">
        <w:rPr>
          <w:b/>
          <w:bCs/>
          <w:lang w:eastAsia="ja-JP"/>
        </w:rPr>
        <w:t xml:space="preserve"> </w:t>
      </w:r>
      <w:r w:rsidR="0089032A">
        <w:rPr>
          <w:b/>
          <w:bCs/>
          <w:lang w:eastAsia="ja-JP"/>
        </w:rPr>
        <w:t>for</w:t>
      </w:r>
      <w:r w:rsidR="000D58A2">
        <w:rPr>
          <w:b/>
          <w:bCs/>
          <w:lang w:eastAsia="ja-JP"/>
        </w:rPr>
        <w:t xml:space="preserve"> </w:t>
      </w:r>
      <w:r w:rsidR="000D58A2" w:rsidRPr="007C7B85">
        <w:rPr>
          <w:b/>
          <w:bCs/>
          <w:lang w:eastAsia="ja-JP"/>
        </w:rPr>
        <w:t xml:space="preserve">IEEE </w:t>
      </w:r>
      <w:proofErr w:type="spellStart"/>
      <w:r w:rsidR="000D58A2" w:rsidRPr="007C7B85">
        <w:rPr>
          <w:b/>
          <w:bCs/>
          <w:lang w:eastAsia="ja-JP"/>
        </w:rPr>
        <w:t>Std</w:t>
      </w:r>
      <w:proofErr w:type="spellEnd"/>
      <w:r w:rsidR="000D58A2" w:rsidRPr="007C7B85">
        <w:rPr>
          <w:b/>
          <w:bCs/>
          <w:lang w:eastAsia="ja-JP"/>
        </w:rPr>
        <w:t xml:space="preserve"> 802.15.3d</w:t>
      </w:r>
      <w:r w:rsidR="000D58A2" w:rsidRPr="007C7B85">
        <w:rPr>
          <w:b/>
          <w:bCs/>
          <w:vertAlign w:val="superscript"/>
          <w:lang w:eastAsia="ja-JP"/>
        </w:rPr>
        <w:t>TM</w:t>
      </w:r>
      <w:r w:rsidR="000D58A2" w:rsidRPr="007C7B85">
        <w:rPr>
          <w:b/>
          <w:bCs/>
          <w:lang w:eastAsia="ja-JP"/>
        </w:rPr>
        <w:t>-2017</w:t>
      </w:r>
    </w:p>
    <w:p w:rsidR="005453BD" w:rsidRDefault="000D58A2" w:rsidP="000D58A2">
      <w:pPr>
        <w:snapToGrid w:val="0"/>
        <w:spacing w:after="120"/>
        <w:rPr>
          <w:lang w:eastAsia="ja-JP"/>
        </w:rPr>
      </w:pPr>
      <w:r w:rsidRPr="000D58A2">
        <w:rPr>
          <w:lang w:eastAsia="ja-JP"/>
        </w:rPr>
        <w:t xml:space="preserve">The requirements </w:t>
      </w:r>
      <w:r w:rsidR="00E37376" w:rsidRPr="000D58A2">
        <w:rPr>
          <w:lang w:eastAsia="ja-JP"/>
        </w:rPr>
        <w:t xml:space="preserve">to define a wireless switched point-to-point physical layer operating at a nominal PHY data rate of 100 </w:t>
      </w:r>
      <w:proofErr w:type="spellStart"/>
      <w:r w:rsidR="00E37376" w:rsidRPr="000D58A2">
        <w:rPr>
          <w:lang w:eastAsia="ja-JP"/>
        </w:rPr>
        <w:t>Gbps</w:t>
      </w:r>
      <w:proofErr w:type="spellEnd"/>
      <w:r w:rsidR="00E37376" w:rsidRPr="000D58A2">
        <w:rPr>
          <w:lang w:eastAsia="ja-JP"/>
        </w:rPr>
        <w:t xml:space="preserve"> with fallbacks to lower data rates as needed </w:t>
      </w:r>
      <w:r w:rsidRPr="000D58A2">
        <w:rPr>
          <w:lang w:eastAsia="ja-JP"/>
        </w:rPr>
        <w:t xml:space="preserve">in terms of </w:t>
      </w:r>
      <w:r w:rsidR="009611CA">
        <w:rPr>
          <w:lang w:eastAsia="ja-JP"/>
        </w:rPr>
        <w:t>minimum data rates</w:t>
      </w:r>
      <w:r w:rsidR="00A73A7B">
        <w:rPr>
          <w:lang w:eastAsia="ja-JP"/>
        </w:rPr>
        <w:t>, required BER</w:t>
      </w:r>
      <w:r w:rsidR="009611CA">
        <w:rPr>
          <w:lang w:eastAsia="ja-JP"/>
        </w:rPr>
        <w:t xml:space="preserve"> and required transmission distances</w:t>
      </w:r>
      <w:r w:rsidRPr="000D58A2">
        <w:rPr>
          <w:lang w:eastAsia="ja-JP"/>
        </w:rPr>
        <w:t xml:space="preserve"> depend</w:t>
      </w:r>
      <w:r w:rsidR="00A73A7B">
        <w:rPr>
          <w:lang w:eastAsia="ja-JP"/>
        </w:rPr>
        <w:t>ing</w:t>
      </w:r>
      <w:r w:rsidRPr="000D58A2">
        <w:rPr>
          <w:lang w:eastAsia="ja-JP"/>
        </w:rPr>
        <w:t xml:space="preserve"> on the specific use</w:t>
      </w:r>
      <w:r w:rsidR="00A73A7B">
        <w:rPr>
          <w:lang w:eastAsia="ja-JP"/>
        </w:rPr>
        <w:t xml:space="preserve"> </w:t>
      </w:r>
      <w:r w:rsidR="002D7F79">
        <w:rPr>
          <w:lang w:eastAsia="ja-JP"/>
        </w:rPr>
        <w:t xml:space="preserve">cases </w:t>
      </w:r>
      <w:r w:rsidR="00A73A7B">
        <w:rPr>
          <w:lang w:eastAsia="ja-JP"/>
        </w:rPr>
        <w:t>are</w:t>
      </w:r>
      <w:r w:rsidR="009611CA">
        <w:rPr>
          <w:lang w:eastAsia="ja-JP"/>
        </w:rPr>
        <w:t xml:space="preserve"> </w:t>
      </w:r>
      <w:r w:rsidR="00A5071E">
        <w:rPr>
          <w:lang w:eastAsia="ja-JP"/>
        </w:rPr>
        <w:t>shown in Table</w:t>
      </w:r>
      <w:r w:rsidR="00A73A7B">
        <w:rPr>
          <w:lang w:eastAsia="ja-JP"/>
        </w:rPr>
        <w:t xml:space="preserve"> 1</w:t>
      </w:r>
      <w:r w:rsidR="00A5071E">
        <w:rPr>
          <w:lang w:eastAsia="ja-JP"/>
        </w:rPr>
        <w:t>.</w:t>
      </w:r>
    </w:p>
    <w:p w:rsidR="00EC6065" w:rsidRPr="00EC6065" w:rsidRDefault="00EC6065" w:rsidP="00EC6065">
      <w:pPr>
        <w:snapToGrid w:val="0"/>
        <w:spacing w:afterLines="50" w:after="120"/>
        <w:jc w:val="center"/>
        <w:rPr>
          <w:b/>
          <w:bCs/>
          <w:sz w:val="21"/>
          <w:szCs w:val="21"/>
          <w:lang w:eastAsia="ja-JP"/>
        </w:rPr>
      </w:pPr>
      <w:r w:rsidRPr="00EC6065">
        <w:rPr>
          <w:rFonts w:hint="eastAsia"/>
          <w:sz w:val="21"/>
          <w:szCs w:val="21"/>
          <w:lang w:eastAsia="ja-JP"/>
        </w:rPr>
        <w:t>T</w:t>
      </w:r>
      <w:r w:rsidRPr="00EC6065">
        <w:rPr>
          <w:sz w:val="21"/>
          <w:szCs w:val="21"/>
          <w:lang w:eastAsia="ja-JP"/>
        </w:rPr>
        <w:t xml:space="preserve">able 1 </w:t>
      </w:r>
      <w:r w:rsidR="009611CA">
        <w:rPr>
          <w:b/>
          <w:bCs/>
          <w:sz w:val="21"/>
          <w:szCs w:val="21"/>
          <w:lang w:eastAsia="ja-JP"/>
        </w:rPr>
        <w:t>Required performance</w:t>
      </w:r>
      <w:r w:rsidR="00112505">
        <w:rPr>
          <w:b/>
          <w:bCs/>
          <w:sz w:val="21"/>
          <w:szCs w:val="21"/>
          <w:lang w:eastAsia="ja-JP"/>
        </w:rPr>
        <w:t xml:space="preserve"> for different use cases</w:t>
      </w:r>
    </w:p>
    <w:tbl>
      <w:tblPr>
        <w:tblStyle w:val="Tabellenraster"/>
        <w:tblW w:w="8930" w:type="dxa"/>
        <w:tblInd w:w="279" w:type="dxa"/>
        <w:tblLook w:val="04A0" w:firstRow="1" w:lastRow="0" w:firstColumn="1" w:lastColumn="0" w:noHBand="0" w:noVBand="1"/>
      </w:tblPr>
      <w:tblGrid>
        <w:gridCol w:w="2126"/>
        <w:gridCol w:w="1985"/>
        <w:gridCol w:w="2409"/>
        <w:gridCol w:w="2410"/>
      </w:tblGrid>
      <w:tr w:rsidR="009611CA" w:rsidRPr="00112505" w:rsidTr="009611CA">
        <w:tc>
          <w:tcPr>
            <w:tcW w:w="2126" w:type="dxa"/>
            <w:tcBorders>
              <w:top w:val="single" w:sz="4" w:space="0" w:color="000000"/>
              <w:left w:val="single" w:sz="4" w:space="0" w:color="000000"/>
              <w:bottom w:val="single" w:sz="4" w:space="0" w:color="000000"/>
              <w:right w:val="single" w:sz="4" w:space="0" w:color="000000"/>
            </w:tcBorders>
            <w:hideMark/>
          </w:tcPr>
          <w:p w:rsidR="009611CA" w:rsidRPr="009611CA" w:rsidRDefault="009611CA" w:rsidP="009611CA">
            <w:pPr>
              <w:jc w:val="center"/>
              <w:rPr>
                <w:b/>
                <w:bCs/>
                <w:sz w:val="21"/>
                <w:szCs w:val="21"/>
                <w:lang w:eastAsia="de-DE"/>
              </w:rPr>
            </w:pPr>
            <w:r w:rsidRPr="009611CA">
              <w:rPr>
                <w:b/>
                <w:bCs/>
                <w:kern w:val="24"/>
                <w:sz w:val="21"/>
                <w:szCs w:val="21"/>
                <w:lang w:eastAsia="de-DE"/>
              </w:rPr>
              <w:t>Use case</w:t>
            </w:r>
          </w:p>
        </w:tc>
        <w:tc>
          <w:tcPr>
            <w:tcW w:w="1985" w:type="dxa"/>
            <w:tcBorders>
              <w:top w:val="single" w:sz="4" w:space="0" w:color="000000"/>
              <w:left w:val="single" w:sz="4" w:space="0" w:color="000000"/>
              <w:bottom w:val="single" w:sz="4" w:space="0" w:color="000000"/>
              <w:right w:val="single" w:sz="4" w:space="0" w:color="000000"/>
            </w:tcBorders>
            <w:hideMark/>
          </w:tcPr>
          <w:p w:rsidR="009611CA" w:rsidRPr="009611CA" w:rsidRDefault="009611CA" w:rsidP="009611CA">
            <w:pPr>
              <w:jc w:val="center"/>
              <w:rPr>
                <w:b/>
                <w:bCs/>
                <w:sz w:val="21"/>
                <w:szCs w:val="21"/>
                <w:lang w:eastAsia="de-DE"/>
              </w:rPr>
            </w:pPr>
            <w:r w:rsidRPr="009611CA">
              <w:rPr>
                <w:b/>
                <w:bCs/>
                <w:kern w:val="24"/>
                <w:sz w:val="21"/>
                <w:szCs w:val="21"/>
                <w:lang w:eastAsia="de-DE"/>
              </w:rPr>
              <w:t>Minimum Data Rate in Gb/s</w:t>
            </w:r>
          </w:p>
        </w:tc>
        <w:tc>
          <w:tcPr>
            <w:tcW w:w="2409" w:type="dxa"/>
            <w:tcBorders>
              <w:top w:val="single" w:sz="4" w:space="0" w:color="000000"/>
              <w:left w:val="single" w:sz="4" w:space="0" w:color="000000"/>
              <w:bottom w:val="single" w:sz="4" w:space="0" w:color="000000"/>
              <w:right w:val="single" w:sz="4" w:space="0" w:color="000000"/>
            </w:tcBorders>
            <w:hideMark/>
          </w:tcPr>
          <w:p w:rsidR="009611CA" w:rsidRPr="009611CA" w:rsidRDefault="009611CA" w:rsidP="009611CA">
            <w:pPr>
              <w:jc w:val="center"/>
              <w:rPr>
                <w:b/>
                <w:bCs/>
                <w:sz w:val="21"/>
                <w:szCs w:val="21"/>
                <w:lang w:eastAsia="de-DE"/>
              </w:rPr>
            </w:pPr>
            <w:r w:rsidRPr="009611CA">
              <w:rPr>
                <w:b/>
                <w:bCs/>
                <w:kern w:val="24"/>
                <w:sz w:val="21"/>
                <w:szCs w:val="21"/>
                <w:lang w:eastAsia="de-DE"/>
              </w:rPr>
              <w:t>Required BER after error correction</w:t>
            </w:r>
          </w:p>
        </w:tc>
        <w:tc>
          <w:tcPr>
            <w:tcW w:w="2410" w:type="dxa"/>
            <w:tcBorders>
              <w:top w:val="single" w:sz="4" w:space="0" w:color="000000"/>
              <w:left w:val="single" w:sz="4" w:space="0" w:color="000000"/>
              <w:bottom w:val="single" w:sz="4" w:space="0" w:color="000000"/>
              <w:right w:val="single" w:sz="4" w:space="0" w:color="000000"/>
            </w:tcBorders>
          </w:tcPr>
          <w:p w:rsidR="009611CA" w:rsidRPr="009611CA" w:rsidRDefault="009611CA" w:rsidP="009611CA">
            <w:pPr>
              <w:jc w:val="center"/>
              <w:rPr>
                <w:b/>
                <w:bCs/>
                <w:kern w:val="24"/>
                <w:sz w:val="21"/>
                <w:szCs w:val="21"/>
                <w:lang w:eastAsia="de-DE"/>
              </w:rPr>
            </w:pPr>
            <w:r w:rsidRPr="009611CA">
              <w:rPr>
                <w:b/>
                <w:bCs/>
                <w:kern w:val="24"/>
                <w:sz w:val="21"/>
                <w:szCs w:val="21"/>
                <w:lang w:eastAsia="de-DE"/>
              </w:rPr>
              <w:t>Required Transmission Distance</w:t>
            </w:r>
            <w:r>
              <w:rPr>
                <w:b/>
                <w:bCs/>
                <w:kern w:val="24"/>
                <w:sz w:val="21"/>
                <w:szCs w:val="21"/>
                <w:lang w:eastAsia="de-DE"/>
              </w:rPr>
              <w:t xml:space="preserve"> (m)</w:t>
            </w:r>
          </w:p>
        </w:tc>
      </w:tr>
      <w:tr w:rsidR="009611CA" w:rsidRPr="00112505" w:rsidTr="009611CA">
        <w:tc>
          <w:tcPr>
            <w:tcW w:w="2126"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rPr>
                <w:sz w:val="21"/>
                <w:szCs w:val="21"/>
                <w:lang w:eastAsia="de-DE"/>
              </w:rPr>
            </w:pPr>
            <w:r w:rsidRPr="00112505">
              <w:rPr>
                <w:color w:val="000000"/>
                <w:kern w:val="24"/>
                <w:sz w:val="21"/>
                <w:szCs w:val="21"/>
                <w:lang w:eastAsia="de-DE"/>
              </w:rPr>
              <w:t xml:space="preserve">Intra-Device Communication </w:t>
            </w:r>
          </w:p>
        </w:tc>
        <w:tc>
          <w:tcPr>
            <w:tcW w:w="1985"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jc w:val="center"/>
              <w:rPr>
                <w:sz w:val="21"/>
                <w:szCs w:val="21"/>
                <w:lang w:eastAsia="de-DE"/>
              </w:rPr>
            </w:pPr>
            <w:r w:rsidRPr="00112505">
              <w:rPr>
                <w:color w:val="000000"/>
                <w:kern w:val="24"/>
                <w:sz w:val="21"/>
                <w:szCs w:val="21"/>
                <w:lang w:eastAsia="de-DE"/>
              </w:rPr>
              <w:t>1</w:t>
            </w:r>
          </w:p>
        </w:tc>
        <w:tc>
          <w:tcPr>
            <w:tcW w:w="2409"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jc w:val="center"/>
              <w:rPr>
                <w:sz w:val="21"/>
                <w:szCs w:val="21"/>
                <w:lang w:eastAsia="de-DE"/>
              </w:rPr>
            </w:pPr>
            <w:r w:rsidRPr="00112505">
              <w:rPr>
                <w:color w:val="000000"/>
                <w:kern w:val="24"/>
                <w:sz w:val="21"/>
                <w:szCs w:val="21"/>
                <w:lang w:eastAsia="de-DE"/>
              </w:rPr>
              <w:t>10</w:t>
            </w:r>
            <w:r w:rsidRPr="00112505">
              <w:rPr>
                <w:color w:val="000000"/>
                <w:kern w:val="24"/>
                <w:position w:val="8"/>
                <w:sz w:val="21"/>
                <w:szCs w:val="21"/>
                <w:vertAlign w:val="superscript"/>
                <w:lang w:eastAsia="de-DE"/>
              </w:rPr>
              <w:t>-12</w:t>
            </w:r>
          </w:p>
        </w:tc>
        <w:tc>
          <w:tcPr>
            <w:tcW w:w="2410" w:type="dxa"/>
            <w:tcBorders>
              <w:top w:val="single" w:sz="4" w:space="0" w:color="000000"/>
              <w:left w:val="single" w:sz="4" w:space="0" w:color="000000"/>
              <w:bottom w:val="single" w:sz="4" w:space="0" w:color="000000"/>
              <w:right w:val="single" w:sz="4" w:space="0" w:color="000000"/>
            </w:tcBorders>
          </w:tcPr>
          <w:p w:rsidR="009611CA" w:rsidRPr="00112505" w:rsidRDefault="009611CA" w:rsidP="009611CA">
            <w:pPr>
              <w:jc w:val="center"/>
              <w:rPr>
                <w:color w:val="000000"/>
                <w:kern w:val="24"/>
                <w:sz w:val="21"/>
                <w:szCs w:val="21"/>
                <w:lang w:eastAsia="de-DE"/>
              </w:rPr>
            </w:pPr>
            <w:r>
              <w:rPr>
                <w:kern w:val="24"/>
                <w:sz w:val="21"/>
                <w:szCs w:val="21"/>
                <w:lang w:eastAsia="de-DE"/>
              </w:rPr>
              <w:t>0.0</w:t>
            </w:r>
            <w:r w:rsidRPr="00A5071E">
              <w:rPr>
                <w:kern w:val="24"/>
                <w:sz w:val="21"/>
                <w:szCs w:val="21"/>
                <w:lang w:eastAsia="de-DE"/>
              </w:rPr>
              <w:t>3</w:t>
            </w:r>
          </w:p>
        </w:tc>
      </w:tr>
      <w:tr w:rsidR="009611CA" w:rsidRPr="00112505" w:rsidTr="009611CA">
        <w:tc>
          <w:tcPr>
            <w:tcW w:w="2126"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rPr>
                <w:sz w:val="21"/>
                <w:szCs w:val="21"/>
                <w:lang w:eastAsia="de-DE"/>
              </w:rPr>
            </w:pPr>
            <w:r w:rsidRPr="00112505">
              <w:rPr>
                <w:color w:val="000000"/>
                <w:kern w:val="24"/>
                <w:sz w:val="21"/>
                <w:szCs w:val="21"/>
                <w:lang w:eastAsia="de-DE"/>
              </w:rPr>
              <w:t xml:space="preserve">Close Proximity Communication </w:t>
            </w:r>
          </w:p>
        </w:tc>
        <w:tc>
          <w:tcPr>
            <w:tcW w:w="1985"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jc w:val="center"/>
              <w:rPr>
                <w:sz w:val="21"/>
                <w:szCs w:val="21"/>
                <w:lang w:eastAsia="de-DE"/>
              </w:rPr>
            </w:pPr>
            <w:r w:rsidRPr="00112505">
              <w:rPr>
                <w:color w:val="000000"/>
                <w:kern w:val="24"/>
                <w:sz w:val="21"/>
                <w:szCs w:val="21"/>
                <w:lang w:eastAsia="de-DE"/>
              </w:rPr>
              <w:t>1</w:t>
            </w:r>
          </w:p>
        </w:tc>
        <w:tc>
          <w:tcPr>
            <w:tcW w:w="2409"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jc w:val="center"/>
              <w:rPr>
                <w:sz w:val="21"/>
                <w:szCs w:val="21"/>
                <w:lang w:eastAsia="de-DE"/>
              </w:rPr>
            </w:pPr>
            <w:r w:rsidRPr="00112505">
              <w:rPr>
                <w:color w:val="000000"/>
                <w:kern w:val="24"/>
                <w:sz w:val="21"/>
                <w:szCs w:val="21"/>
                <w:lang w:eastAsia="de-DE"/>
              </w:rPr>
              <w:t>10</w:t>
            </w:r>
            <w:r w:rsidRPr="00112505">
              <w:rPr>
                <w:color w:val="000000"/>
                <w:kern w:val="24"/>
                <w:position w:val="8"/>
                <w:sz w:val="21"/>
                <w:szCs w:val="21"/>
                <w:vertAlign w:val="superscript"/>
                <w:lang w:eastAsia="de-DE"/>
              </w:rPr>
              <w:t>-6</w:t>
            </w:r>
          </w:p>
        </w:tc>
        <w:tc>
          <w:tcPr>
            <w:tcW w:w="2410" w:type="dxa"/>
            <w:tcBorders>
              <w:top w:val="single" w:sz="4" w:space="0" w:color="000000"/>
              <w:left w:val="single" w:sz="4" w:space="0" w:color="000000"/>
              <w:bottom w:val="single" w:sz="4" w:space="0" w:color="000000"/>
              <w:right w:val="single" w:sz="4" w:space="0" w:color="000000"/>
            </w:tcBorders>
          </w:tcPr>
          <w:p w:rsidR="009611CA" w:rsidRPr="00112505" w:rsidRDefault="009611CA" w:rsidP="009611CA">
            <w:pPr>
              <w:jc w:val="center"/>
              <w:rPr>
                <w:color w:val="000000"/>
                <w:kern w:val="24"/>
                <w:sz w:val="21"/>
                <w:szCs w:val="21"/>
                <w:lang w:eastAsia="de-DE"/>
              </w:rPr>
            </w:pPr>
            <w:r>
              <w:rPr>
                <w:kern w:val="24"/>
                <w:sz w:val="21"/>
                <w:szCs w:val="21"/>
                <w:lang w:eastAsia="de-DE"/>
              </w:rPr>
              <w:t>0.</w:t>
            </w:r>
            <w:r w:rsidRPr="00A5071E">
              <w:rPr>
                <w:kern w:val="24"/>
                <w:sz w:val="21"/>
                <w:szCs w:val="21"/>
                <w:lang w:eastAsia="de-DE"/>
              </w:rPr>
              <w:t>1</w:t>
            </w:r>
          </w:p>
        </w:tc>
      </w:tr>
      <w:tr w:rsidR="009611CA" w:rsidRPr="00112505" w:rsidTr="009611CA">
        <w:tc>
          <w:tcPr>
            <w:tcW w:w="2126"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rPr>
                <w:sz w:val="21"/>
                <w:szCs w:val="21"/>
                <w:lang w:eastAsia="de-DE"/>
              </w:rPr>
            </w:pPr>
            <w:r w:rsidRPr="00112505">
              <w:rPr>
                <w:color w:val="000000"/>
                <w:kern w:val="24"/>
                <w:sz w:val="21"/>
                <w:szCs w:val="21"/>
                <w:lang w:eastAsia="de-DE"/>
              </w:rPr>
              <w:t xml:space="preserve">Wireless </w:t>
            </w:r>
            <w:proofErr w:type="spellStart"/>
            <w:r w:rsidRPr="00112505">
              <w:rPr>
                <w:color w:val="000000"/>
                <w:kern w:val="24"/>
                <w:sz w:val="21"/>
                <w:szCs w:val="21"/>
                <w:lang w:eastAsia="de-DE"/>
              </w:rPr>
              <w:t>Fronthauling</w:t>
            </w:r>
            <w:proofErr w:type="spellEnd"/>
            <w:r w:rsidRPr="00112505">
              <w:rPr>
                <w:color w:val="000000"/>
                <w:kern w:val="24"/>
                <w:sz w:val="21"/>
                <w:szCs w:val="21"/>
                <w:lang w:eastAsia="de-DE"/>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jc w:val="center"/>
              <w:rPr>
                <w:sz w:val="21"/>
                <w:szCs w:val="21"/>
                <w:lang w:eastAsia="de-DE"/>
              </w:rPr>
            </w:pPr>
            <w:r w:rsidRPr="00112505">
              <w:rPr>
                <w:color w:val="000000"/>
                <w:kern w:val="24"/>
                <w:sz w:val="21"/>
                <w:szCs w:val="21"/>
                <w:lang w:eastAsia="de-DE"/>
              </w:rPr>
              <w:t>10</w:t>
            </w:r>
            <w:r w:rsidRPr="00112505">
              <w:rPr>
                <w:rStyle w:val="Funotenzeichen"/>
                <w:color w:val="000000"/>
                <w:kern w:val="24"/>
                <w:sz w:val="21"/>
                <w:szCs w:val="21"/>
                <w:lang w:eastAsia="de-DE"/>
              </w:rPr>
              <w:footnoteReference w:id="4"/>
            </w:r>
          </w:p>
        </w:tc>
        <w:tc>
          <w:tcPr>
            <w:tcW w:w="2409"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jc w:val="center"/>
              <w:rPr>
                <w:sz w:val="21"/>
                <w:szCs w:val="21"/>
                <w:lang w:eastAsia="de-DE"/>
              </w:rPr>
            </w:pPr>
            <w:r w:rsidRPr="00112505">
              <w:rPr>
                <w:color w:val="000000"/>
                <w:kern w:val="24"/>
                <w:sz w:val="21"/>
                <w:szCs w:val="21"/>
                <w:lang w:eastAsia="de-DE"/>
              </w:rPr>
              <w:t>10</w:t>
            </w:r>
            <w:r w:rsidRPr="00112505">
              <w:rPr>
                <w:color w:val="000000"/>
                <w:kern w:val="24"/>
                <w:position w:val="8"/>
                <w:sz w:val="21"/>
                <w:szCs w:val="21"/>
                <w:vertAlign w:val="superscript"/>
                <w:lang w:eastAsia="de-DE"/>
              </w:rPr>
              <w:t>-12</w:t>
            </w:r>
          </w:p>
        </w:tc>
        <w:tc>
          <w:tcPr>
            <w:tcW w:w="2410" w:type="dxa"/>
            <w:tcBorders>
              <w:top w:val="single" w:sz="4" w:space="0" w:color="000000"/>
              <w:left w:val="single" w:sz="4" w:space="0" w:color="000000"/>
              <w:bottom w:val="single" w:sz="4" w:space="0" w:color="000000"/>
              <w:right w:val="single" w:sz="4" w:space="0" w:color="000000"/>
            </w:tcBorders>
          </w:tcPr>
          <w:p w:rsidR="009611CA" w:rsidRPr="00112505" w:rsidRDefault="009611CA" w:rsidP="009611CA">
            <w:pPr>
              <w:jc w:val="center"/>
              <w:rPr>
                <w:color w:val="000000"/>
                <w:kern w:val="24"/>
                <w:sz w:val="21"/>
                <w:szCs w:val="21"/>
                <w:lang w:eastAsia="de-DE"/>
              </w:rPr>
            </w:pPr>
            <w:r w:rsidRPr="00A5071E">
              <w:rPr>
                <w:kern w:val="24"/>
                <w:sz w:val="21"/>
                <w:szCs w:val="21"/>
                <w:lang w:eastAsia="de-DE"/>
              </w:rPr>
              <w:t>200</w:t>
            </w:r>
          </w:p>
        </w:tc>
      </w:tr>
      <w:tr w:rsidR="009611CA" w:rsidRPr="00112505" w:rsidTr="009611CA">
        <w:tc>
          <w:tcPr>
            <w:tcW w:w="2126"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rPr>
                <w:sz w:val="21"/>
                <w:szCs w:val="21"/>
                <w:lang w:eastAsia="de-DE"/>
              </w:rPr>
            </w:pPr>
            <w:r w:rsidRPr="00112505">
              <w:rPr>
                <w:color w:val="000000"/>
                <w:kern w:val="24"/>
                <w:sz w:val="21"/>
                <w:szCs w:val="21"/>
                <w:lang w:eastAsia="de-DE"/>
              </w:rPr>
              <w:t xml:space="preserve">Wireless Backhauling </w:t>
            </w:r>
          </w:p>
        </w:tc>
        <w:tc>
          <w:tcPr>
            <w:tcW w:w="1985"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jc w:val="center"/>
              <w:rPr>
                <w:sz w:val="21"/>
                <w:szCs w:val="21"/>
                <w:lang w:eastAsia="de-DE"/>
              </w:rPr>
            </w:pPr>
            <w:r w:rsidRPr="00112505">
              <w:rPr>
                <w:color w:val="000000"/>
                <w:kern w:val="24"/>
                <w:sz w:val="21"/>
                <w:szCs w:val="21"/>
                <w:lang w:eastAsia="de-DE"/>
              </w:rPr>
              <w:t>10</w:t>
            </w:r>
          </w:p>
        </w:tc>
        <w:tc>
          <w:tcPr>
            <w:tcW w:w="2409"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jc w:val="center"/>
              <w:rPr>
                <w:sz w:val="21"/>
                <w:szCs w:val="21"/>
                <w:lang w:eastAsia="de-DE"/>
              </w:rPr>
            </w:pPr>
            <w:r w:rsidRPr="00112505">
              <w:rPr>
                <w:color w:val="000000"/>
                <w:kern w:val="24"/>
                <w:sz w:val="21"/>
                <w:szCs w:val="21"/>
                <w:lang w:eastAsia="de-DE"/>
              </w:rPr>
              <w:t>10</w:t>
            </w:r>
            <w:r w:rsidRPr="00112505">
              <w:rPr>
                <w:color w:val="000000"/>
                <w:kern w:val="24"/>
                <w:position w:val="8"/>
                <w:sz w:val="21"/>
                <w:szCs w:val="21"/>
                <w:vertAlign w:val="superscript"/>
                <w:lang w:eastAsia="de-DE"/>
              </w:rPr>
              <w:t>-12</w:t>
            </w:r>
          </w:p>
        </w:tc>
        <w:tc>
          <w:tcPr>
            <w:tcW w:w="2410" w:type="dxa"/>
            <w:tcBorders>
              <w:top w:val="single" w:sz="4" w:space="0" w:color="000000"/>
              <w:left w:val="single" w:sz="4" w:space="0" w:color="000000"/>
              <w:bottom w:val="single" w:sz="4" w:space="0" w:color="000000"/>
              <w:right w:val="single" w:sz="4" w:space="0" w:color="000000"/>
            </w:tcBorders>
          </w:tcPr>
          <w:p w:rsidR="009611CA" w:rsidRPr="00112505" w:rsidRDefault="009611CA" w:rsidP="009611CA">
            <w:pPr>
              <w:jc w:val="center"/>
              <w:rPr>
                <w:color w:val="000000"/>
                <w:kern w:val="24"/>
                <w:sz w:val="21"/>
                <w:szCs w:val="21"/>
                <w:lang w:eastAsia="de-DE"/>
              </w:rPr>
            </w:pPr>
            <w:r w:rsidRPr="00A5071E">
              <w:rPr>
                <w:kern w:val="24"/>
                <w:sz w:val="21"/>
                <w:szCs w:val="21"/>
                <w:lang w:eastAsia="de-DE"/>
              </w:rPr>
              <w:t>500</w:t>
            </w:r>
          </w:p>
        </w:tc>
      </w:tr>
      <w:tr w:rsidR="009611CA" w:rsidRPr="00112505" w:rsidTr="009611CA">
        <w:tc>
          <w:tcPr>
            <w:tcW w:w="2126"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rPr>
                <w:sz w:val="21"/>
                <w:szCs w:val="21"/>
                <w:lang w:eastAsia="de-DE"/>
              </w:rPr>
            </w:pPr>
            <w:r>
              <w:rPr>
                <w:color w:val="000000"/>
                <w:kern w:val="24"/>
                <w:sz w:val="21"/>
                <w:szCs w:val="21"/>
                <w:lang w:eastAsia="de-DE"/>
              </w:rPr>
              <w:t xml:space="preserve">Wireless </w:t>
            </w:r>
            <w:r w:rsidRPr="00112505">
              <w:rPr>
                <w:color w:val="000000"/>
                <w:kern w:val="24"/>
                <w:sz w:val="21"/>
                <w:szCs w:val="21"/>
                <w:lang w:eastAsia="de-DE"/>
              </w:rPr>
              <w:t xml:space="preserve">Data Center </w:t>
            </w:r>
          </w:p>
        </w:tc>
        <w:tc>
          <w:tcPr>
            <w:tcW w:w="1985"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jc w:val="center"/>
              <w:rPr>
                <w:sz w:val="21"/>
                <w:szCs w:val="21"/>
                <w:lang w:eastAsia="de-DE"/>
              </w:rPr>
            </w:pPr>
            <w:r w:rsidRPr="00112505">
              <w:rPr>
                <w:color w:val="000000"/>
                <w:kern w:val="24"/>
                <w:sz w:val="21"/>
                <w:szCs w:val="21"/>
                <w:lang w:eastAsia="de-DE"/>
              </w:rPr>
              <w:t>1</w:t>
            </w:r>
          </w:p>
        </w:tc>
        <w:tc>
          <w:tcPr>
            <w:tcW w:w="2409" w:type="dxa"/>
            <w:tcBorders>
              <w:top w:val="single" w:sz="4" w:space="0" w:color="000000"/>
              <w:left w:val="single" w:sz="4" w:space="0" w:color="000000"/>
              <w:bottom w:val="single" w:sz="4" w:space="0" w:color="000000"/>
              <w:right w:val="single" w:sz="4" w:space="0" w:color="000000"/>
            </w:tcBorders>
            <w:hideMark/>
          </w:tcPr>
          <w:p w:rsidR="009611CA" w:rsidRPr="00112505" w:rsidRDefault="009611CA" w:rsidP="009611CA">
            <w:pPr>
              <w:jc w:val="center"/>
              <w:rPr>
                <w:sz w:val="21"/>
                <w:szCs w:val="21"/>
                <w:lang w:eastAsia="de-DE"/>
              </w:rPr>
            </w:pPr>
            <w:r w:rsidRPr="00112505">
              <w:rPr>
                <w:color w:val="000000"/>
                <w:kern w:val="24"/>
                <w:sz w:val="21"/>
                <w:szCs w:val="21"/>
                <w:lang w:eastAsia="de-DE"/>
              </w:rPr>
              <w:t>10</w:t>
            </w:r>
            <w:r w:rsidRPr="00112505">
              <w:rPr>
                <w:color w:val="000000"/>
                <w:kern w:val="24"/>
                <w:position w:val="8"/>
                <w:sz w:val="21"/>
                <w:szCs w:val="21"/>
                <w:vertAlign w:val="superscript"/>
                <w:lang w:eastAsia="de-DE"/>
              </w:rPr>
              <w:t>-12</w:t>
            </w:r>
          </w:p>
        </w:tc>
        <w:tc>
          <w:tcPr>
            <w:tcW w:w="2410" w:type="dxa"/>
            <w:tcBorders>
              <w:top w:val="single" w:sz="4" w:space="0" w:color="000000"/>
              <w:left w:val="single" w:sz="4" w:space="0" w:color="000000"/>
              <w:bottom w:val="single" w:sz="4" w:space="0" w:color="000000"/>
              <w:right w:val="single" w:sz="4" w:space="0" w:color="000000"/>
            </w:tcBorders>
          </w:tcPr>
          <w:p w:rsidR="009611CA" w:rsidRPr="00112505" w:rsidRDefault="009611CA" w:rsidP="009611CA">
            <w:pPr>
              <w:jc w:val="center"/>
              <w:rPr>
                <w:color w:val="000000"/>
                <w:kern w:val="24"/>
                <w:sz w:val="21"/>
                <w:szCs w:val="21"/>
                <w:lang w:eastAsia="de-DE"/>
              </w:rPr>
            </w:pPr>
            <w:r w:rsidRPr="00A5071E">
              <w:rPr>
                <w:kern w:val="24"/>
                <w:sz w:val="21"/>
                <w:szCs w:val="21"/>
                <w:lang w:eastAsia="de-DE"/>
              </w:rPr>
              <w:t>100</w:t>
            </w:r>
          </w:p>
        </w:tc>
      </w:tr>
    </w:tbl>
    <w:p w:rsidR="00EC6065" w:rsidRDefault="00EC6065" w:rsidP="000D58A2">
      <w:pPr>
        <w:snapToGrid w:val="0"/>
        <w:spacing w:after="120"/>
        <w:rPr>
          <w:lang w:eastAsia="ja-JP"/>
        </w:rPr>
      </w:pPr>
    </w:p>
    <w:p w:rsidR="005453BD" w:rsidRDefault="005453BD" w:rsidP="005453BD">
      <w:pPr>
        <w:snapToGrid w:val="0"/>
        <w:spacing w:after="120"/>
        <w:rPr>
          <w:lang w:eastAsia="ja-JP"/>
        </w:rPr>
      </w:pPr>
      <w:r w:rsidRPr="000D58A2">
        <w:rPr>
          <w:lang w:eastAsia="ja-JP"/>
        </w:rPr>
        <w:t xml:space="preserve">The </w:t>
      </w:r>
      <w:r>
        <w:rPr>
          <w:lang w:eastAsia="ja-JP"/>
        </w:rPr>
        <w:t>standard</w:t>
      </w:r>
      <w:r w:rsidRPr="000D58A2">
        <w:rPr>
          <w:lang w:eastAsia="ja-JP"/>
        </w:rPr>
        <w:t xml:space="preserve"> shall also comply with the regulatory requirements taking into account the specific situation for carrier frequencies beyond 275 GHz</w:t>
      </w:r>
      <w:r w:rsidR="00473430">
        <w:rPr>
          <w:lang w:eastAsia="ja-JP"/>
        </w:rPr>
        <w:t>. H</w:t>
      </w:r>
      <w:r>
        <w:rPr>
          <w:lang w:eastAsia="ja-JP"/>
        </w:rPr>
        <w:t>owever, it would be preferable for IEEE802.15.3d devices to use the whole range of the operational frequency 252-325 GHz</w:t>
      </w:r>
      <w:r w:rsidRPr="000D58A2">
        <w:rPr>
          <w:lang w:eastAsia="ja-JP"/>
        </w:rPr>
        <w:t xml:space="preserve">. </w:t>
      </w:r>
      <w:r w:rsidR="00A73A7B">
        <w:rPr>
          <w:lang w:eastAsia="ja-JP"/>
        </w:rPr>
        <w:t xml:space="preserve">The channel arrangement of </w:t>
      </w:r>
      <w:r w:rsidR="00A73A7B" w:rsidRPr="007C7B85">
        <w:rPr>
          <w:lang w:eastAsia="ja-JP"/>
        </w:rPr>
        <w:t xml:space="preserve">IEEE </w:t>
      </w:r>
      <w:proofErr w:type="spellStart"/>
      <w:r w:rsidR="00A73A7B" w:rsidRPr="007C7B85">
        <w:rPr>
          <w:lang w:eastAsia="ja-JP"/>
        </w:rPr>
        <w:t>Std</w:t>
      </w:r>
      <w:proofErr w:type="spellEnd"/>
      <w:r w:rsidR="00A73A7B" w:rsidRPr="007C7B85">
        <w:rPr>
          <w:lang w:eastAsia="ja-JP"/>
        </w:rPr>
        <w:t xml:space="preserve"> 802.15.3d</w:t>
      </w:r>
      <w:r w:rsidR="00A73A7B" w:rsidRPr="007C7B85">
        <w:rPr>
          <w:vertAlign w:val="superscript"/>
          <w:lang w:eastAsia="ja-JP"/>
        </w:rPr>
        <w:t>TM</w:t>
      </w:r>
      <w:r w:rsidR="00A73A7B" w:rsidRPr="007C7B85">
        <w:rPr>
          <w:lang w:eastAsia="ja-JP"/>
        </w:rPr>
        <w:t>-2017</w:t>
      </w:r>
      <w:r w:rsidR="00A73A7B">
        <w:rPr>
          <w:lang w:eastAsia="ja-JP"/>
        </w:rPr>
        <w:t xml:space="preserve"> is shown in Figure 1</w:t>
      </w:r>
      <w:r w:rsidR="002D7F79">
        <w:rPr>
          <w:lang w:eastAsia="ja-JP"/>
        </w:rPr>
        <w:t>.</w:t>
      </w:r>
      <w:r w:rsidR="00A73A7B">
        <w:rPr>
          <w:lang w:eastAsia="ja-JP"/>
        </w:rPr>
        <w:t xml:space="preserve"> </w:t>
      </w:r>
      <w:r w:rsidR="002D7F79">
        <w:rPr>
          <w:lang w:eastAsia="ja-JP"/>
        </w:rPr>
        <w:t>The maximum</w:t>
      </w:r>
      <w:r w:rsidR="00A73A7B">
        <w:rPr>
          <w:lang w:eastAsia="ja-JP"/>
        </w:rPr>
        <w:t xml:space="preserve"> channel bandwidth </w:t>
      </w:r>
      <w:r w:rsidR="002D7F79">
        <w:rPr>
          <w:lang w:eastAsia="ja-JP"/>
        </w:rPr>
        <w:t>is</w:t>
      </w:r>
      <w:r w:rsidR="00A73A7B">
        <w:rPr>
          <w:lang w:eastAsia="ja-JP"/>
        </w:rPr>
        <w:t xml:space="preserve"> 69.12 GHz could be</w:t>
      </w:r>
      <w:r w:rsidR="006020E6">
        <w:rPr>
          <w:lang w:eastAsia="ja-JP"/>
        </w:rPr>
        <w:t xml:space="preserve"> in worldwide operation</w:t>
      </w:r>
      <w:r w:rsidR="00A73A7B">
        <w:rPr>
          <w:lang w:eastAsia="ja-JP"/>
        </w:rPr>
        <w:t xml:space="preserve"> if </w:t>
      </w:r>
      <w:r w:rsidR="002D7F79">
        <w:rPr>
          <w:lang w:eastAsia="ja-JP"/>
        </w:rPr>
        <w:t xml:space="preserve">the regulations allow IEEE802.15.3d devices to radiate </w:t>
      </w:r>
      <w:r w:rsidR="006020E6">
        <w:rPr>
          <w:lang w:eastAsia="ja-JP"/>
        </w:rPr>
        <w:t xml:space="preserve">transmission power in </w:t>
      </w:r>
      <w:r w:rsidR="002D7F79">
        <w:rPr>
          <w:lang w:eastAsia="ja-JP"/>
        </w:rPr>
        <w:t>the whole range of the frequency</w:t>
      </w:r>
      <w:r w:rsidR="006020E6">
        <w:rPr>
          <w:lang w:eastAsia="ja-JP"/>
        </w:rPr>
        <w:t xml:space="preserve"> in Regions 1, 2 and 3</w:t>
      </w:r>
      <w:r w:rsidR="002D7F79">
        <w:rPr>
          <w:lang w:eastAsia="ja-JP"/>
        </w:rPr>
        <w:t>.</w:t>
      </w:r>
      <w:r w:rsidR="00A73A7B">
        <w:rPr>
          <w:lang w:eastAsia="ja-JP"/>
        </w:rPr>
        <w:t xml:space="preserve"> </w:t>
      </w:r>
      <w:r>
        <w:rPr>
          <w:lang w:eastAsia="ja-JP"/>
        </w:rPr>
        <w:t>The further information on technical requirements is provided in Technical Requirement Document</w:t>
      </w:r>
      <w:r>
        <w:rPr>
          <w:rStyle w:val="Funotenzeichen"/>
          <w:lang w:eastAsia="ja-JP"/>
        </w:rPr>
        <w:footnoteReference w:id="5"/>
      </w:r>
      <w:r>
        <w:rPr>
          <w:lang w:eastAsia="ja-JP"/>
        </w:rPr>
        <w:t>.</w:t>
      </w:r>
    </w:p>
    <w:p w:rsidR="005453BD" w:rsidRDefault="005453BD" w:rsidP="000D58A2">
      <w:pPr>
        <w:snapToGrid w:val="0"/>
        <w:spacing w:after="120"/>
        <w:rPr>
          <w:lang w:eastAsia="ja-JP"/>
        </w:rPr>
      </w:pPr>
    </w:p>
    <w:p w:rsidR="005453BD" w:rsidRDefault="005453BD" w:rsidP="005453BD">
      <w:pPr>
        <w:snapToGrid w:val="0"/>
        <w:spacing w:after="120"/>
        <w:jc w:val="center"/>
        <w:rPr>
          <w:lang w:eastAsia="ja-JP"/>
        </w:rPr>
      </w:pPr>
      <w:r w:rsidRPr="005453BD">
        <w:rPr>
          <w:rFonts w:hint="eastAsia"/>
          <w:noProof/>
          <w:lang w:val="de-DE" w:eastAsia="de-DE"/>
        </w:rPr>
        <w:lastRenderedPageBreak/>
        <w:drawing>
          <wp:inline distT="0" distB="0" distL="0" distR="0" wp14:anchorId="03A280C9" wp14:editId="6B3595BF">
            <wp:extent cx="5026373" cy="3733800"/>
            <wp:effectExtent l="0" t="0" r="317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0940" cy="3737193"/>
                    </a:xfrm>
                    <a:prstGeom prst="rect">
                      <a:avLst/>
                    </a:prstGeom>
                    <a:noFill/>
                    <a:ln>
                      <a:noFill/>
                    </a:ln>
                  </pic:spPr>
                </pic:pic>
              </a:graphicData>
            </a:graphic>
          </wp:inline>
        </w:drawing>
      </w:r>
    </w:p>
    <w:p w:rsidR="005453BD" w:rsidRDefault="005453BD" w:rsidP="005453BD">
      <w:pPr>
        <w:snapToGrid w:val="0"/>
        <w:spacing w:after="120"/>
        <w:jc w:val="center"/>
        <w:rPr>
          <w:lang w:eastAsia="ja-JP"/>
        </w:rPr>
      </w:pPr>
      <w:r>
        <w:rPr>
          <w:sz w:val="21"/>
          <w:szCs w:val="21"/>
          <w:lang w:eastAsia="ja-JP"/>
        </w:rPr>
        <w:t xml:space="preserve">Figure </w:t>
      </w:r>
      <w:r w:rsidRPr="00EC6065">
        <w:rPr>
          <w:sz w:val="21"/>
          <w:szCs w:val="21"/>
          <w:lang w:eastAsia="ja-JP"/>
        </w:rPr>
        <w:t xml:space="preserve">1 </w:t>
      </w:r>
      <w:r>
        <w:rPr>
          <w:b/>
          <w:bCs/>
          <w:sz w:val="21"/>
          <w:szCs w:val="21"/>
          <w:lang w:eastAsia="ja-JP"/>
        </w:rPr>
        <w:t>Channel arrangement in the frequency range 252-325 GHz</w:t>
      </w:r>
    </w:p>
    <w:p w:rsidR="007C7B85" w:rsidRDefault="00E37376" w:rsidP="00E70462">
      <w:pPr>
        <w:pStyle w:val="Listenabsatz"/>
        <w:snapToGrid w:val="0"/>
        <w:spacing w:after="120"/>
        <w:ind w:left="357"/>
        <w:contextualSpacing w:val="0"/>
        <w:rPr>
          <w:b/>
          <w:bCs/>
          <w:lang w:eastAsia="ja-JP"/>
        </w:rPr>
      </w:pPr>
      <w:r>
        <w:rPr>
          <w:b/>
          <w:bCs/>
          <w:lang w:eastAsia="ja-JP"/>
        </w:rPr>
        <w:t xml:space="preserve">2.4 </w:t>
      </w:r>
      <w:r w:rsidR="009E00A2">
        <w:rPr>
          <w:b/>
          <w:bCs/>
          <w:lang w:eastAsia="ja-JP"/>
        </w:rPr>
        <w:t xml:space="preserve">Channel modeling for </w:t>
      </w:r>
      <w:r w:rsidR="009E00A2" w:rsidRPr="007C7B85">
        <w:rPr>
          <w:b/>
          <w:bCs/>
          <w:lang w:eastAsia="ja-JP"/>
        </w:rPr>
        <w:t xml:space="preserve">IEEE </w:t>
      </w:r>
      <w:proofErr w:type="spellStart"/>
      <w:r w:rsidR="009E00A2" w:rsidRPr="007C7B85">
        <w:rPr>
          <w:b/>
          <w:bCs/>
          <w:lang w:eastAsia="ja-JP"/>
        </w:rPr>
        <w:t>Std</w:t>
      </w:r>
      <w:proofErr w:type="spellEnd"/>
      <w:r w:rsidR="009E00A2" w:rsidRPr="007C7B85">
        <w:rPr>
          <w:b/>
          <w:bCs/>
          <w:lang w:eastAsia="ja-JP"/>
        </w:rPr>
        <w:t xml:space="preserve"> 802.15.3d</w:t>
      </w:r>
      <w:r w:rsidR="009E00A2" w:rsidRPr="007C7B85">
        <w:rPr>
          <w:b/>
          <w:bCs/>
          <w:vertAlign w:val="superscript"/>
          <w:lang w:eastAsia="ja-JP"/>
        </w:rPr>
        <w:t>TM</w:t>
      </w:r>
      <w:r w:rsidR="009E00A2" w:rsidRPr="007C7B85">
        <w:rPr>
          <w:b/>
          <w:bCs/>
          <w:lang w:eastAsia="ja-JP"/>
        </w:rPr>
        <w:t>-2017</w:t>
      </w:r>
    </w:p>
    <w:p w:rsidR="009E00A2" w:rsidRPr="009E00A2" w:rsidRDefault="009E00A2" w:rsidP="009E00A2">
      <w:pPr>
        <w:snapToGrid w:val="0"/>
        <w:spacing w:after="120"/>
        <w:rPr>
          <w:lang w:eastAsia="ja-JP"/>
        </w:rPr>
      </w:pPr>
      <w:r w:rsidRPr="009E00A2">
        <w:rPr>
          <w:lang w:eastAsia="ja-JP"/>
        </w:rPr>
        <w:t>The propagation characteristics and channel models in Line-of-Sight (</w:t>
      </w:r>
      <w:proofErr w:type="spellStart"/>
      <w:r w:rsidRPr="009E00A2">
        <w:rPr>
          <w:lang w:eastAsia="ja-JP"/>
        </w:rPr>
        <w:t>LoS</w:t>
      </w:r>
      <w:proofErr w:type="spellEnd"/>
      <w:r w:rsidRPr="009E00A2">
        <w:rPr>
          <w:lang w:eastAsia="ja-JP"/>
        </w:rPr>
        <w:t>) and Non-Line-of-Sight (</w:t>
      </w:r>
      <w:proofErr w:type="spellStart"/>
      <w:r w:rsidRPr="009E00A2">
        <w:rPr>
          <w:lang w:eastAsia="ja-JP"/>
        </w:rPr>
        <w:t>NLoS</w:t>
      </w:r>
      <w:proofErr w:type="spellEnd"/>
      <w:r w:rsidRPr="009E00A2">
        <w:rPr>
          <w:lang w:eastAsia="ja-JP"/>
        </w:rPr>
        <w:t xml:space="preserve">) operational environments relevant for each use case are provided in </w:t>
      </w:r>
      <w:r w:rsidR="00473430">
        <w:rPr>
          <w:lang w:eastAsia="ja-JP"/>
        </w:rPr>
        <w:t xml:space="preserve">the </w:t>
      </w:r>
      <w:r w:rsidRPr="009E00A2">
        <w:rPr>
          <w:lang w:eastAsia="ja-JP"/>
        </w:rPr>
        <w:t>Channel Model Document</w:t>
      </w:r>
      <w:r>
        <w:rPr>
          <w:rStyle w:val="Funotenzeichen"/>
          <w:lang w:eastAsia="ja-JP"/>
        </w:rPr>
        <w:footnoteReference w:id="6"/>
      </w:r>
      <w:r w:rsidRPr="009E00A2">
        <w:rPr>
          <w:lang w:eastAsia="ja-JP"/>
        </w:rPr>
        <w:t>. Antenna characteristics are also provided for the system simulation and evaluation by the proponents.</w:t>
      </w:r>
    </w:p>
    <w:p w:rsidR="009E00A2" w:rsidRPr="007C7B85" w:rsidRDefault="00E37376" w:rsidP="007C7B85">
      <w:pPr>
        <w:pStyle w:val="Listenabsatz"/>
        <w:numPr>
          <w:ilvl w:val="0"/>
          <w:numId w:val="31"/>
        </w:numPr>
        <w:snapToGrid w:val="0"/>
        <w:spacing w:after="120"/>
        <w:ind w:left="357" w:hanging="357"/>
        <w:contextualSpacing w:val="0"/>
        <w:rPr>
          <w:b/>
          <w:bCs/>
          <w:lang w:eastAsia="ja-JP"/>
        </w:rPr>
      </w:pPr>
      <w:r>
        <w:rPr>
          <w:b/>
          <w:bCs/>
          <w:lang w:eastAsia="ja-JP"/>
        </w:rPr>
        <w:t>IEEE 802 LMSC’s position</w:t>
      </w:r>
    </w:p>
    <w:p w:rsidR="002F1A5C" w:rsidRDefault="0089032A" w:rsidP="009E00A2">
      <w:pPr>
        <w:snapToGrid w:val="0"/>
        <w:spacing w:afterLines="50" w:after="120"/>
        <w:rPr>
          <w:lang w:eastAsia="ja-JP"/>
        </w:rPr>
      </w:pPr>
      <w:r>
        <w:rPr>
          <w:lang w:eastAsia="ja-JP"/>
        </w:rPr>
        <w:t xml:space="preserve">Three important documents for </w:t>
      </w:r>
      <w:r w:rsidRPr="0089032A">
        <w:rPr>
          <w:lang w:eastAsia="ja-JP"/>
        </w:rPr>
        <w:t xml:space="preserve">IEEE </w:t>
      </w:r>
      <w:proofErr w:type="spellStart"/>
      <w:r w:rsidRPr="0089032A">
        <w:rPr>
          <w:lang w:eastAsia="ja-JP"/>
        </w:rPr>
        <w:t>Std</w:t>
      </w:r>
      <w:proofErr w:type="spellEnd"/>
      <w:r w:rsidRPr="0089032A">
        <w:rPr>
          <w:lang w:eastAsia="ja-JP"/>
        </w:rPr>
        <w:t xml:space="preserve"> 802.15.3d</w:t>
      </w:r>
      <w:r w:rsidRPr="0089032A">
        <w:rPr>
          <w:vertAlign w:val="superscript"/>
          <w:lang w:eastAsia="ja-JP"/>
        </w:rPr>
        <w:t>TM</w:t>
      </w:r>
      <w:r w:rsidRPr="0089032A">
        <w:rPr>
          <w:lang w:eastAsia="ja-JP"/>
        </w:rPr>
        <w:t>-2017</w:t>
      </w:r>
      <w:r>
        <w:rPr>
          <w:lang w:eastAsia="ja-JP"/>
        </w:rPr>
        <w:t xml:space="preserve"> are briefly introduced including five use cases and some </w:t>
      </w:r>
      <w:r w:rsidR="0009404F">
        <w:rPr>
          <w:lang w:eastAsia="ja-JP"/>
        </w:rPr>
        <w:t>technical requirements</w:t>
      </w:r>
      <w:r w:rsidR="00BB2822">
        <w:rPr>
          <w:lang w:eastAsia="ja-JP"/>
        </w:rPr>
        <w:t>.</w:t>
      </w:r>
      <w:r>
        <w:rPr>
          <w:lang w:eastAsia="ja-JP"/>
        </w:rPr>
        <w:t xml:space="preserve"> </w:t>
      </w:r>
      <w:r w:rsidR="008D7B6C" w:rsidRPr="0089032A">
        <w:rPr>
          <w:lang w:eastAsia="ja-JP"/>
        </w:rPr>
        <w:t xml:space="preserve">IEEE </w:t>
      </w:r>
      <w:proofErr w:type="spellStart"/>
      <w:r w:rsidR="008D7B6C" w:rsidRPr="0089032A">
        <w:rPr>
          <w:lang w:eastAsia="ja-JP"/>
        </w:rPr>
        <w:t>Std</w:t>
      </w:r>
      <w:proofErr w:type="spellEnd"/>
      <w:r w:rsidR="008D7B6C" w:rsidRPr="0089032A">
        <w:rPr>
          <w:lang w:eastAsia="ja-JP"/>
        </w:rPr>
        <w:t xml:space="preserve"> 802.15.3d</w:t>
      </w:r>
      <w:r w:rsidR="008D7B6C" w:rsidRPr="0089032A">
        <w:rPr>
          <w:vertAlign w:val="superscript"/>
          <w:lang w:eastAsia="ja-JP"/>
        </w:rPr>
        <w:t>TM</w:t>
      </w:r>
      <w:r w:rsidR="008D7B6C" w:rsidRPr="0089032A">
        <w:rPr>
          <w:lang w:eastAsia="ja-JP"/>
        </w:rPr>
        <w:t>-2017</w:t>
      </w:r>
      <w:r>
        <w:rPr>
          <w:lang w:eastAsia="ja-JP"/>
        </w:rPr>
        <w:t xml:space="preserve"> can be downloaded from IEEE </w:t>
      </w:r>
      <w:proofErr w:type="spellStart"/>
      <w:r>
        <w:rPr>
          <w:lang w:eastAsia="ja-JP"/>
        </w:rPr>
        <w:t>Xplore</w:t>
      </w:r>
      <w:proofErr w:type="spellEnd"/>
      <w:r>
        <w:rPr>
          <w:rStyle w:val="Funotenzeichen"/>
          <w:lang w:eastAsia="ja-JP"/>
        </w:rPr>
        <w:footnoteReference w:id="7"/>
      </w:r>
      <w:r w:rsidR="0009404F">
        <w:rPr>
          <w:lang w:eastAsia="ja-JP"/>
        </w:rPr>
        <w:t>.</w:t>
      </w:r>
      <w:r w:rsidR="00BB2822">
        <w:rPr>
          <w:lang w:eastAsia="ja-JP"/>
        </w:rPr>
        <w:t xml:space="preserve"> </w:t>
      </w:r>
      <w:r w:rsidR="00097A3C">
        <w:rPr>
          <w:lang w:eastAsia="ja-JP"/>
        </w:rPr>
        <w:t xml:space="preserve"> </w:t>
      </w:r>
      <w:r w:rsidR="006E3517">
        <w:rPr>
          <w:lang w:eastAsia="ja-JP"/>
        </w:rPr>
        <w:t xml:space="preserve">Since this standard utilizes a vast amount of spectrum resources and extremely wide range of channel bandwidths, </w:t>
      </w:r>
      <w:r w:rsidR="001217C9">
        <w:rPr>
          <w:lang w:eastAsia="ja-JP"/>
        </w:rPr>
        <w:t>data rates up to</w:t>
      </w:r>
      <w:r w:rsidR="006E3517">
        <w:rPr>
          <w:lang w:eastAsia="ja-JP"/>
        </w:rPr>
        <w:t xml:space="preserve"> </w:t>
      </w:r>
      <w:r w:rsidR="001217C9">
        <w:rPr>
          <w:lang w:eastAsia="ja-JP"/>
        </w:rPr>
        <w:t xml:space="preserve">100 </w:t>
      </w:r>
      <w:proofErr w:type="spellStart"/>
      <w:r w:rsidR="001217C9">
        <w:rPr>
          <w:lang w:eastAsia="ja-JP"/>
        </w:rPr>
        <w:t>Gbit</w:t>
      </w:r>
      <w:proofErr w:type="spellEnd"/>
      <w:r w:rsidR="001217C9">
        <w:rPr>
          <w:lang w:eastAsia="ja-JP"/>
        </w:rPr>
        <w:t xml:space="preserve">/s </w:t>
      </w:r>
      <w:r w:rsidR="00855BD8">
        <w:rPr>
          <w:lang w:eastAsia="ja-JP"/>
        </w:rPr>
        <w:t>are feasible using simple modulation schemes which can make it possible to develop compact and cost-effective transceivers. Further increase of data rates could be expected if multi-level modulation scheme and MIMO technologies are introduced</w:t>
      </w:r>
      <w:r w:rsidR="00855BD8">
        <w:rPr>
          <w:rStyle w:val="Funotenzeichen"/>
          <w:lang w:eastAsia="ja-JP"/>
        </w:rPr>
        <w:footnoteReference w:id="8"/>
      </w:r>
      <w:r w:rsidR="00855BD8">
        <w:rPr>
          <w:lang w:eastAsia="ja-JP"/>
        </w:rPr>
        <w:t>.</w:t>
      </w:r>
    </w:p>
    <w:p w:rsidR="00855BD8" w:rsidRDefault="00005954" w:rsidP="009E00A2">
      <w:pPr>
        <w:snapToGrid w:val="0"/>
        <w:spacing w:afterLines="50" w:after="120"/>
        <w:rPr>
          <w:lang w:eastAsia="ja-JP"/>
        </w:rPr>
      </w:pPr>
      <w:r>
        <w:rPr>
          <w:rFonts w:hint="eastAsia"/>
          <w:lang w:eastAsia="ja-JP"/>
        </w:rPr>
        <w:lastRenderedPageBreak/>
        <w:t>T</w:t>
      </w:r>
      <w:r>
        <w:rPr>
          <w:lang w:eastAsia="ja-JP"/>
        </w:rPr>
        <w:t xml:space="preserve">his standard has </w:t>
      </w:r>
      <w:r w:rsidR="005056A0">
        <w:rPr>
          <w:lang w:eastAsia="ja-JP"/>
        </w:rPr>
        <w:t xml:space="preserve">a great </w:t>
      </w:r>
      <w:r>
        <w:rPr>
          <w:lang w:eastAsia="ja-JP"/>
        </w:rPr>
        <w:t xml:space="preserve">potential </w:t>
      </w:r>
      <w:r w:rsidR="005056A0">
        <w:rPr>
          <w:lang w:eastAsia="ja-JP"/>
        </w:rPr>
        <w:t xml:space="preserve">to </w:t>
      </w:r>
      <w:r w:rsidR="00A20750">
        <w:rPr>
          <w:lang w:eastAsia="ja-JP"/>
        </w:rPr>
        <w:t>increase not only</w:t>
      </w:r>
      <w:r w:rsidR="005056A0">
        <w:rPr>
          <w:lang w:eastAsia="ja-JP"/>
        </w:rPr>
        <w:t xml:space="preserve"> data rates </w:t>
      </w:r>
      <w:r w:rsidR="00A20750">
        <w:rPr>
          <w:lang w:eastAsia="ja-JP"/>
        </w:rPr>
        <w:t>but also</w:t>
      </w:r>
      <w:r w:rsidR="00B268F4">
        <w:rPr>
          <w:lang w:eastAsia="ja-JP"/>
        </w:rPr>
        <w:t xml:space="preserve"> number of applications of use cases</w:t>
      </w:r>
      <w:r w:rsidR="0073235B">
        <w:rPr>
          <w:lang w:eastAsia="ja-JP"/>
        </w:rPr>
        <w:t xml:space="preserve">. A number of IEEE802.15.3d devices is expected to be used </w:t>
      </w:r>
      <w:r w:rsidR="00B268F4">
        <w:rPr>
          <w:lang w:eastAsia="ja-JP"/>
        </w:rPr>
        <w:t>in worldwide</w:t>
      </w:r>
      <w:r w:rsidR="0073235B">
        <w:rPr>
          <w:lang w:eastAsia="ja-JP"/>
        </w:rPr>
        <w:t xml:space="preserve"> under proper regulations. Therefore, the study for new allocations to FS and MS including RAS and EESS (passive) in the frequency range 275-325 GHz</w:t>
      </w:r>
      <w:r w:rsidR="00C31386">
        <w:rPr>
          <w:lang w:eastAsia="ja-JP"/>
        </w:rPr>
        <w:t xml:space="preserve"> in the RR by WRC-27</w:t>
      </w:r>
      <w:r w:rsidR="0073235B">
        <w:rPr>
          <w:lang w:eastAsia="ja-JP"/>
        </w:rPr>
        <w:t xml:space="preserve"> is important to support </w:t>
      </w:r>
      <w:r w:rsidR="00C31386">
        <w:rPr>
          <w:lang w:eastAsia="ja-JP"/>
        </w:rPr>
        <w:t xml:space="preserve">the </w:t>
      </w:r>
      <w:r w:rsidR="0073235B">
        <w:rPr>
          <w:lang w:eastAsia="ja-JP"/>
        </w:rPr>
        <w:t xml:space="preserve">development and deployment of </w:t>
      </w:r>
      <w:r w:rsidR="00C31386">
        <w:rPr>
          <w:lang w:eastAsia="ja-JP"/>
        </w:rPr>
        <w:t xml:space="preserve">IEEE802.15.3d devices to meet worldwide demand for short-range devices. </w:t>
      </w:r>
      <w:r w:rsidR="00922E2D">
        <w:rPr>
          <w:rFonts w:hint="eastAsia"/>
          <w:lang w:eastAsia="ja-JP"/>
        </w:rPr>
        <w:t>A</w:t>
      </w:r>
      <w:r w:rsidR="00922E2D">
        <w:rPr>
          <w:lang w:eastAsia="ja-JP"/>
        </w:rPr>
        <w:t>PG is invited to take into account the current international standard operating in the frequency range 252-325 GHz to address a WRC-27 agenda item under WRC-23 agenda item 10.</w:t>
      </w:r>
    </w:p>
    <w:p w:rsidR="0062626B" w:rsidRDefault="0062626B" w:rsidP="00FB3DD1">
      <w:pPr>
        <w:snapToGrid w:val="0"/>
        <w:spacing w:afterLines="50" w:after="120"/>
        <w:rPr>
          <w:lang w:eastAsia="ja-JP"/>
        </w:rPr>
      </w:pPr>
    </w:p>
    <w:p w:rsidR="0062626B" w:rsidRPr="0062626B" w:rsidRDefault="0062626B" w:rsidP="00FB3DD1">
      <w:pPr>
        <w:snapToGrid w:val="0"/>
        <w:spacing w:afterLines="50" w:after="120"/>
        <w:rPr>
          <w:lang w:eastAsia="ja-JP"/>
        </w:rPr>
      </w:pPr>
    </w:p>
    <w:p w:rsidR="002F1A5C" w:rsidRPr="00896191" w:rsidRDefault="002F1A5C" w:rsidP="00FB3DD1">
      <w:pPr>
        <w:snapToGrid w:val="0"/>
        <w:spacing w:afterLines="50" w:after="120"/>
        <w:rPr>
          <w:lang w:eastAsia="ja-JP"/>
        </w:rPr>
      </w:pPr>
    </w:p>
    <w:sectPr w:rsidR="002F1A5C" w:rsidRPr="00896191" w:rsidSect="00CA47BD">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5B0" w:rsidRDefault="000005B0">
      <w:r>
        <w:separator/>
      </w:r>
    </w:p>
  </w:endnote>
  <w:endnote w:type="continuationSeparator" w:id="0">
    <w:p w:rsidR="000005B0" w:rsidRDefault="0000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TXinwei">
    <w:altName w:val="STXinwei"/>
    <w:charset w:val="86"/>
    <w:family w:val="auto"/>
    <w:pitch w:val="variable"/>
    <w:sig w:usb0="00000001" w:usb1="080F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AF769D">
      <w:rPr>
        <w:lang w:eastAsia="ja-JP"/>
      </w:rPr>
      <w:t>Hiroyo Ogawa</w:t>
    </w:r>
    <w:r w:rsidR="00803482">
      <w:rPr>
        <w:lang w:eastAsia="ja-JP"/>
      </w:rPr>
      <w:t xml:space="preserve">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5B0" w:rsidRDefault="000005B0">
      <w:r>
        <w:separator/>
      </w:r>
    </w:p>
  </w:footnote>
  <w:footnote w:type="continuationSeparator" w:id="0">
    <w:p w:rsidR="000005B0" w:rsidRDefault="000005B0">
      <w:r>
        <w:continuationSeparator/>
      </w:r>
    </w:p>
  </w:footnote>
  <w:footnote w:id="1">
    <w:p w:rsidR="0046259A" w:rsidRDefault="0046259A">
      <w:pPr>
        <w:pStyle w:val="Funotentext"/>
      </w:pPr>
      <w:r>
        <w:rPr>
          <w:rStyle w:val="Funotenzeichen"/>
        </w:rPr>
        <w:footnoteRef/>
      </w:r>
      <w:r>
        <w:t xml:space="preserve"> </w:t>
      </w:r>
      <w:r w:rsidRPr="0046259A">
        <w:t xml:space="preserve">  This document solely represents the views of IEEE 802 LMSC and does not necessarily represent a position of either the IEEE or the IEEE Standards Association.</w:t>
      </w:r>
    </w:p>
  </w:footnote>
  <w:footnote w:id="2">
    <w:p w:rsidR="0052270D" w:rsidRPr="009611CA" w:rsidRDefault="0052270D" w:rsidP="009611CA">
      <w:pPr>
        <w:snapToGrid w:val="0"/>
        <w:spacing w:afterLines="50" w:after="120"/>
        <w:rPr>
          <w:sz w:val="20"/>
          <w:szCs w:val="20"/>
          <w:lang w:eastAsia="ja-JP"/>
        </w:rPr>
      </w:pPr>
      <w:r w:rsidRPr="009611CA">
        <w:rPr>
          <w:rStyle w:val="Funotenzeichen"/>
          <w:sz w:val="20"/>
          <w:szCs w:val="20"/>
        </w:rPr>
        <w:footnoteRef/>
      </w:r>
      <w:r w:rsidRPr="009611CA">
        <w:rPr>
          <w:sz w:val="20"/>
          <w:szCs w:val="20"/>
        </w:rPr>
        <w:t xml:space="preserve"> See </w:t>
      </w:r>
      <w:hyperlink r:id="rId1" w:history="1">
        <w:r w:rsidRPr="009611CA">
          <w:rPr>
            <w:rStyle w:val="Hyperlink"/>
            <w:sz w:val="20"/>
            <w:szCs w:val="20"/>
            <w:lang w:eastAsia="ja-JP"/>
          </w:rPr>
          <w:t>https://mentor.ieee.org/802.15/dcn/14/15-14-0304-16-003d-applications-requirement-document-ard.docx</w:t>
        </w:r>
      </w:hyperlink>
    </w:p>
  </w:footnote>
  <w:footnote w:id="3">
    <w:p w:rsidR="00BB2822" w:rsidRPr="00C7191E" w:rsidRDefault="00C7191E" w:rsidP="00BB2822">
      <w:pPr>
        <w:pStyle w:val="Funotentext"/>
        <w:snapToGrid w:val="0"/>
        <w:spacing w:afterLines="50" w:after="120"/>
        <w:rPr>
          <w:lang w:eastAsia="ja-JP"/>
        </w:rPr>
      </w:pPr>
      <w:r>
        <w:rPr>
          <w:rStyle w:val="Funotenzeichen"/>
        </w:rPr>
        <w:footnoteRef/>
      </w:r>
      <w:r>
        <w:t xml:space="preserve"> </w:t>
      </w:r>
      <w:r>
        <w:rPr>
          <w:lang w:eastAsia="ja-JP"/>
        </w:rPr>
        <w:t xml:space="preserve">This use case was standardized using 60-GHz band and </w:t>
      </w:r>
      <w:r w:rsidR="00BB2822">
        <w:rPr>
          <w:lang w:eastAsia="ja-JP"/>
        </w:rPr>
        <w:t>published as</w:t>
      </w:r>
      <w:r>
        <w:rPr>
          <w:lang w:eastAsia="ja-JP"/>
        </w:rPr>
        <w:t xml:space="preserve"> </w:t>
      </w:r>
      <w:r w:rsidRPr="00C7191E">
        <w:rPr>
          <w:lang w:eastAsia="ja-JP"/>
        </w:rPr>
        <w:t xml:space="preserve">IEEE </w:t>
      </w:r>
      <w:proofErr w:type="spellStart"/>
      <w:proofErr w:type="gramStart"/>
      <w:r w:rsidRPr="00C7191E">
        <w:rPr>
          <w:lang w:eastAsia="ja-JP"/>
        </w:rPr>
        <w:t>Std</w:t>
      </w:r>
      <w:proofErr w:type="spellEnd"/>
      <w:proofErr w:type="gramEnd"/>
      <w:r w:rsidRPr="00C7191E">
        <w:rPr>
          <w:lang w:eastAsia="ja-JP"/>
        </w:rPr>
        <w:t xml:space="preserve"> 802.15.3</w:t>
      </w:r>
      <w:r>
        <w:rPr>
          <w:lang w:eastAsia="ja-JP"/>
        </w:rPr>
        <w:t>e</w:t>
      </w:r>
      <w:r w:rsidRPr="00C7191E">
        <w:rPr>
          <w:vertAlign w:val="superscript"/>
          <w:lang w:eastAsia="ja-JP"/>
        </w:rPr>
        <w:t>TM</w:t>
      </w:r>
      <w:r w:rsidRPr="00C7191E">
        <w:rPr>
          <w:lang w:eastAsia="ja-JP"/>
        </w:rPr>
        <w:t>-2017</w:t>
      </w:r>
      <w:r w:rsidR="00BB2822">
        <w:rPr>
          <w:lang w:eastAsia="ja-JP"/>
        </w:rPr>
        <w:t>.</w:t>
      </w:r>
      <w:r>
        <w:rPr>
          <w:lang w:eastAsia="ja-JP"/>
        </w:rPr>
        <w:t xml:space="preserve"> See IEEE </w:t>
      </w:r>
      <w:proofErr w:type="spellStart"/>
      <w:r>
        <w:rPr>
          <w:lang w:eastAsia="ja-JP"/>
        </w:rPr>
        <w:t>Xplore</w:t>
      </w:r>
      <w:proofErr w:type="spellEnd"/>
      <w:r>
        <w:rPr>
          <w:lang w:eastAsia="ja-JP"/>
        </w:rPr>
        <w:t xml:space="preserve"> </w:t>
      </w:r>
      <w:hyperlink r:id="rId2" w:history="1">
        <w:r w:rsidR="00BB2822" w:rsidRPr="00815003">
          <w:rPr>
            <w:rStyle w:val="Hyperlink"/>
            <w:lang w:eastAsia="ja-JP"/>
          </w:rPr>
          <w:t>https://ieeexplore.ieee.org/document/7856917</w:t>
        </w:r>
      </w:hyperlink>
    </w:p>
  </w:footnote>
  <w:footnote w:id="4">
    <w:p w:rsidR="009611CA" w:rsidRDefault="009611CA" w:rsidP="009611CA">
      <w:pPr>
        <w:pStyle w:val="Funotentext"/>
        <w:rPr>
          <w:rFonts w:eastAsia="Times New Roman"/>
          <w:lang w:eastAsia="ja-JP"/>
        </w:rPr>
      </w:pPr>
      <w:r>
        <w:rPr>
          <w:rStyle w:val="Funotenzeichen"/>
        </w:rPr>
        <w:footnoteRef/>
      </w:r>
      <w:r>
        <w:t xml:space="preserve"> 10 </w:t>
      </w:r>
      <w:proofErr w:type="spellStart"/>
      <w:r>
        <w:t>Gbit</w:t>
      </w:r>
      <w:proofErr w:type="spellEnd"/>
      <w:r>
        <w:t>/s is the maximum data rate available today in CPRI. Hence, this shall be the minimum data rate targeted in the amendment.</w:t>
      </w:r>
    </w:p>
  </w:footnote>
  <w:footnote w:id="5">
    <w:p w:rsidR="005453BD" w:rsidRPr="009611CA" w:rsidRDefault="005453BD" w:rsidP="005453BD">
      <w:pPr>
        <w:snapToGrid w:val="0"/>
        <w:spacing w:afterLines="50" w:after="120"/>
        <w:rPr>
          <w:lang w:eastAsia="ja-JP"/>
        </w:rPr>
      </w:pPr>
      <w:r w:rsidRPr="009611CA">
        <w:rPr>
          <w:rStyle w:val="Funotenzeichen"/>
          <w:sz w:val="20"/>
          <w:szCs w:val="20"/>
        </w:rPr>
        <w:footnoteRef/>
      </w:r>
      <w:r w:rsidRPr="009611CA">
        <w:rPr>
          <w:sz w:val="20"/>
          <w:szCs w:val="20"/>
        </w:rPr>
        <w:t xml:space="preserve"> See </w:t>
      </w:r>
      <w:hyperlink r:id="rId3" w:history="1">
        <w:r w:rsidRPr="009611CA">
          <w:rPr>
            <w:rStyle w:val="Hyperlink"/>
            <w:sz w:val="20"/>
            <w:szCs w:val="20"/>
            <w:lang w:eastAsia="ja-JP"/>
          </w:rPr>
          <w:t>https://mentor.ieee.org/802.15/dcn/14/15-14-0309-20-003d-technical-requirements-document.docx</w:t>
        </w:r>
      </w:hyperlink>
    </w:p>
  </w:footnote>
  <w:footnote w:id="6">
    <w:p w:rsidR="009E00A2" w:rsidRPr="009E00A2" w:rsidRDefault="009E00A2" w:rsidP="00BB2822">
      <w:pPr>
        <w:pStyle w:val="Funotentext"/>
        <w:snapToGrid w:val="0"/>
        <w:spacing w:afterLines="50" w:after="120"/>
        <w:rPr>
          <w:lang w:eastAsia="ja-JP"/>
        </w:rPr>
      </w:pPr>
      <w:r>
        <w:rPr>
          <w:rStyle w:val="Funotenzeichen"/>
        </w:rPr>
        <w:footnoteRef/>
      </w:r>
      <w:r>
        <w:t xml:space="preserve"> See </w:t>
      </w:r>
      <w:hyperlink r:id="rId4" w:history="1">
        <w:r w:rsidRPr="00815003">
          <w:rPr>
            <w:rStyle w:val="Hyperlink"/>
          </w:rPr>
          <w:t>https://mentor.ieee.org/802.15/dcn/14/15-14-0310-19-003d-channel-modeling-document.docx</w:t>
        </w:r>
      </w:hyperlink>
    </w:p>
  </w:footnote>
  <w:footnote w:id="7">
    <w:p w:rsidR="0089032A" w:rsidRDefault="0089032A">
      <w:pPr>
        <w:pStyle w:val="Funotentext"/>
        <w:rPr>
          <w:lang w:eastAsia="ja-JP"/>
        </w:rPr>
      </w:pPr>
      <w:r>
        <w:rPr>
          <w:rStyle w:val="Funotenzeichen"/>
        </w:rPr>
        <w:footnoteRef/>
      </w:r>
      <w:r>
        <w:t xml:space="preserve"> </w:t>
      </w:r>
      <w:r>
        <w:rPr>
          <w:rFonts w:hint="eastAsia"/>
          <w:lang w:eastAsia="ja-JP"/>
        </w:rPr>
        <w:t>S</w:t>
      </w:r>
      <w:r>
        <w:rPr>
          <w:lang w:eastAsia="ja-JP"/>
        </w:rPr>
        <w:t>ee</w:t>
      </w:r>
      <w:r w:rsidR="00BB2822">
        <w:rPr>
          <w:lang w:eastAsia="ja-JP"/>
        </w:rPr>
        <w:t xml:space="preserve"> IEEE </w:t>
      </w:r>
      <w:proofErr w:type="spellStart"/>
      <w:r w:rsidR="00BB2822">
        <w:rPr>
          <w:lang w:eastAsia="ja-JP"/>
        </w:rPr>
        <w:t>Xplore</w:t>
      </w:r>
      <w:proofErr w:type="spellEnd"/>
      <w:r>
        <w:rPr>
          <w:lang w:eastAsia="ja-JP"/>
        </w:rPr>
        <w:t xml:space="preserve"> </w:t>
      </w:r>
      <w:hyperlink r:id="rId5" w:history="1">
        <w:r w:rsidRPr="0026593D">
          <w:rPr>
            <w:rStyle w:val="Hyperlink"/>
            <w:lang w:eastAsia="ja-JP"/>
          </w:rPr>
          <w:t>https://ieeexplore.ieee.org/document/8066476</w:t>
        </w:r>
      </w:hyperlink>
    </w:p>
  </w:footnote>
  <w:footnote w:id="8">
    <w:p w:rsidR="00855BD8" w:rsidRPr="00855BD8" w:rsidRDefault="00855BD8">
      <w:pPr>
        <w:pStyle w:val="Funotentext"/>
        <w:rPr>
          <w:rFonts w:eastAsia="Malgun Gothic"/>
          <w:lang w:eastAsia="ja-JP"/>
        </w:rPr>
      </w:pPr>
      <w:r>
        <w:rPr>
          <w:rStyle w:val="Funotenzeichen"/>
        </w:rPr>
        <w:footnoteRef/>
      </w:r>
      <w:r>
        <w:t xml:space="preserve"> See </w:t>
      </w:r>
      <w:hyperlink r:id="rId6" w:history="1">
        <w:r w:rsidRPr="00815003">
          <w:rPr>
            <w:rStyle w:val="Hyperlink"/>
          </w:rPr>
          <w:t>https://mentor.ieee.org/802.15/dcn/15/15-15-0109-07-003e-technical-guidance-documnet-3e.docx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65" w:rsidRDefault="00AF769D"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Ju</w:t>
    </w:r>
    <w:r w:rsidR="000D5792">
      <w:rPr>
        <w:b/>
        <w:sz w:val="28"/>
        <w:lang w:eastAsia="ja-JP"/>
      </w:rPr>
      <w:t>ly</w:t>
    </w:r>
    <w:r w:rsidR="006662C9">
      <w:rPr>
        <w:b/>
        <w:sz w:val="28"/>
        <w:lang w:eastAsia="ja-JP"/>
      </w:rPr>
      <w:t xml:space="preserve"> 2023</w:t>
    </w:r>
    <w:r w:rsidR="00102C65">
      <w:rPr>
        <w:b/>
        <w:sz w:val="28"/>
      </w:rPr>
      <w:tab/>
    </w:r>
    <w:sdt>
      <w:sdtPr>
        <w:rPr>
          <w:rFonts w:hint="eastAsia"/>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996A2D">
          <w:rPr>
            <w:rFonts w:hint="eastAsia"/>
            <w:b/>
            <w:sz w:val="28"/>
            <w:lang w:eastAsia="ja-JP"/>
          </w:rPr>
          <w:t>IEEE P802.18</w:t>
        </w:r>
        <w:r w:rsidR="0086208A">
          <w:rPr>
            <w:rFonts w:hint="eastAsia"/>
            <w:b/>
            <w:sz w:val="28"/>
            <w:lang w:eastAsia="ja-JP"/>
          </w:rPr>
          <w:t>-</w:t>
        </w:r>
        <w:r w:rsidR="002848FC">
          <w:rPr>
            <w:rFonts w:hint="eastAsia"/>
            <w:b/>
            <w:sz w:val="28"/>
            <w:lang w:eastAsia="ja-JP"/>
          </w:rPr>
          <w:t>2</w:t>
        </w:r>
        <w:r w:rsidR="006662C9">
          <w:rPr>
            <w:rFonts w:hint="eastAsia"/>
            <w:b/>
            <w:sz w:val="28"/>
            <w:lang w:eastAsia="ja-JP"/>
          </w:rPr>
          <w:t>3</w:t>
        </w:r>
        <w:r w:rsidR="00D526E7">
          <w:rPr>
            <w:rFonts w:hint="eastAsia"/>
            <w:b/>
            <w:sz w:val="28"/>
            <w:lang w:eastAsia="ja-JP"/>
          </w:rPr>
          <w:t>-0</w:t>
        </w:r>
        <w:r w:rsidR="00996A2D">
          <w:rPr>
            <w:rFonts w:hint="eastAsia"/>
            <w:b/>
            <w:sz w:val="28"/>
            <w:lang w:eastAsia="ja-JP"/>
          </w:rPr>
          <w:t>073</w:t>
        </w:r>
        <w:r w:rsidR="00031A33">
          <w:rPr>
            <w:rFonts w:hint="eastAsia"/>
            <w:b/>
            <w:sz w:val="28"/>
            <w:lang w:eastAsia="ja-JP"/>
          </w:rPr>
          <w:t>-0</w:t>
        </w:r>
        <w:r w:rsidR="006E0CCC">
          <w:rPr>
            <w:rFonts w:hint="eastAsia"/>
            <w:b/>
            <w:sz w:val="28"/>
            <w:lang w:eastAsia="ja-JP"/>
          </w:rPr>
          <w:t>0</w:t>
        </w:r>
        <w:r w:rsidR="00031A33">
          <w:rPr>
            <w:rFonts w:hint="eastAsia"/>
            <w:b/>
            <w:sz w:val="28"/>
            <w:lang w:eastAsia="ja-JP"/>
          </w:rPr>
          <w:t>-0</w:t>
        </w:r>
        <w:r w:rsidR="00CC5D2B">
          <w:rPr>
            <w:rFonts w:hint="eastAsia"/>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D352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16795A"/>
    <w:multiLevelType w:val="hybridMultilevel"/>
    <w:tmpl w:val="53C885FA"/>
    <w:lvl w:ilvl="0" w:tplc="C37C1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3"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3A2BF4"/>
    <w:multiLevelType w:val="hybridMultilevel"/>
    <w:tmpl w:val="EE085016"/>
    <w:lvl w:ilvl="0" w:tplc="70EC9D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3"/>
  </w:num>
  <w:num w:numId="3">
    <w:abstractNumId w:val="7"/>
  </w:num>
  <w:num w:numId="4">
    <w:abstractNumId w:val="21"/>
  </w:num>
  <w:num w:numId="5">
    <w:abstractNumId w:val="2"/>
  </w:num>
  <w:num w:numId="6">
    <w:abstractNumId w:val="6"/>
  </w:num>
  <w:num w:numId="7">
    <w:abstractNumId w:val="20"/>
  </w:num>
  <w:num w:numId="8">
    <w:abstractNumId w:val="12"/>
  </w:num>
  <w:num w:numId="9">
    <w:abstractNumId w:val="30"/>
  </w:num>
  <w:num w:numId="10">
    <w:abstractNumId w:val="27"/>
  </w:num>
  <w:num w:numId="11">
    <w:abstractNumId w:val="19"/>
  </w:num>
  <w:num w:numId="12">
    <w:abstractNumId w:val="23"/>
  </w:num>
  <w:num w:numId="13">
    <w:abstractNumId w:val="28"/>
  </w:num>
  <w:num w:numId="14">
    <w:abstractNumId w:val="5"/>
  </w:num>
  <w:num w:numId="15">
    <w:abstractNumId w:val="8"/>
  </w:num>
  <w:num w:numId="16">
    <w:abstractNumId w:val="17"/>
  </w:num>
  <w:num w:numId="17">
    <w:abstractNumId w:val="16"/>
  </w:num>
  <w:num w:numId="18">
    <w:abstractNumId w:val="10"/>
  </w:num>
  <w:num w:numId="19">
    <w:abstractNumId w:val="25"/>
  </w:num>
  <w:num w:numId="20">
    <w:abstractNumId w:val="11"/>
  </w:num>
  <w:num w:numId="21">
    <w:abstractNumId w:val="15"/>
  </w:num>
  <w:num w:numId="22">
    <w:abstractNumId w:val="24"/>
  </w:num>
  <w:num w:numId="23">
    <w:abstractNumId w:val="1"/>
  </w:num>
  <w:num w:numId="24">
    <w:abstractNumId w:val="14"/>
  </w:num>
  <w:num w:numId="25">
    <w:abstractNumId w:val="26"/>
  </w:num>
  <w:num w:numId="26">
    <w:abstractNumId w:val="9"/>
  </w:num>
  <w:num w:numId="27">
    <w:abstractNumId w:val="0"/>
  </w:num>
  <w:num w:numId="28">
    <w:abstractNumId w:val="13"/>
  </w:num>
  <w:num w:numId="29">
    <w:abstractNumId w:val="29"/>
  </w:num>
  <w:num w:numId="30">
    <w:abstractNumId w:val="18"/>
  </w:num>
  <w:num w:numId="3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05B0"/>
    <w:rsid w:val="00001EEA"/>
    <w:rsid w:val="000045F2"/>
    <w:rsid w:val="00004A61"/>
    <w:rsid w:val="00005954"/>
    <w:rsid w:val="00005F11"/>
    <w:rsid w:val="000068E5"/>
    <w:rsid w:val="00006F53"/>
    <w:rsid w:val="0001103A"/>
    <w:rsid w:val="0001197D"/>
    <w:rsid w:val="00012038"/>
    <w:rsid w:val="0001254A"/>
    <w:rsid w:val="0002041D"/>
    <w:rsid w:val="00021FFA"/>
    <w:rsid w:val="00025EC6"/>
    <w:rsid w:val="000270C5"/>
    <w:rsid w:val="00031A33"/>
    <w:rsid w:val="00031DEE"/>
    <w:rsid w:val="00033572"/>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4CE5"/>
    <w:rsid w:val="00075FB1"/>
    <w:rsid w:val="0007605C"/>
    <w:rsid w:val="000771BF"/>
    <w:rsid w:val="00077469"/>
    <w:rsid w:val="000775E0"/>
    <w:rsid w:val="00080886"/>
    <w:rsid w:val="0008154C"/>
    <w:rsid w:val="0008657F"/>
    <w:rsid w:val="00091595"/>
    <w:rsid w:val="00091FBC"/>
    <w:rsid w:val="0009250B"/>
    <w:rsid w:val="0009404F"/>
    <w:rsid w:val="00094D41"/>
    <w:rsid w:val="0009539A"/>
    <w:rsid w:val="000975F5"/>
    <w:rsid w:val="0009765F"/>
    <w:rsid w:val="00097A3C"/>
    <w:rsid w:val="000A547C"/>
    <w:rsid w:val="000A5607"/>
    <w:rsid w:val="000A57F0"/>
    <w:rsid w:val="000A7124"/>
    <w:rsid w:val="000B2517"/>
    <w:rsid w:val="000B3C54"/>
    <w:rsid w:val="000B4753"/>
    <w:rsid w:val="000B5B78"/>
    <w:rsid w:val="000B5BF0"/>
    <w:rsid w:val="000B5E45"/>
    <w:rsid w:val="000B67C7"/>
    <w:rsid w:val="000B6E7D"/>
    <w:rsid w:val="000B77DF"/>
    <w:rsid w:val="000C22CA"/>
    <w:rsid w:val="000C496A"/>
    <w:rsid w:val="000C4B54"/>
    <w:rsid w:val="000C5A66"/>
    <w:rsid w:val="000C6849"/>
    <w:rsid w:val="000D2510"/>
    <w:rsid w:val="000D342A"/>
    <w:rsid w:val="000D37E8"/>
    <w:rsid w:val="000D462E"/>
    <w:rsid w:val="000D4999"/>
    <w:rsid w:val="000D5792"/>
    <w:rsid w:val="000D58A2"/>
    <w:rsid w:val="000D7FF1"/>
    <w:rsid w:val="000E02AF"/>
    <w:rsid w:val="000E1DB6"/>
    <w:rsid w:val="000E25F2"/>
    <w:rsid w:val="000E3395"/>
    <w:rsid w:val="000E40A5"/>
    <w:rsid w:val="000E6462"/>
    <w:rsid w:val="000E73D7"/>
    <w:rsid w:val="000F0DE0"/>
    <w:rsid w:val="000F2B4D"/>
    <w:rsid w:val="000F31A3"/>
    <w:rsid w:val="000F4555"/>
    <w:rsid w:val="000F4F24"/>
    <w:rsid w:val="000F5F64"/>
    <w:rsid w:val="00101635"/>
    <w:rsid w:val="0010180E"/>
    <w:rsid w:val="00102C11"/>
    <w:rsid w:val="00102C65"/>
    <w:rsid w:val="0010405C"/>
    <w:rsid w:val="00105DF4"/>
    <w:rsid w:val="001067E0"/>
    <w:rsid w:val="001077BC"/>
    <w:rsid w:val="00112337"/>
    <w:rsid w:val="00112505"/>
    <w:rsid w:val="00113CBB"/>
    <w:rsid w:val="001150D6"/>
    <w:rsid w:val="0011659D"/>
    <w:rsid w:val="00116D0C"/>
    <w:rsid w:val="00116E30"/>
    <w:rsid w:val="00120A0D"/>
    <w:rsid w:val="0012133C"/>
    <w:rsid w:val="001214D0"/>
    <w:rsid w:val="001217C9"/>
    <w:rsid w:val="00126482"/>
    <w:rsid w:val="00126A7B"/>
    <w:rsid w:val="00126B04"/>
    <w:rsid w:val="00126B47"/>
    <w:rsid w:val="0013040B"/>
    <w:rsid w:val="00131643"/>
    <w:rsid w:val="001321D4"/>
    <w:rsid w:val="00134028"/>
    <w:rsid w:val="0013760B"/>
    <w:rsid w:val="00137E6E"/>
    <w:rsid w:val="0014174C"/>
    <w:rsid w:val="00143BD4"/>
    <w:rsid w:val="00144074"/>
    <w:rsid w:val="001442C9"/>
    <w:rsid w:val="00144F51"/>
    <w:rsid w:val="00147FAF"/>
    <w:rsid w:val="0015281B"/>
    <w:rsid w:val="001538A8"/>
    <w:rsid w:val="001549CB"/>
    <w:rsid w:val="00155509"/>
    <w:rsid w:val="001555BE"/>
    <w:rsid w:val="00160285"/>
    <w:rsid w:val="0016073B"/>
    <w:rsid w:val="00160CAB"/>
    <w:rsid w:val="0016195C"/>
    <w:rsid w:val="001640CF"/>
    <w:rsid w:val="00166253"/>
    <w:rsid w:val="00166B8D"/>
    <w:rsid w:val="0016760C"/>
    <w:rsid w:val="00167C69"/>
    <w:rsid w:val="0017209B"/>
    <w:rsid w:val="0017232D"/>
    <w:rsid w:val="001726AB"/>
    <w:rsid w:val="001739DA"/>
    <w:rsid w:val="00175B12"/>
    <w:rsid w:val="001773D4"/>
    <w:rsid w:val="0017766D"/>
    <w:rsid w:val="0018148A"/>
    <w:rsid w:val="00182580"/>
    <w:rsid w:val="00184228"/>
    <w:rsid w:val="00185350"/>
    <w:rsid w:val="0018583A"/>
    <w:rsid w:val="001864A2"/>
    <w:rsid w:val="00191C72"/>
    <w:rsid w:val="00193408"/>
    <w:rsid w:val="00197D48"/>
    <w:rsid w:val="001A2997"/>
    <w:rsid w:val="001A3D9D"/>
    <w:rsid w:val="001A5F3A"/>
    <w:rsid w:val="001B033D"/>
    <w:rsid w:val="001B1BAA"/>
    <w:rsid w:val="001B2777"/>
    <w:rsid w:val="001B3C74"/>
    <w:rsid w:val="001B446F"/>
    <w:rsid w:val="001B4503"/>
    <w:rsid w:val="001B4AA2"/>
    <w:rsid w:val="001B603A"/>
    <w:rsid w:val="001B7175"/>
    <w:rsid w:val="001B7B71"/>
    <w:rsid w:val="001C0FA9"/>
    <w:rsid w:val="001C1A35"/>
    <w:rsid w:val="001C2682"/>
    <w:rsid w:val="001C3BFE"/>
    <w:rsid w:val="001C3D8B"/>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24095"/>
    <w:rsid w:val="002245AD"/>
    <w:rsid w:val="00226341"/>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3582"/>
    <w:rsid w:val="002637A7"/>
    <w:rsid w:val="00264016"/>
    <w:rsid w:val="002655C1"/>
    <w:rsid w:val="002656CF"/>
    <w:rsid w:val="00265C41"/>
    <w:rsid w:val="00266958"/>
    <w:rsid w:val="00266F0C"/>
    <w:rsid w:val="00267955"/>
    <w:rsid w:val="00273048"/>
    <w:rsid w:val="00275334"/>
    <w:rsid w:val="0027636B"/>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30C0"/>
    <w:rsid w:val="002A3AB0"/>
    <w:rsid w:val="002B09D3"/>
    <w:rsid w:val="002B0AAA"/>
    <w:rsid w:val="002B1425"/>
    <w:rsid w:val="002B37B3"/>
    <w:rsid w:val="002B38C1"/>
    <w:rsid w:val="002B50D9"/>
    <w:rsid w:val="002B5AEF"/>
    <w:rsid w:val="002B6171"/>
    <w:rsid w:val="002C1574"/>
    <w:rsid w:val="002C387E"/>
    <w:rsid w:val="002C3A57"/>
    <w:rsid w:val="002C5614"/>
    <w:rsid w:val="002C63B0"/>
    <w:rsid w:val="002C6D51"/>
    <w:rsid w:val="002D0C32"/>
    <w:rsid w:val="002D1165"/>
    <w:rsid w:val="002D2A23"/>
    <w:rsid w:val="002D2D6D"/>
    <w:rsid w:val="002D6B93"/>
    <w:rsid w:val="002D7899"/>
    <w:rsid w:val="002D7F79"/>
    <w:rsid w:val="002E14EE"/>
    <w:rsid w:val="002E418C"/>
    <w:rsid w:val="002E5145"/>
    <w:rsid w:val="002E79AF"/>
    <w:rsid w:val="002F1A5C"/>
    <w:rsid w:val="002F34A7"/>
    <w:rsid w:val="002F3F34"/>
    <w:rsid w:val="002F3FCA"/>
    <w:rsid w:val="002F44EE"/>
    <w:rsid w:val="002F51F2"/>
    <w:rsid w:val="002F6A57"/>
    <w:rsid w:val="00300A28"/>
    <w:rsid w:val="00300BEF"/>
    <w:rsid w:val="00304572"/>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1EE9"/>
    <w:rsid w:val="00322893"/>
    <w:rsid w:val="00322B47"/>
    <w:rsid w:val="003263FC"/>
    <w:rsid w:val="00334736"/>
    <w:rsid w:val="00335395"/>
    <w:rsid w:val="00337FD8"/>
    <w:rsid w:val="00340EFD"/>
    <w:rsid w:val="00341F63"/>
    <w:rsid w:val="0034403F"/>
    <w:rsid w:val="003456F7"/>
    <w:rsid w:val="00347ACD"/>
    <w:rsid w:val="003514CD"/>
    <w:rsid w:val="00357A14"/>
    <w:rsid w:val="0036065C"/>
    <w:rsid w:val="00364664"/>
    <w:rsid w:val="0036468B"/>
    <w:rsid w:val="0036481C"/>
    <w:rsid w:val="00365B66"/>
    <w:rsid w:val="003671BA"/>
    <w:rsid w:val="00367A1D"/>
    <w:rsid w:val="00370053"/>
    <w:rsid w:val="0037084D"/>
    <w:rsid w:val="00372741"/>
    <w:rsid w:val="00372981"/>
    <w:rsid w:val="0037403C"/>
    <w:rsid w:val="0037644B"/>
    <w:rsid w:val="00377E29"/>
    <w:rsid w:val="00381D4E"/>
    <w:rsid w:val="00383A76"/>
    <w:rsid w:val="00391035"/>
    <w:rsid w:val="003912D3"/>
    <w:rsid w:val="00391566"/>
    <w:rsid w:val="00392006"/>
    <w:rsid w:val="0039243A"/>
    <w:rsid w:val="00392ECA"/>
    <w:rsid w:val="00393441"/>
    <w:rsid w:val="0039503F"/>
    <w:rsid w:val="00395439"/>
    <w:rsid w:val="003964F5"/>
    <w:rsid w:val="003965C5"/>
    <w:rsid w:val="0039672A"/>
    <w:rsid w:val="00397920"/>
    <w:rsid w:val="003A75D1"/>
    <w:rsid w:val="003A7952"/>
    <w:rsid w:val="003B038E"/>
    <w:rsid w:val="003B08C8"/>
    <w:rsid w:val="003B2EFF"/>
    <w:rsid w:val="003B46B8"/>
    <w:rsid w:val="003B5B56"/>
    <w:rsid w:val="003B65A1"/>
    <w:rsid w:val="003C010F"/>
    <w:rsid w:val="003C0818"/>
    <w:rsid w:val="003C0B69"/>
    <w:rsid w:val="003C2966"/>
    <w:rsid w:val="003C6261"/>
    <w:rsid w:val="003C7B5F"/>
    <w:rsid w:val="003D1A2E"/>
    <w:rsid w:val="003D33E5"/>
    <w:rsid w:val="003D5E03"/>
    <w:rsid w:val="003D6E3C"/>
    <w:rsid w:val="003D711D"/>
    <w:rsid w:val="003D78D4"/>
    <w:rsid w:val="003E0F0A"/>
    <w:rsid w:val="003E398A"/>
    <w:rsid w:val="003E3DFD"/>
    <w:rsid w:val="003E4B2C"/>
    <w:rsid w:val="003E54A1"/>
    <w:rsid w:val="003E54FD"/>
    <w:rsid w:val="003E7C12"/>
    <w:rsid w:val="003F2354"/>
    <w:rsid w:val="003F3DBF"/>
    <w:rsid w:val="003F4A5F"/>
    <w:rsid w:val="003F51FF"/>
    <w:rsid w:val="003F6EFC"/>
    <w:rsid w:val="00404A27"/>
    <w:rsid w:val="00405F06"/>
    <w:rsid w:val="00406F97"/>
    <w:rsid w:val="00407537"/>
    <w:rsid w:val="00407E16"/>
    <w:rsid w:val="00407F73"/>
    <w:rsid w:val="00412613"/>
    <w:rsid w:val="00416F36"/>
    <w:rsid w:val="004207E8"/>
    <w:rsid w:val="00422D27"/>
    <w:rsid w:val="004255FA"/>
    <w:rsid w:val="0042720A"/>
    <w:rsid w:val="0043071E"/>
    <w:rsid w:val="00432A2E"/>
    <w:rsid w:val="00435E63"/>
    <w:rsid w:val="00435F30"/>
    <w:rsid w:val="00437FD9"/>
    <w:rsid w:val="004410B3"/>
    <w:rsid w:val="00443E84"/>
    <w:rsid w:val="0044588E"/>
    <w:rsid w:val="00445ED7"/>
    <w:rsid w:val="004518A9"/>
    <w:rsid w:val="00453B7E"/>
    <w:rsid w:val="00453F79"/>
    <w:rsid w:val="0045438F"/>
    <w:rsid w:val="00454CF2"/>
    <w:rsid w:val="004563B8"/>
    <w:rsid w:val="00457433"/>
    <w:rsid w:val="0045771E"/>
    <w:rsid w:val="004608F2"/>
    <w:rsid w:val="00461FA0"/>
    <w:rsid w:val="0046259A"/>
    <w:rsid w:val="00463427"/>
    <w:rsid w:val="00464868"/>
    <w:rsid w:val="004649C7"/>
    <w:rsid w:val="00465829"/>
    <w:rsid w:val="004660A0"/>
    <w:rsid w:val="0046611E"/>
    <w:rsid w:val="00466C39"/>
    <w:rsid w:val="004714B7"/>
    <w:rsid w:val="004722C8"/>
    <w:rsid w:val="00473430"/>
    <w:rsid w:val="00473FD9"/>
    <w:rsid w:val="00474935"/>
    <w:rsid w:val="00477396"/>
    <w:rsid w:val="00480AC8"/>
    <w:rsid w:val="00484C5D"/>
    <w:rsid w:val="004850B3"/>
    <w:rsid w:val="00485182"/>
    <w:rsid w:val="0048521D"/>
    <w:rsid w:val="00485CB4"/>
    <w:rsid w:val="004864F9"/>
    <w:rsid w:val="00490865"/>
    <w:rsid w:val="0049247B"/>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21C5"/>
    <w:rsid w:val="004B312A"/>
    <w:rsid w:val="004B55F6"/>
    <w:rsid w:val="004B5E19"/>
    <w:rsid w:val="004B5FE3"/>
    <w:rsid w:val="004B7753"/>
    <w:rsid w:val="004C0292"/>
    <w:rsid w:val="004C1CDB"/>
    <w:rsid w:val="004C1EEA"/>
    <w:rsid w:val="004C2AA7"/>
    <w:rsid w:val="004C2FA5"/>
    <w:rsid w:val="004C70E0"/>
    <w:rsid w:val="004C74EC"/>
    <w:rsid w:val="004D063F"/>
    <w:rsid w:val="004D1255"/>
    <w:rsid w:val="004D1412"/>
    <w:rsid w:val="004D1D5D"/>
    <w:rsid w:val="004D1ECA"/>
    <w:rsid w:val="004D2017"/>
    <w:rsid w:val="004D2028"/>
    <w:rsid w:val="004D20B2"/>
    <w:rsid w:val="004D2BA3"/>
    <w:rsid w:val="004D2FFB"/>
    <w:rsid w:val="004D3BF5"/>
    <w:rsid w:val="004D41E1"/>
    <w:rsid w:val="004D658A"/>
    <w:rsid w:val="004D76C2"/>
    <w:rsid w:val="004D7782"/>
    <w:rsid w:val="004D7993"/>
    <w:rsid w:val="004D7BE0"/>
    <w:rsid w:val="004E160C"/>
    <w:rsid w:val="004E324D"/>
    <w:rsid w:val="004E505F"/>
    <w:rsid w:val="004E5614"/>
    <w:rsid w:val="004E56A8"/>
    <w:rsid w:val="004E6D81"/>
    <w:rsid w:val="004F2849"/>
    <w:rsid w:val="004F431F"/>
    <w:rsid w:val="004F61E7"/>
    <w:rsid w:val="004F61F9"/>
    <w:rsid w:val="005001F7"/>
    <w:rsid w:val="005011C5"/>
    <w:rsid w:val="00504DBF"/>
    <w:rsid w:val="005056A0"/>
    <w:rsid w:val="00505BA6"/>
    <w:rsid w:val="00505D56"/>
    <w:rsid w:val="005064D3"/>
    <w:rsid w:val="00511539"/>
    <w:rsid w:val="005132CC"/>
    <w:rsid w:val="00513ED6"/>
    <w:rsid w:val="005149EE"/>
    <w:rsid w:val="00515002"/>
    <w:rsid w:val="00516281"/>
    <w:rsid w:val="00516BBB"/>
    <w:rsid w:val="0052051C"/>
    <w:rsid w:val="0052263A"/>
    <w:rsid w:val="0052270D"/>
    <w:rsid w:val="005235BA"/>
    <w:rsid w:val="00523B23"/>
    <w:rsid w:val="00523EE4"/>
    <w:rsid w:val="0052690C"/>
    <w:rsid w:val="00530322"/>
    <w:rsid w:val="00530375"/>
    <w:rsid w:val="00530EA3"/>
    <w:rsid w:val="00535A3D"/>
    <w:rsid w:val="00535DFD"/>
    <w:rsid w:val="005365B2"/>
    <w:rsid w:val="005366DE"/>
    <w:rsid w:val="005438D9"/>
    <w:rsid w:val="005453BD"/>
    <w:rsid w:val="00545A9A"/>
    <w:rsid w:val="00547186"/>
    <w:rsid w:val="00552041"/>
    <w:rsid w:val="00554921"/>
    <w:rsid w:val="00554DD3"/>
    <w:rsid w:val="00555DDB"/>
    <w:rsid w:val="00556EDA"/>
    <w:rsid w:val="005573B0"/>
    <w:rsid w:val="00560C7A"/>
    <w:rsid w:val="00562E29"/>
    <w:rsid w:val="00564A85"/>
    <w:rsid w:val="0056764D"/>
    <w:rsid w:val="00567FDF"/>
    <w:rsid w:val="0057070B"/>
    <w:rsid w:val="0057137C"/>
    <w:rsid w:val="00571BAD"/>
    <w:rsid w:val="00571F24"/>
    <w:rsid w:val="0057210C"/>
    <w:rsid w:val="00572304"/>
    <w:rsid w:val="00572FF0"/>
    <w:rsid w:val="00574398"/>
    <w:rsid w:val="00574EF5"/>
    <w:rsid w:val="005750F5"/>
    <w:rsid w:val="00575E84"/>
    <w:rsid w:val="005763B3"/>
    <w:rsid w:val="005776C6"/>
    <w:rsid w:val="00577872"/>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D0834"/>
    <w:rsid w:val="005D4844"/>
    <w:rsid w:val="005D67DD"/>
    <w:rsid w:val="005D7349"/>
    <w:rsid w:val="005D77C2"/>
    <w:rsid w:val="005E0433"/>
    <w:rsid w:val="005E3B25"/>
    <w:rsid w:val="005E3E3F"/>
    <w:rsid w:val="005E54E4"/>
    <w:rsid w:val="005E69CB"/>
    <w:rsid w:val="005E6A2D"/>
    <w:rsid w:val="005E7F9A"/>
    <w:rsid w:val="005F0370"/>
    <w:rsid w:val="005F2574"/>
    <w:rsid w:val="005F3C55"/>
    <w:rsid w:val="005F3D58"/>
    <w:rsid w:val="005F5B7E"/>
    <w:rsid w:val="005F5C47"/>
    <w:rsid w:val="006020E6"/>
    <w:rsid w:val="00602917"/>
    <w:rsid w:val="006047BA"/>
    <w:rsid w:val="00604D64"/>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2F93"/>
    <w:rsid w:val="00623577"/>
    <w:rsid w:val="006240B9"/>
    <w:rsid w:val="006260D8"/>
    <w:rsid w:val="0062626B"/>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42C4"/>
    <w:rsid w:val="00644A10"/>
    <w:rsid w:val="0064641B"/>
    <w:rsid w:val="006478A8"/>
    <w:rsid w:val="006502BA"/>
    <w:rsid w:val="00650B77"/>
    <w:rsid w:val="00651332"/>
    <w:rsid w:val="006515AE"/>
    <w:rsid w:val="006525B0"/>
    <w:rsid w:val="00652D69"/>
    <w:rsid w:val="006578B0"/>
    <w:rsid w:val="00657C35"/>
    <w:rsid w:val="00663F6B"/>
    <w:rsid w:val="006662C9"/>
    <w:rsid w:val="00666FE9"/>
    <w:rsid w:val="006678A9"/>
    <w:rsid w:val="006704CE"/>
    <w:rsid w:val="006710C9"/>
    <w:rsid w:val="00671248"/>
    <w:rsid w:val="00672135"/>
    <w:rsid w:val="00672629"/>
    <w:rsid w:val="0067371F"/>
    <w:rsid w:val="00673BF8"/>
    <w:rsid w:val="00675D71"/>
    <w:rsid w:val="006768F6"/>
    <w:rsid w:val="00676A6A"/>
    <w:rsid w:val="00676EAA"/>
    <w:rsid w:val="006808B6"/>
    <w:rsid w:val="00680A15"/>
    <w:rsid w:val="00682806"/>
    <w:rsid w:val="00682904"/>
    <w:rsid w:val="006833AC"/>
    <w:rsid w:val="006852BC"/>
    <w:rsid w:val="00685B5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17D"/>
    <w:rsid w:val="006C0A89"/>
    <w:rsid w:val="006C255C"/>
    <w:rsid w:val="006C3AED"/>
    <w:rsid w:val="006D085F"/>
    <w:rsid w:val="006D21E7"/>
    <w:rsid w:val="006D31D5"/>
    <w:rsid w:val="006E02ED"/>
    <w:rsid w:val="006E0CCC"/>
    <w:rsid w:val="006E1F8B"/>
    <w:rsid w:val="006E2B93"/>
    <w:rsid w:val="006E2D62"/>
    <w:rsid w:val="006E3517"/>
    <w:rsid w:val="006E3752"/>
    <w:rsid w:val="006E4A01"/>
    <w:rsid w:val="006F04F3"/>
    <w:rsid w:val="006F0695"/>
    <w:rsid w:val="006F06C2"/>
    <w:rsid w:val="006F2D4F"/>
    <w:rsid w:val="006F45AE"/>
    <w:rsid w:val="006F720A"/>
    <w:rsid w:val="00702813"/>
    <w:rsid w:val="007068A0"/>
    <w:rsid w:val="00707FDD"/>
    <w:rsid w:val="00711001"/>
    <w:rsid w:val="00712651"/>
    <w:rsid w:val="00712C4C"/>
    <w:rsid w:val="007133FD"/>
    <w:rsid w:val="007135F2"/>
    <w:rsid w:val="0071500D"/>
    <w:rsid w:val="00715319"/>
    <w:rsid w:val="00715FE1"/>
    <w:rsid w:val="00717F08"/>
    <w:rsid w:val="0072704C"/>
    <w:rsid w:val="00730D2C"/>
    <w:rsid w:val="00730E8D"/>
    <w:rsid w:val="0073235B"/>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05B8"/>
    <w:rsid w:val="00751F7B"/>
    <w:rsid w:val="007540D8"/>
    <w:rsid w:val="00754B2A"/>
    <w:rsid w:val="007551CE"/>
    <w:rsid w:val="00755978"/>
    <w:rsid w:val="00756082"/>
    <w:rsid w:val="0075698F"/>
    <w:rsid w:val="00757527"/>
    <w:rsid w:val="00760141"/>
    <w:rsid w:val="007622E6"/>
    <w:rsid w:val="00763715"/>
    <w:rsid w:val="007644AB"/>
    <w:rsid w:val="00764CAE"/>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452"/>
    <w:rsid w:val="007B277A"/>
    <w:rsid w:val="007B2879"/>
    <w:rsid w:val="007B34BE"/>
    <w:rsid w:val="007B4F88"/>
    <w:rsid w:val="007C4956"/>
    <w:rsid w:val="007C55A5"/>
    <w:rsid w:val="007C62F4"/>
    <w:rsid w:val="007C6D03"/>
    <w:rsid w:val="007C7B85"/>
    <w:rsid w:val="007D07EF"/>
    <w:rsid w:val="007D0C9A"/>
    <w:rsid w:val="007D0D50"/>
    <w:rsid w:val="007D185B"/>
    <w:rsid w:val="007D39A4"/>
    <w:rsid w:val="007D47C1"/>
    <w:rsid w:val="007D5178"/>
    <w:rsid w:val="007D66C0"/>
    <w:rsid w:val="007D6D38"/>
    <w:rsid w:val="007D70FA"/>
    <w:rsid w:val="007E04AA"/>
    <w:rsid w:val="007E0975"/>
    <w:rsid w:val="007E24DA"/>
    <w:rsid w:val="007E3013"/>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062A5"/>
    <w:rsid w:val="00806AB7"/>
    <w:rsid w:val="00810CA5"/>
    <w:rsid w:val="008118AE"/>
    <w:rsid w:val="00811B4F"/>
    <w:rsid w:val="00813216"/>
    <w:rsid w:val="00814012"/>
    <w:rsid w:val="008175E0"/>
    <w:rsid w:val="00817E6E"/>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5BD8"/>
    <w:rsid w:val="0085735C"/>
    <w:rsid w:val="00857584"/>
    <w:rsid w:val="0086208A"/>
    <w:rsid w:val="00862759"/>
    <w:rsid w:val="008641EE"/>
    <w:rsid w:val="00867E75"/>
    <w:rsid w:val="00872BF9"/>
    <w:rsid w:val="00873035"/>
    <w:rsid w:val="0087696A"/>
    <w:rsid w:val="00877AD1"/>
    <w:rsid w:val="00881B17"/>
    <w:rsid w:val="0088260A"/>
    <w:rsid w:val="0088346A"/>
    <w:rsid w:val="00883A85"/>
    <w:rsid w:val="00885019"/>
    <w:rsid w:val="008870F4"/>
    <w:rsid w:val="00887C34"/>
    <w:rsid w:val="0089032A"/>
    <w:rsid w:val="008914D8"/>
    <w:rsid w:val="0089249C"/>
    <w:rsid w:val="00894874"/>
    <w:rsid w:val="008950A0"/>
    <w:rsid w:val="00896087"/>
    <w:rsid w:val="00896191"/>
    <w:rsid w:val="0089759F"/>
    <w:rsid w:val="008A15E6"/>
    <w:rsid w:val="008A1B5C"/>
    <w:rsid w:val="008A3880"/>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385E"/>
    <w:rsid w:val="008D74EF"/>
    <w:rsid w:val="008D7B6C"/>
    <w:rsid w:val="008E1D5F"/>
    <w:rsid w:val="008E44DC"/>
    <w:rsid w:val="008E4A3E"/>
    <w:rsid w:val="008E6F10"/>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1C5"/>
    <w:rsid w:val="009224A8"/>
    <w:rsid w:val="00922E2D"/>
    <w:rsid w:val="00923021"/>
    <w:rsid w:val="0092402B"/>
    <w:rsid w:val="0092491B"/>
    <w:rsid w:val="0092711E"/>
    <w:rsid w:val="00931256"/>
    <w:rsid w:val="00933E5E"/>
    <w:rsid w:val="00934EE4"/>
    <w:rsid w:val="00936D85"/>
    <w:rsid w:val="00937E29"/>
    <w:rsid w:val="0094006F"/>
    <w:rsid w:val="00941669"/>
    <w:rsid w:val="00942089"/>
    <w:rsid w:val="00942A79"/>
    <w:rsid w:val="00943335"/>
    <w:rsid w:val="00943CEE"/>
    <w:rsid w:val="009447E7"/>
    <w:rsid w:val="00944A1D"/>
    <w:rsid w:val="00950248"/>
    <w:rsid w:val="00950A11"/>
    <w:rsid w:val="00950D1C"/>
    <w:rsid w:val="00951689"/>
    <w:rsid w:val="009516C6"/>
    <w:rsid w:val="0095191D"/>
    <w:rsid w:val="009553CD"/>
    <w:rsid w:val="00955DB7"/>
    <w:rsid w:val="009565FA"/>
    <w:rsid w:val="00957E9C"/>
    <w:rsid w:val="009611CA"/>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91130"/>
    <w:rsid w:val="0099280D"/>
    <w:rsid w:val="00996A2D"/>
    <w:rsid w:val="00997A8C"/>
    <w:rsid w:val="00997C90"/>
    <w:rsid w:val="00997F1F"/>
    <w:rsid w:val="009A1913"/>
    <w:rsid w:val="009A1A02"/>
    <w:rsid w:val="009A296B"/>
    <w:rsid w:val="009A3142"/>
    <w:rsid w:val="009A459E"/>
    <w:rsid w:val="009A4A5E"/>
    <w:rsid w:val="009A5615"/>
    <w:rsid w:val="009A5DE8"/>
    <w:rsid w:val="009A66D4"/>
    <w:rsid w:val="009B293C"/>
    <w:rsid w:val="009B2A45"/>
    <w:rsid w:val="009B3206"/>
    <w:rsid w:val="009B629F"/>
    <w:rsid w:val="009B7DB3"/>
    <w:rsid w:val="009B7E82"/>
    <w:rsid w:val="009C2367"/>
    <w:rsid w:val="009C33C2"/>
    <w:rsid w:val="009C5663"/>
    <w:rsid w:val="009D075F"/>
    <w:rsid w:val="009D17DA"/>
    <w:rsid w:val="009D3797"/>
    <w:rsid w:val="009D4994"/>
    <w:rsid w:val="009D5F75"/>
    <w:rsid w:val="009D65A1"/>
    <w:rsid w:val="009E00A2"/>
    <w:rsid w:val="009E10EF"/>
    <w:rsid w:val="009E3F65"/>
    <w:rsid w:val="009E4A8E"/>
    <w:rsid w:val="009E6847"/>
    <w:rsid w:val="009E748E"/>
    <w:rsid w:val="009F14B6"/>
    <w:rsid w:val="009F2777"/>
    <w:rsid w:val="009F27ED"/>
    <w:rsid w:val="009F30F2"/>
    <w:rsid w:val="009F4C7C"/>
    <w:rsid w:val="009F6075"/>
    <w:rsid w:val="009F672D"/>
    <w:rsid w:val="009F753F"/>
    <w:rsid w:val="00A010EA"/>
    <w:rsid w:val="00A015D0"/>
    <w:rsid w:val="00A03B47"/>
    <w:rsid w:val="00A04AB1"/>
    <w:rsid w:val="00A04BA5"/>
    <w:rsid w:val="00A04F3B"/>
    <w:rsid w:val="00A0585E"/>
    <w:rsid w:val="00A06534"/>
    <w:rsid w:val="00A07603"/>
    <w:rsid w:val="00A076ED"/>
    <w:rsid w:val="00A1045E"/>
    <w:rsid w:val="00A10832"/>
    <w:rsid w:val="00A1097E"/>
    <w:rsid w:val="00A13E24"/>
    <w:rsid w:val="00A1549B"/>
    <w:rsid w:val="00A15AC9"/>
    <w:rsid w:val="00A20750"/>
    <w:rsid w:val="00A2123B"/>
    <w:rsid w:val="00A22FA8"/>
    <w:rsid w:val="00A24D24"/>
    <w:rsid w:val="00A25185"/>
    <w:rsid w:val="00A25672"/>
    <w:rsid w:val="00A30D71"/>
    <w:rsid w:val="00A31311"/>
    <w:rsid w:val="00A33143"/>
    <w:rsid w:val="00A34F79"/>
    <w:rsid w:val="00A35552"/>
    <w:rsid w:val="00A3634E"/>
    <w:rsid w:val="00A36589"/>
    <w:rsid w:val="00A42EEF"/>
    <w:rsid w:val="00A4420F"/>
    <w:rsid w:val="00A444CF"/>
    <w:rsid w:val="00A44E9F"/>
    <w:rsid w:val="00A5071E"/>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A13"/>
    <w:rsid w:val="00A724F7"/>
    <w:rsid w:val="00A7351E"/>
    <w:rsid w:val="00A73A7B"/>
    <w:rsid w:val="00A75DF8"/>
    <w:rsid w:val="00A7792D"/>
    <w:rsid w:val="00A802F3"/>
    <w:rsid w:val="00A81111"/>
    <w:rsid w:val="00A82008"/>
    <w:rsid w:val="00A83161"/>
    <w:rsid w:val="00A840E2"/>
    <w:rsid w:val="00A852B2"/>
    <w:rsid w:val="00A9150F"/>
    <w:rsid w:val="00A91FC4"/>
    <w:rsid w:val="00A9248F"/>
    <w:rsid w:val="00A93BFE"/>
    <w:rsid w:val="00A959EE"/>
    <w:rsid w:val="00AA0658"/>
    <w:rsid w:val="00AA0BB8"/>
    <w:rsid w:val="00AA2271"/>
    <w:rsid w:val="00AA4801"/>
    <w:rsid w:val="00AA5837"/>
    <w:rsid w:val="00AB0464"/>
    <w:rsid w:val="00AB1E14"/>
    <w:rsid w:val="00AB2D65"/>
    <w:rsid w:val="00AB63DC"/>
    <w:rsid w:val="00AB7B1E"/>
    <w:rsid w:val="00AC0319"/>
    <w:rsid w:val="00AC0A0A"/>
    <w:rsid w:val="00AC14A4"/>
    <w:rsid w:val="00AC4302"/>
    <w:rsid w:val="00AC7226"/>
    <w:rsid w:val="00AD0773"/>
    <w:rsid w:val="00AD2275"/>
    <w:rsid w:val="00AD3C87"/>
    <w:rsid w:val="00AD697D"/>
    <w:rsid w:val="00AD7B12"/>
    <w:rsid w:val="00AE17D0"/>
    <w:rsid w:val="00AE2805"/>
    <w:rsid w:val="00AE2ECC"/>
    <w:rsid w:val="00AE3CD4"/>
    <w:rsid w:val="00AE3FBC"/>
    <w:rsid w:val="00AE505E"/>
    <w:rsid w:val="00AE6098"/>
    <w:rsid w:val="00AE6AD3"/>
    <w:rsid w:val="00AE7307"/>
    <w:rsid w:val="00AF3053"/>
    <w:rsid w:val="00AF3CFC"/>
    <w:rsid w:val="00AF447D"/>
    <w:rsid w:val="00AF5EA9"/>
    <w:rsid w:val="00AF67A6"/>
    <w:rsid w:val="00AF68A8"/>
    <w:rsid w:val="00AF769D"/>
    <w:rsid w:val="00B00DCD"/>
    <w:rsid w:val="00B01998"/>
    <w:rsid w:val="00B064A0"/>
    <w:rsid w:val="00B07696"/>
    <w:rsid w:val="00B11A30"/>
    <w:rsid w:val="00B12180"/>
    <w:rsid w:val="00B12559"/>
    <w:rsid w:val="00B12A6A"/>
    <w:rsid w:val="00B201CD"/>
    <w:rsid w:val="00B212E5"/>
    <w:rsid w:val="00B268F4"/>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DF5"/>
    <w:rsid w:val="00B5418A"/>
    <w:rsid w:val="00B54969"/>
    <w:rsid w:val="00B54A09"/>
    <w:rsid w:val="00B54AF2"/>
    <w:rsid w:val="00B560EF"/>
    <w:rsid w:val="00B57D34"/>
    <w:rsid w:val="00B6276F"/>
    <w:rsid w:val="00B641E5"/>
    <w:rsid w:val="00B64574"/>
    <w:rsid w:val="00B650A9"/>
    <w:rsid w:val="00B65FE5"/>
    <w:rsid w:val="00B66334"/>
    <w:rsid w:val="00B67AAE"/>
    <w:rsid w:val="00B67B28"/>
    <w:rsid w:val="00B707D4"/>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A6E4F"/>
    <w:rsid w:val="00BB195B"/>
    <w:rsid w:val="00BB2206"/>
    <w:rsid w:val="00BB24A9"/>
    <w:rsid w:val="00BB2822"/>
    <w:rsid w:val="00BB2AFE"/>
    <w:rsid w:val="00BB2C63"/>
    <w:rsid w:val="00BB2D83"/>
    <w:rsid w:val="00BB60C6"/>
    <w:rsid w:val="00BB6B38"/>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4435"/>
    <w:rsid w:val="00BE6414"/>
    <w:rsid w:val="00BE7602"/>
    <w:rsid w:val="00BF005A"/>
    <w:rsid w:val="00BF14C2"/>
    <w:rsid w:val="00BF3CD7"/>
    <w:rsid w:val="00BF3E97"/>
    <w:rsid w:val="00BF7B9D"/>
    <w:rsid w:val="00C00AE7"/>
    <w:rsid w:val="00C017D9"/>
    <w:rsid w:val="00C01BD7"/>
    <w:rsid w:val="00C04565"/>
    <w:rsid w:val="00C04CA6"/>
    <w:rsid w:val="00C0711D"/>
    <w:rsid w:val="00C10F2A"/>
    <w:rsid w:val="00C12F6B"/>
    <w:rsid w:val="00C153E6"/>
    <w:rsid w:val="00C15537"/>
    <w:rsid w:val="00C17F52"/>
    <w:rsid w:val="00C21861"/>
    <w:rsid w:val="00C23097"/>
    <w:rsid w:val="00C31386"/>
    <w:rsid w:val="00C3310C"/>
    <w:rsid w:val="00C33259"/>
    <w:rsid w:val="00C33BD8"/>
    <w:rsid w:val="00C34070"/>
    <w:rsid w:val="00C35DC8"/>
    <w:rsid w:val="00C360DD"/>
    <w:rsid w:val="00C372C2"/>
    <w:rsid w:val="00C37D0F"/>
    <w:rsid w:val="00C4175F"/>
    <w:rsid w:val="00C42B16"/>
    <w:rsid w:val="00C43445"/>
    <w:rsid w:val="00C44256"/>
    <w:rsid w:val="00C45146"/>
    <w:rsid w:val="00C452C3"/>
    <w:rsid w:val="00C462C9"/>
    <w:rsid w:val="00C47C3D"/>
    <w:rsid w:val="00C5160E"/>
    <w:rsid w:val="00C53BEF"/>
    <w:rsid w:val="00C53CC2"/>
    <w:rsid w:val="00C56E6B"/>
    <w:rsid w:val="00C56ED5"/>
    <w:rsid w:val="00C57AAD"/>
    <w:rsid w:val="00C61374"/>
    <w:rsid w:val="00C62DCF"/>
    <w:rsid w:val="00C63F0E"/>
    <w:rsid w:val="00C64D8D"/>
    <w:rsid w:val="00C65294"/>
    <w:rsid w:val="00C660C2"/>
    <w:rsid w:val="00C663F3"/>
    <w:rsid w:val="00C671E3"/>
    <w:rsid w:val="00C7191E"/>
    <w:rsid w:val="00C81E87"/>
    <w:rsid w:val="00C82F82"/>
    <w:rsid w:val="00C90827"/>
    <w:rsid w:val="00C90D47"/>
    <w:rsid w:val="00C9146C"/>
    <w:rsid w:val="00C920E5"/>
    <w:rsid w:val="00C9242B"/>
    <w:rsid w:val="00C9495C"/>
    <w:rsid w:val="00C955E2"/>
    <w:rsid w:val="00C964A2"/>
    <w:rsid w:val="00C968EE"/>
    <w:rsid w:val="00C96CB9"/>
    <w:rsid w:val="00C96EBF"/>
    <w:rsid w:val="00C972FF"/>
    <w:rsid w:val="00CA0EBF"/>
    <w:rsid w:val="00CA468D"/>
    <w:rsid w:val="00CA47BD"/>
    <w:rsid w:val="00CB3B30"/>
    <w:rsid w:val="00CB3CEC"/>
    <w:rsid w:val="00CB4DE0"/>
    <w:rsid w:val="00CB667E"/>
    <w:rsid w:val="00CB6849"/>
    <w:rsid w:val="00CB6ECD"/>
    <w:rsid w:val="00CC1124"/>
    <w:rsid w:val="00CC17DE"/>
    <w:rsid w:val="00CC1EEF"/>
    <w:rsid w:val="00CC4514"/>
    <w:rsid w:val="00CC4C7A"/>
    <w:rsid w:val="00CC5405"/>
    <w:rsid w:val="00CC5D2B"/>
    <w:rsid w:val="00CC61D5"/>
    <w:rsid w:val="00CC686B"/>
    <w:rsid w:val="00CC7D0F"/>
    <w:rsid w:val="00CD079B"/>
    <w:rsid w:val="00CD2674"/>
    <w:rsid w:val="00CD5D3C"/>
    <w:rsid w:val="00CD6D1F"/>
    <w:rsid w:val="00CE1CCA"/>
    <w:rsid w:val="00CE2C7F"/>
    <w:rsid w:val="00CE380F"/>
    <w:rsid w:val="00CE6966"/>
    <w:rsid w:val="00CE6AA2"/>
    <w:rsid w:val="00CE7938"/>
    <w:rsid w:val="00CF1C0D"/>
    <w:rsid w:val="00CF38B2"/>
    <w:rsid w:val="00D04FF0"/>
    <w:rsid w:val="00D06203"/>
    <w:rsid w:val="00D06437"/>
    <w:rsid w:val="00D06E48"/>
    <w:rsid w:val="00D07983"/>
    <w:rsid w:val="00D07E28"/>
    <w:rsid w:val="00D1004F"/>
    <w:rsid w:val="00D104F6"/>
    <w:rsid w:val="00D109D2"/>
    <w:rsid w:val="00D1109D"/>
    <w:rsid w:val="00D13056"/>
    <w:rsid w:val="00D135C3"/>
    <w:rsid w:val="00D149FD"/>
    <w:rsid w:val="00D161C0"/>
    <w:rsid w:val="00D165A5"/>
    <w:rsid w:val="00D20169"/>
    <w:rsid w:val="00D20E5A"/>
    <w:rsid w:val="00D218F5"/>
    <w:rsid w:val="00D23513"/>
    <w:rsid w:val="00D256AB"/>
    <w:rsid w:val="00D27476"/>
    <w:rsid w:val="00D30190"/>
    <w:rsid w:val="00D31EB6"/>
    <w:rsid w:val="00D31EB9"/>
    <w:rsid w:val="00D33BC7"/>
    <w:rsid w:val="00D33CC3"/>
    <w:rsid w:val="00D3763D"/>
    <w:rsid w:val="00D42343"/>
    <w:rsid w:val="00D427AD"/>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7748"/>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6E9F"/>
    <w:rsid w:val="00DD0430"/>
    <w:rsid w:val="00DD2090"/>
    <w:rsid w:val="00DD28D2"/>
    <w:rsid w:val="00DD4748"/>
    <w:rsid w:val="00DD7F3E"/>
    <w:rsid w:val="00DE0800"/>
    <w:rsid w:val="00DE0808"/>
    <w:rsid w:val="00DE3793"/>
    <w:rsid w:val="00DE385F"/>
    <w:rsid w:val="00DE4527"/>
    <w:rsid w:val="00DE6494"/>
    <w:rsid w:val="00DE7A75"/>
    <w:rsid w:val="00DF15FF"/>
    <w:rsid w:val="00DF1C20"/>
    <w:rsid w:val="00DF2B2C"/>
    <w:rsid w:val="00DF3DEA"/>
    <w:rsid w:val="00DF6388"/>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35368"/>
    <w:rsid w:val="00E37376"/>
    <w:rsid w:val="00E37BE2"/>
    <w:rsid w:val="00E400FE"/>
    <w:rsid w:val="00E4081D"/>
    <w:rsid w:val="00E41A1F"/>
    <w:rsid w:val="00E44C19"/>
    <w:rsid w:val="00E50907"/>
    <w:rsid w:val="00E53034"/>
    <w:rsid w:val="00E536C5"/>
    <w:rsid w:val="00E54585"/>
    <w:rsid w:val="00E54D83"/>
    <w:rsid w:val="00E55491"/>
    <w:rsid w:val="00E557C2"/>
    <w:rsid w:val="00E57922"/>
    <w:rsid w:val="00E60AF6"/>
    <w:rsid w:val="00E60D8D"/>
    <w:rsid w:val="00E63E26"/>
    <w:rsid w:val="00E656C7"/>
    <w:rsid w:val="00E67F85"/>
    <w:rsid w:val="00E67FF3"/>
    <w:rsid w:val="00E70462"/>
    <w:rsid w:val="00E70699"/>
    <w:rsid w:val="00E70DEA"/>
    <w:rsid w:val="00E7480D"/>
    <w:rsid w:val="00E74E40"/>
    <w:rsid w:val="00E7681C"/>
    <w:rsid w:val="00E84EB6"/>
    <w:rsid w:val="00E87649"/>
    <w:rsid w:val="00E87AA8"/>
    <w:rsid w:val="00E90BD4"/>
    <w:rsid w:val="00E9164C"/>
    <w:rsid w:val="00E9218A"/>
    <w:rsid w:val="00E92E92"/>
    <w:rsid w:val="00E936C6"/>
    <w:rsid w:val="00E9693A"/>
    <w:rsid w:val="00E96BCE"/>
    <w:rsid w:val="00EA262C"/>
    <w:rsid w:val="00EA2E11"/>
    <w:rsid w:val="00EA50DC"/>
    <w:rsid w:val="00EA5E50"/>
    <w:rsid w:val="00EA6AA0"/>
    <w:rsid w:val="00EA7874"/>
    <w:rsid w:val="00EB04CF"/>
    <w:rsid w:val="00EB23FA"/>
    <w:rsid w:val="00EB2435"/>
    <w:rsid w:val="00EB474C"/>
    <w:rsid w:val="00EB4AD1"/>
    <w:rsid w:val="00EB57E6"/>
    <w:rsid w:val="00EB5D3B"/>
    <w:rsid w:val="00EB600D"/>
    <w:rsid w:val="00EB6407"/>
    <w:rsid w:val="00EC09AE"/>
    <w:rsid w:val="00EC26F0"/>
    <w:rsid w:val="00EC32DF"/>
    <w:rsid w:val="00EC3537"/>
    <w:rsid w:val="00EC4BA9"/>
    <w:rsid w:val="00EC6065"/>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061"/>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B9"/>
    <w:rsid w:val="00F20EF1"/>
    <w:rsid w:val="00F20F91"/>
    <w:rsid w:val="00F216E1"/>
    <w:rsid w:val="00F21BBF"/>
    <w:rsid w:val="00F234DA"/>
    <w:rsid w:val="00F24D2C"/>
    <w:rsid w:val="00F2796E"/>
    <w:rsid w:val="00F301F1"/>
    <w:rsid w:val="00F3101F"/>
    <w:rsid w:val="00F330AC"/>
    <w:rsid w:val="00F36C20"/>
    <w:rsid w:val="00F40600"/>
    <w:rsid w:val="00F419CB"/>
    <w:rsid w:val="00F437F5"/>
    <w:rsid w:val="00F43D01"/>
    <w:rsid w:val="00F442F8"/>
    <w:rsid w:val="00F44AC8"/>
    <w:rsid w:val="00F44C38"/>
    <w:rsid w:val="00F47054"/>
    <w:rsid w:val="00F47B03"/>
    <w:rsid w:val="00F50507"/>
    <w:rsid w:val="00F52306"/>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B59"/>
    <w:rsid w:val="00F85CB5"/>
    <w:rsid w:val="00F93B84"/>
    <w:rsid w:val="00F95DCB"/>
    <w:rsid w:val="00F970E7"/>
    <w:rsid w:val="00F97AA3"/>
    <w:rsid w:val="00FA0133"/>
    <w:rsid w:val="00FA1650"/>
    <w:rsid w:val="00FA20DB"/>
    <w:rsid w:val="00FA2A50"/>
    <w:rsid w:val="00FA4A07"/>
    <w:rsid w:val="00FA559B"/>
    <w:rsid w:val="00FA60E2"/>
    <w:rsid w:val="00FA6E5A"/>
    <w:rsid w:val="00FB0301"/>
    <w:rsid w:val="00FB11B8"/>
    <w:rsid w:val="00FB175F"/>
    <w:rsid w:val="00FB3DD1"/>
    <w:rsid w:val="00FB4848"/>
    <w:rsid w:val="00FB76A4"/>
    <w:rsid w:val="00FB7C17"/>
    <w:rsid w:val="00FC13CB"/>
    <w:rsid w:val="00FC14C0"/>
    <w:rsid w:val="00FC2E1F"/>
    <w:rsid w:val="00FC59C1"/>
    <w:rsid w:val="00FC6062"/>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 w:type="character" w:customStyle="1" w:styleId="UnresolvedMention">
    <w:name w:val="Unresolved Mention"/>
    <w:basedOn w:val="Absatz-Standardschriftart"/>
    <w:uiPriority w:val="99"/>
    <w:semiHidden/>
    <w:unhideWhenUsed/>
    <w:rsid w:val="0007605C"/>
    <w:rPr>
      <w:color w:val="605E5C"/>
      <w:shd w:val="clear" w:color="auto" w:fill="E1DFDD"/>
    </w:rPr>
  </w:style>
  <w:style w:type="paragraph" w:styleId="Endnotentext">
    <w:name w:val="endnote text"/>
    <w:basedOn w:val="Standard"/>
    <w:link w:val="EndnotentextZchn"/>
    <w:semiHidden/>
    <w:unhideWhenUsed/>
    <w:rsid w:val="001864A2"/>
    <w:pPr>
      <w:snapToGrid w:val="0"/>
    </w:pPr>
  </w:style>
  <w:style w:type="character" w:customStyle="1" w:styleId="EndnotentextZchn">
    <w:name w:val="Endnotentext Zchn"/>
    <w:basedOn w:val="Absatz-Standardschriftart"/>
    <w:link w:val="Endnotentext"/>
    <w:semiHidden/>
    <w:rsid w:val="001864A2"/>
    <w:rPr>
      <w:rFonts w:ascii="Times New Roman" w:hAnsi="Times New Roman"/>
      <w:sz w:val="24"/>
      <w:szCs w:val="24"/>
      <w:lang w:val="en-US" w:eastAsia="ko-KR"/>
    </w:rPr>
  </w:style>
  <w:style w:type="character" w:styleId="Endnotenzeichen">
    <w:name w:val="endnote reference"/>
    <w:basedOn w:val="Absatz-Standardschriftart"/>
    <w:semiHidden/>
    <w:unhideWhenUsed/>
    <w:rsid w:val="001864A2"/>
    <w:rPr>
      <w:vertAlign w:val="superscript"/>
    </w:rPr>
  </w:style>
  <w:style w:type="paragraph" w:customStyle="1" w:styleId="Note">
    <w:name w:val="Note"/>
    <w:basedOn w:val="Standard"/>
    <w:rsid w:val="0095191D"/>
    <w:pPr>
      <w:tabs>
        <w:tab w:val="left" w:pos="284"/>
        <w:tab w:val="left" w:pos="1134"/>
        <w:tab w:val="left" w:pos="1871"/>
        <w:tab w:val="left" w:pos="2268"/>
      </w:tabs>
      <w:spacing w:before="160"/>
      <w:jc w:val="both"/>
    </w:pPr>
    <w:rPr>
      <w:rFonts w:eastAsia="BatangChe"/>
      <w:noProof/>
      <w:sz w:val="20"/>
      <w:szCs w:val="20"/>
    </w:rPr>
  </w:style>
  <w:style w:type="character" w:styleId="BesuchterHyperlink">
    <w:name w:val="FollowedHyperlink"/>
    <w:basedOn w:val="Absatz-Standardschriftart"/>
    <w:semiHidden/>
    <w:unhideWhenUsed/>
    <w:rsid w:val="0062626B"/>
    <w:rPr>
      <w:color w:val="5EAEFF" w:themeColor="followedHyperlink"/>
      <w:u w:val="single"/>
    </w:rPr>
  </w:style>
  <w:style w:type="table" w:styleId="Tabellenraster">
    <w:name w:val="Table Grid"/>
    <w:basedOn w:val="NormaleTabelle"/>
    <w:rsid w:val="00EC606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
    <w:name w:val="T1"/>
    <w:basedOn w:val="Standard"/>
    <w:qFormat/>
    <w:rsid w:val="00EF5061"/>
    <w:pPr>
      <w:suppressAutoHyphens/>
      <w:jc w:val="center"/>
    </w:pPr>
    <w:rPr>
      <w:rFonts w:eastAsia="Times New Roman"/>
      <w:b/>
      <w:sz w:val="28"/>
      <w:szCs w:val="20"/>
      <w:lang w:eastAsia="en-US"/>
    </w:rPr>
  </w:style>
  <w:style w:type="paragraph" w:customStyle="1" w:styleId="T2">
    <w:name w:val="T2"/>
    <w:basedOn w:val="T1"/>
    <w:qFormat/>
    <w:rsid w:val="00EF5061"/>
    <w:pPr>
      <w:spacing w:after="240"/>
      <w:ind w:left="720" w:right="720"/>
    </w:pPr>
  </w:style>
  <w:style w:type="paragraph" w:customStyle="1" w:styleId="Raminnehll">
    <w:name w:val="Raminnehåll"/>
    <w:basedOn w:val="Standard"/>
    <w:qFormat/>
    <w:rsid w:val="00EF5061"/>
    <w:pPr>
      <w:suppressAutoHyphens/>
    </w:pPr>
    <w:rPr>
      <w:rFonts w:eastAsia="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38940172">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80239576">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2164372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1522107">
      <w:bodyDiv w:val="1"/>
      <w:marLeft w:val="0"/>
      <w:marRight w:val="0"/>
      <w:marTop w:val="0"/>
      <w:marBottom w:val="0"/>
      <w:divBdr>
        <w:top w:val="none" w:sz="0" w:space="0" w:color="auto"/>
        <w:left w:val="none" w:sz="0" w:space="0" w:color="auto"/>
        <w:bottom w:val="none" w:sz="0" w:space="0" w:color="auto"/>
        <w:right w:val="none" w:sz="0" w:space="0" w:color="auto"/>
      </w:divBdr>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379576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32117333">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8423752">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02500019">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77717853">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1678678">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7297517">
      <w:bodyDiv w:val="1"/>
      <w:marLeft w:val="0"/>
      <w:marRight w:val="0"/>
      <w:marTop w:val="0"/>
      <w:marBottom w:val="0"/>
      <w:divBdr>
        <w:top w:val="none" w:sz="0" w:space="0" w:color="auto"/>
        <w:left w:val="none" w:sz="0" w:space="0" w:color="auto"/>
        <w:bottom w:val="none" w:sz="0" w:space="0" w:color="auto"/>
        <w:right w:val="none" w:sz="0" w:space="0" w:color="auto"/>
      </w:divBdr>
    </w:div>
    <w:div w:id="980042117">
      <w:bodyDiv w:val="1"/>
      <w:marLeft w:val="0"/>
      <w:marRight w:val="0"/>
      <w:marTop w:val="0"/>
      <w:marBottom w:val="0"/>
      <w:divBdr>
        <w:top w:val="none" w:sz="0" w:space="0" w:color="auto"/>
        <w:left w:val="none" w:sz="0" w:space="0" w:color="auto"/>
        <w:bottom w:val="none" w:sz="0" w:space="0" w:color="auto"/>
        <w:right w:val="none" w:sz="0" w:space="0" w:color="auto"/>
      </w:divBdr>
    </w:div>
    <w:div w:id="100709410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480152211">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3999344">
      <w:bodyDiv w:val="1"/>
      <w:marLeft w:val="0"/>
      <w:marRight w:val="0"/>
      <w:marTop w:val="0"/>
      <w:marBottom w:val="0"/>
      <w:divBdr>
        <w:top w:val="none" w:sz="0" w:space="0" w:color="auto"/>
        <w:left w:val="none" w:sz="0" w:space="0" w:color="auto"/>
        <w:bottom w:val="none" w:sz="0" w:space="0" w:color="auto"/>
        <w:right w:val="none" w:sz="0" w:space="0" w:color="auto"/>
      </w:divBdr>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1351377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83506856">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1106136">
      <w:bodyDiv w:val="1"/>
      <w:marLeft w:val="0"/>
      <w:marRight w:val="0"/>
      <w:marTop w:val="0"/>
      <w:marBottom w:val="0"/>
      <w:divBdr>
        <w:top w:val="none" w:sz="0" w:space="0" w:color="auto"/>
        <w:left w:val="none" w:sz="0" w:space="0" w:color="auto"/>
        <w:bottom w:val="none" w:sz="0" w:space="0" w:color="auto"/>
        <w:right w:val="none" w:sz="0" w:space="0" w:color="auto"/>
      </w:divBdr>
    </w:div>
    <w:div w:id="1716395499">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480571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7819812">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5747687">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60643514">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12221799">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entor.ieee.org/802.15/dcn/14/15-14-0309-20-003d-technical-requirements-document.docx" TargetMode="External"/><Relationship Id="rId2" Type="http://schemas.openxmlformats.org/officeDocument/2006/relationships/hyperlink" Target="https://ieeexplore.ieee.org/document/7856917" TargetMode="External"/><Relationship Id="rId1" Type="http://schemas.openxmlformats.org/officeDocument/2006/relationships/hyperlink" Target="https://mentor.ieee.org/802.15/dcn/14/15-14-0304-16-003d-applications-requirement-document-ard.docx" TargetMode="External"/><Relationship Id="rId6" Type="http://schemas.openxmlformats.org/officeDocument/2006/relationships/hyperlink" Target="https://mentor.ieee.org/802.15/dcn/15/15-15-0109-07-003e-technical-guidance-documnet-3e.docx" TargetMode="External"/><Relationship Id="rId5" Type="http://schemas.openxmlformats.org/officeDocument/2006/relationships/hyperlink" Target="https://ieeexplore.ieee.org/document/8066476" TargetMode="External"/><Relationship Id="rId4" Type="http://schemas.openxmlformats.org/officeDocument/2006/relationships/hyperlink" Target="https://mentor.ieee.org/802.15/dcn/14/15-14-0310-19-003d-channel-modeling-docu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176F9-3F31-4EAC-A1F4-64C9C283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6</Pages>
  <Words>1082</Words>
  <Characters>6819</Characters>
  <Application>Microsoft Office Word</Application>
  <DocSecurity>0</DocSecurity>
  <Lines>56</Lines>
  <Paragraphs>15</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IEEE P802.15-23-0345-00-0thz</vt:lpstr>
      <vt:lpstr>IEEE P802.15-23-0345-00-0thz</vt:lpstr>
      <vt:lpstr>IEEE P802.15-23-0xxx-00-0thz</vt:lpstr>
    </vt:vector>
  </TitlesOfParts>
  <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P802.18-23-0073-00-0thz</dc:title>
  <dc:subject>Proposal to send information to APG23-6 meeting</dc:subject>
  <dc:creator>Ken Hiraga</dc:creator>
  <cp:lastModifiedBy>Thomas Kuerner</cp:lastModifiedBy>
  <cp:revision>4</cp:revision>
  <cp:lastPrinted>2012-04-16T11:57:00Z</cp:lastPrinted>
  <dcterms:created xsi:type="dcterms:W3CDTF">2023-07-10T15:39:00Z</dcterms:created>
  <dcterms:modified xsi:type="dcterms:W3CDTF">2023-07-10T20:32:00Z</dcterms:modified>
</cp:coreProperties>
</file>