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615"/>
        <w:gridCol w:w="2430"/>
        <w:gridCol w:w="1170"/>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558F6C7C" w:rsidR="002E16F1" w:rsidRDefault="007C1BD0" w:rsidP="00390B91">
            <w:pPr>
              <w:pStyle w:val="T2"/>
              <w:widowControl w:val="0"/>
              <w:ind w:left="337" w:right="293"/>
              <w:rPr>
                <w:b w:val="0"/>
              </w:rPr>
            </w:pPr>
            <w:r w:rsidRPr="007C1BD0">
              <w:rPr>
                <w:b w:val="0"/>
              </w:rPr>
              <w:t xml:space="preserve">Proposed Response to </w:t>
            </w:r>
            <w:r w:rsidR="00390B91">
              <w:rPr>
                <w:b w:val="0"/>
              </w:rPr>
              <w:t>UAE TDRA</w:t>
            </w:r>
            <w:r w:rsidR="00D43F67">
              <w:rPr>
                <w:b w:val="0"/>
              </w:rPr>
              <w:t xml:space="preserve">’s consultation </w:t>
            </w:r>
            <w:r w:rsidR="00390B91">
              <w:rPr>
                <w:b w:val="0"/>
              </w:rPr>
              <w:t>on UWB and SRDs</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3291B04C" w:rsidR="002E16F1" w:rsidRDefault="00027F68" w:rsidP="00832420">
            <w:pPr>
              <w:pStyle w:val="T2"/>
              <w:widowControl w:val="0"/>
              <w:ind w:left="0"/>
              <w:rPr>
                <w:b w:val="0"/>
                <w:sz w:val="20"/>
              </w:rPr>
            </w:pPr>
            <w:r>
              <w:rPr>
                <w:b w:val="0"/>
                <w:sz w:val="20"/>
              </w:rPr>
              <w:t>Date:  2023-0</w:t>
            </w:r>
            <w:r w:rsidR="009B10C0">
              <w:rPr>
                <w:b w:val="0"/>
                <w:sz w:val="20"/>
              </w:rPr>
              <w:t>6</w:t>
            </w:r>
            <w:r>
              <w:rPr>
                <w:b w:val="0"/>
                <w:sz w:val="20"/>
              </w:rPr>
              <w:t>-</w:t>
            </w:r>
            <w:r w:rsidR="00B64670">
              <w:rPr>
                <w:b w:val="0"/>
                <w:sz w:val="20"/>
              </w:rPr>
              <w:t>21</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CE5547">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17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20E26" w14:paraId="0C92DBBB" w14:textId="77777777" w:rsidTr="00CE5547">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069AC04F" w14:textId="4C4BFB03" w:rsidR="00220E26" w:rsidRDefault="00E565ED" w:rsidP="004849FD">
            <w:pPr>
              <w:pStyle w:val="T2"/>
              <w:widowControl w:val="0"/>
              <w:spacing w:after="0"/>
              <w:ind w:left="0" w:right="0"/>
              <w:jc w:val="left"/>
              <w:rPr>
                <w:b w:val="0"/>
                <w:sz w:val="20"/>
              </w:rPr>
            </w:pPr>
            <w:r>
              <w:rPr>
                <w:b w:val="0"/>
                <w:sz w:val="20"/>
              </w:rPr>
              <w:t>David Goodall</w:t>
            </w:r>
          </w:p>
        </w:tc>
        <w:tc>
          <w:tcPr>
            <w:tcW w:w="2430" w:type="dxa"/>
            <w:tcBorders>
              <w:top w:val="single" w:sz="4" w:space="0" w:color="000000"/>
              <w:left w:val="single" w:sz="4" w:space="0" w:color="000000"/>
              <w:bottom w:val="single" w:sz="4" w:space="0" w:color="000000"/>
              <w:right w:val="single" w:sz="4" w:space="0" w:color="000000"/>
            </w:tcBorders>
            <w:vAlign w:val="center"/>
          </w:tcPr>
          <w:p w14:paraId="79D04082" w14:textId="301DC6C4" w:rsidR="00220E26" w:rsidRDefault="00E565ED" w:rsidP="004849FD">
            <w:pPr>
              <w:pStyle w:val="T2"/>
              <w:widowControl w:val="0"/>
              <w:spacing w:after="0"/>
              <w:ind w:left="0" w:right="0"/>
              <w:jc w:val="left"/>
              <w:rPr>
                <w:b w:val="0"/>
                <w:sz w:val="20"/>
              </w:rPr>
            </w:pPr>
            <w:r>
              <w:rPr>
                <w:b w:val="0"/>
                <w:sz w:val="20"/>
              </w:rPr>
              <w:t>Morse Micro</w:t>
            </w:r>
          </w:p>
        </w:tc>
        <w:tc>
          <w:tcPr>
            <w:tcW w:w="1170" w:type="dxa"/>
            <w:tcBorders>
              <w:top w:val="single" w:sz="4" w:space="0" w:color="000000"/>
              <w:left w:val="single" w:sz="4" w:space="0" w:color="000000"/>
              <w:bottom w:val="single" w:sz="4" w:space="0" w:color="000000"/>
              <w:right w:val="single" w:sz="4" w:space="0" w:color="000000"/>
            </w:tcBorders>
            <w:vAlign w:val="center"/>
          </w:tcPr>
          <w:p w14:paraId="4547A2B4" w14:textId="77777777" w:rsidR="00220E26" w:rsidRDefault="00220E26" w:rsidP="004849FD">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839A762" w14:textId="77777777" w:rsidR="00220E26" w:rsidRDefault="00220E26" w:rsidP="004849F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6D74C32" w14:textId="42944FEF" w:rsidR="00220E26" w:rsidRDefault="00FE200E" w:rsidP="004849FD">
            <w:pPr>
              <w:pStyle w:val="T2"/>
              <w:widowControl w:val="0"/>
              <w:spacing w:after="0"/>
              <w:ind w:left="0" w:right="0"/>
              <w:jc w:val="left"/>
              <w:rPr>
                <w:b w:val="0"/>
                <w:sz w:val="20"/>
              </w:rPr>
            </w:pPr>
            <w:hyperlink r:id="rId8" w:history="1">
              <w:r w:rsidR="00E565ED" w:rsidRPr="00A55CCF">
                <w:rPr>
                  <w:rStyle w:val="Hyperlink"/>
                  <w:b w:val="0"/>
                  <w:sz w:val="20"/>
                </w:rPr>
                <w:t>dave@morsemicro.com</w:t>
              </w:r>
            </w:hyperlink>
          </w:p>
        </w:tc>
      </w:tr>
      <w:tr w:rsidR="002E16F1" w14:paraId="65DFDF05" w14:textId="77777777" w:rsidTr="00CE5547">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649BF1AF" w14:textId="33CABB9B" w:rsidR="002E16F1" w:rsidRDefault="00E565ED">
            <w:pPr>
              <w:pStyle w:val="T2"/>
              <w:widowControl w:val="0"/>
              <w:spacing w:after="0"/>
              <w:ind w:left="0" w:right="0"/>
              <w:jc w:val="left"/>
              <w:rPr>
                <w:b w:val="0"/>
                <w:sz w:val="20"/>
              </w:rPr>
            </w:pPr>
            <w:r>
              <w:rPr>
                <w:b w:val="0"/>
                <w:sz w:val="20"/>
              </w:rPr>
              <w:t>David Halasz</w:t>
            </w:r>
          </w:p>
        </w:tc>
        <w:tc>
          <w:tcPr>
            <w:tcW w:w="2430" w:type="dxa"/>
            <w:tcBorders>
              <w:top w:val="single" w:sz="4" w:space="0" w:color="000000"/>
              <w:left w:val="single" w:sz="4" w:space="0" w:color="000000"/>
              <w:bottom w:val="single" w:sz="4" w:space="0" w:color="000000"/>
              <w:right w:val="single" w:sz="4" w:space="0" w:color="000000"/>
            </w:tcBorders>
            <w:vAlign w:val="center"/>
          </w:tcPr>
          <w:p w14:paraId="4D939FF7" w14:textId="102A454A" w:rsidR="002E16F1" w:rsidRDefault="00E565ED">
            <w:pPr>
              <w:pStyle w:val="T2"/>
              <w:widowControl w:val="0"/>
              <w:spacing w:after="0"/>
              <w:ind w:left="0" w:right="0"/>
              <w:jc w:val="left"/>
              <w:rPr>
                <w:b w:val="0"/>
                <w:sz w:val="20"/>
              </w:rPr>
            </w:pPr>
            <w:r>
              <w:rPr>
                <w:b w:val="0"/>
                <w:sz w:val="20"/>
              </w:rPr>
              <w:t>Morse Micro</w:t>
            </w:r>
          </w:p>
        </w:tc>
        <w:tc>
          <w:tcPr>
            <w:tcW w:w="1170"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2019AD4" w:rsidR="002E16F1" w:rsidRDefault="00FE200E">
            <w:pPr>
              <w:pStyle w:val="T2"/>
              <w:widowControl w:val="0"/>
              <w:spacing w:after="0"/>
              <w:ind w:left="0" w:right="0"/>
              <w:jc w:val="left"/>
              <w:rPr>
                <w:b w:val="0"/>
                <w:sz w:val="20"/>
              </w:rPr>
            </w:pPr>
            <w:hyperlink r:id="rId9" w:history="1">
              <w:r w:rsidR="00CE5547" w:rsidRPr="00845D53">
                <w:rPr>
                  <w:rStyle w:val="Hyperlink"/>
                  <w:b w:val="0"/>
                  <w:sz w:val="20"/>
                </w:rPr>
                <w:t>dave.halasz@ieee.org</w:t>
              </w:r>
            </w:hyperlink>
            <w:r w:rsidR="00CE5547">
              <w:rPr>
                <w:b w:val="0"/>
                <w:sz w:val="20"/>
              </w:rPr>
              <w:t xml:space="preserve"> </w:t>
            </w:r>
          </w:p>
        </w:tc>
      </w:tr>
      <w:tr w:rsidR="00506AF6" w14:paraId="51F654DF" w14:textId="77777777" w:rsidTr="00CE5547">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3101EAE0" w14:textId="57B9361C" w:rsidR="00506AF6" w:rsidRDefault="00506AF6">
            <w:pPr>
              <w:pStyle w:val="T2"/>
              <w:widowControl w:val="0"/>
              <w:spacing w:after="0"/>
              <w:ind w:left="0" w:right="0"/>
              <w:jc w:val="left"/>
              <w:rPr>
                <w:b w:val="0"/>
                <w:sz w:val="20"/>
              </w:rPr>
            </w:pPr>
            <w:r>
              <w:rPr>
                <w:b w:val="0"/>
                <w:sz w:val="20"/>
              </w:rPr>
              <w:t>D</w:t>
            </w:r>
            <w:r w:rsidRPr="00506AF6">
              <w:rPr>
                <w:b w:val="0"/>
                <w:sz w:val="20"/>
              </w:rPr>
              <w:t>ries Neirynck</w:t>
            </w:r>
          </w:p>
        </w:tc>
        <w:tc>
          <w:tcPr>
            <w:tcW w:w="2430" w:type="dxa"/>
            <w:tcBorders>
              <w:top w:val="single" w:sz="4" w:space="0" w:color="000000"/>
              <w:left w:val="single" w:sz="4" w:space="0" w:color="000000"/>
              <w:bottom w:val="single" w:sz="4" w:space="0" w:color="000000"/>
              <w:right w:val="single" w:sz="4" w:space="0" w:color="000000"/>
            </w:tcBorders>
            <w:vAlign w:val="center"/>
          </w:tcPr>
          <w:p w14:paraId="319C7289" w14:textId="77371238" w:rsidR="00506AF6" w:rsidRDefault="00506AF6">
            <w:pPr>
              <w:pStyle w:val="T2"/>
              <w:widowControl w:val="0"/>
              <w:spacing w:after="0"/>
              <w:ind w:left="0" w:right="0"/>
              <w:jc w:val="left"/>
              <w:rPr>
                <w:b w:val="0"/>
                <w:sz w:val="20"/>
              </w:rPr>
            </w:pPr>
            <w:r w:rsidRPr="00506AF6">
              <w:rPr>
                <w:b w:val="0"/>
                <w:sz w:val="20"/>
              </w:rPr>
              <w:t>Ultra-radio</w:t>
            </w:r>
            <w:r>
              <w:rPr>
                <w:b w:val="0"/>
                <w:sz w:val="20"/>
              </w:rPr>
              <w:t>, UWB Alliance</w:t>
            </w:r>
          </w:p>
        </w:tc>
        <w:tc>
          <w:tcPr>
            <w:tcW w:w="1170" w:type="dxa"/>
            <w:tcBorders>
              <w:top w:val="single" w:sz="4" w:space="0" w:color="000000"/>
              <w:left w:val="single" w:sz="4" w:space="0" w:color="000000"/>
              <w:bottom w:val="single" w:sz="4" w:space="0" w:color="000000"/>
              <w:right w:val="single" w:sz="4" w:space="0" w:color="000000"/>
            </w:tcBorders>
            <w:vAlign w:val="center"/>
          </w:tcPr>
          <w:p w14:paraId="59E2BF78" w14:textId="77777777" w:rsidR="00506AF6" w:rsidRDefault="00506AF6">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AD8464B" w14:textId="77777777" w:rsidR="00506AF6" w:rsidRDefault="00506AF6">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60D9413" w14:textId="01AA21A4" w:rsidR="00506AF6" w:rsidRDefault="00FE200E">
            <w:pPr>
              <w:pStyle w:val="T2"/>
              <w:widowControl w:val="0"/>
              <w:spacing w:after="0"/>
              <w:ind w:left="0" w:right="0"/>
              <w:jc w:val="left"/>
              <w:rPr>
                <w:b w:val="0"/>
                <w:sz w:val="20"/>
              </w:rPr>
            </w:pPr>
            <w:hyperlink r:id="rId10" w:history="1">
              <w:r w:rsidR="00CE5547" w:rsidRPr="00845D53">
                <w:rPr>
                  <w:rStyle w:val="Hyperlink"/>
                  <w:b w:val="0"/>
                  <w:sz w:val="20"/>
                </w:rPr>
                <w:t>dries.neirynck@ultra-radio.com</w:t>
              </w:r>
            </w:hyperlink>
            <w:r w:rsidR="00CE5547">
              <w:rPr>
                <w:b w:val="0"/>
                <w:sz w:val="20"/>
              </w:rPr>
              <w:t xml:space="preserve"> </w:t>
            </w:r>
          </w:p>
        </w:tc>
      </w:tr>
      <w:tr w:rsidR="00D87374" w14:paraId="4F5B9181" w14:textId="77777777" w:rsidTr="0029227D">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49AD007A" w14:textId="77777777" w:rsidR="00D87374" w:rsidRPr="00506AF6" w:rsidRDefault="00D87374" w:rsidP="0029227D">
            <w:pPr>
              <w:pStyle w:val="T2"/>
              <w:widowControl w:val="0"/>
              <w:spacing w:after="0"/>
              <w:ind w:left="0" w:right="0"/>
              <w:jc w:val="left"/>
              <w:rPr>
                <w:b w:val="0"/>
                <w:sz w:val="20"/>
              </w:rPr>
            </w:pPr>
            <w:r>
              <w:rPr>
                <w:b w:val="0"/>
                <w:sz w:val="20"/>
              </w:rPr>
              <w:t>Benjamin Rolfe</w:t>
            </w:r>
          </w:p>
        </w:tc>
        <w:tc>
          <w:tcPr>
            <w:tcW w:w="2430" w:type="dxa"/>
            <w:tcBorders>
              <w:top w:val="single" w:sz="4" w:space="0" w:color="000000"/>
              <w:left w:val="single" w:sz="4" w:space="0" w:color="000000"/>
              <w:bottom w:val="single" w:sz="4" w:space="0" w:color="000000"/>
              <w:right w:val="single" w:sz="4" w:space="0" w:color="000000"/>
            </w:tcBorders>
            <w:vAlign w:val="center"/>
          </w:tcPr>
          <w:p w14:paraId="0CF83246" w14:textId="77777777" w:rsidR="00D87374" w:rsidRPr="00506AF6" w:rsidRDefault="00D87374" w:rsidP="0029227D">
            <w:pPr>
              <w:pStyle w:val="T2"/>
              <w:widowControl w:val="0"/>
              <w:spacing w:after="0"/>
              <w:ind w:left="0" w:right="0"/>
              <w:jc w:val="left"/>
              <w:rPr>
                <w:b w:val="0"/>
                <w:sz w:val="20"/>
              </w:rPr>
            </w:pPr>
            <w:r>
              <w:rPr>
                <w:b w:val="0"/>
                <w:sz w:val="20"/>
              </w:rPr>
              <w:t>BCA, UWB Alliance</w:t>
            </w:r>
          </w:p>
        </w:tc>
        <w:tc>
          <w:tcPr>
            <w:tcW w:w="1170" w:type="dxa"/>
            <w:tcBorders>
              <w:top w:val="single" w:sz="4" w:space="0" w:color="000000"/>
              <w:left w:val="single" w:sz="4" w:space="0" w:color="000000"/>
              <w:bottom w:val="single" w:sz="4" w:space="0" w:color="000000"/>
              <w:right w:val="single" w:sz="4" w:space="0" w:color="000000"/>
            </w:tcBorders>
            <w:vAlign w:val="center"/>
          </w:tcPr>
          <w:p w14:paraId="28AD54C3" w14:textId="77777777" w:rsidR="00D87374" w:rsidRDefault="00D87374" w:rsidP="0029227D">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C99928F" w14:textId="77777777" w:rsidR="00D87374" w:rsidRDefault="00D87374" w:rsidP="0029227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9849FF" w14:textId="77777777" w:rsidR="00D87374" w:rsidRDefault="00D87374" w:rsidP="0029227D">
            <w:pPr>
              <w:pStyle w:val="T2"/>
              <w:widowControl w:val="0"/>
              <w:spacing w:after="0"/>
              <w:ind w:left="0" w:right="0"/>
              <w:jc w:val="left"/>
              <w:rPr>
                <w:b w:val="0"/>
                <w:sz w:val="20"/>
              </w:rPr>
            </w:pPr>
            <w:hyperlink r:id="rId11" w:history="1">
              <w:r w:rsidRPr="00845D53">
                <w:rPr>
                  <w:rStyle w:val="Hyperlink"/>
                  <w:b w:val="0"/>
                  <w:sz w:val="20"/>
                </w:rPr>
                <w:t>Ben.Rolfe@ieee.org</w:t>
              </w:r>
            </w:hyperlink>
            <w:r>
              <w:rPr>
                <w:b w:val="0"/>
                <w:sz w:val="20"/>
              </w:rPr>
              <w:t xml:space="preserve">  </w:t>
            </w:r>
          </w:p>
        </w:tc>
      </w:tr>
      <w:tr w:rsidR="00506AF6" w14:paraId="1EC211F6" w14:textId="77777777" w:rsidTr="00CE5547">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60DF2F23" w14:textId="2C7FDC3D" w:rsidR="00506AF6" w:rsidRPr="00506AF6" w:rsidRDefault="00D87374">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6D204A1F" w14:textId="3444EA56" w:rsidR="00506AF6" w:rsidRPr="00506AF6" w:rsidRDefault="00D87374">
            <w:pPr>
              <w:pStyle w:val="T2"/>
              <w:widowControl w:val="0"/>
              <w:spacing w:after="0"/>
              <w:ind w:left="0" w:right="0"/>
              <w:jc w:val="left"/>
              <w:rPr>
                <w:b w:val="0"/>
                <w:sz w:val="20"/>
              </w:rPr>
            </w:pPr>
            <w:r>
              <w:rPr>
                <w:b w:val="0"/>
                <w:sz w:val="20"/>
              </w:rPr>
              <w:t>Huawei</w:t>
            </w:r>
          </w:p>
        </w:tc>
        <w:tc>
          <w:tcPr>
            <w:tcW w:w="1170" w:type="dxa"/>
            <w:tcBorders>
              <w:top w:val="single" w:sz="4" w:space="0" w:color="000000"/>
              <w:left w:val="single" w:sz="4" w:space="0" w:color="000000"/>
              <w:bottom w:val="single" w:sz="4" w:space="0" w:color="000000"/>
              <w:right w:val="single" w:sz="4" w:space="0" w:color="000000"/>
            </w:tcBorders>
            <w:vAlign w:val="center"/>
          </w:tcPr>
          <w:p w14:paraId="0AC8837F" w14:textId="77777777" w:rsidR="00506AF6" w:rsidRDefault="00506AF6">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96958E8" w14:textId="77777777" w:rsidR="00506AF6" w:rsidRDefault="00506AF6">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98497D7" w14:textId="5B6CC62B" w:rsidR="00506AF6" w:rsidRDefault="00D87374">
            <w:pPr>
              <w:pStyle w:val="T2"/>
              <w:widowControl w:val="0"/>
              <w:spacing w:after="0"/>
              <w:ind w:left="0" w:right="0"/>
              <w:jc w:val="left"/>
              <w:rPr>
                <w:b w:val="0"/>
                <w:sz w:val="20"/>
              </w:rPr>
            </w:pPr>
            <w:r>
              <w:rPr>
                <w:rStyle w:val="Hyperlink"/>
                <w:b w:val="0"/>
                <w:sz w:val="20"/>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76614C5D">
                <wp:simplePos x="0" y="0"/>
                <wp:positionH relativeFrom="column">
                  <wp:posOffset>-119743</wp:posOffset>
                </wp:positionH>
                <wp:positionV relativeFrom="paragraph">
                  <wp:posOffset>207282</wp:posOffset>
                </wp:positionV>
                <wp:extent cx="6150429" cy="2846160"/>
                <wp:effectExtent l="0" t="0" r="3175" b="0"/>
                <wp:wrapNone/>
                <wp:docPr id="1" name="Ram1"/>
                <wp:cNvGraphicFramePr/>
                <a:graphic xmlns:a="http://schemas.openxmlformats.org/drawingml/2006/main">
                  <a:graphicData uri="http://schemas.microsoft.com/office/word/2010/wordprocessingShape">
                    <wps:wsp>
                      <wps:cNvSpPr/>
                      <wps:spPr>
                        <a:xfrm>
                          <a:off x="0" y="0"/>
                          <a:ext cx="6150429"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E70DC36" w14:textId="4C267F05" w:rsidR="002E16F1" w:rsidRDefault="00BB50B1" w:rsidP="00220E26">
                            <w:pPr>
                              <w:pStyle w:val="FrameContents"/>
                              <w:jc w:val="both"/>
                              <w:rPr>
                                <w:color w:val="000000"/>
                              </w:rPr>
                            </w:pPr>
                            <w:r>
                              <w:rPr>
                                <w:color w:val="000000"/>
                              </w:rPr>
                              <w:t xml:space="preserve">This document drafts a proposed response to </w:t>
                            </w:r>
                            <w:r w:rsidR="007C1BD0">
                              <w:rPr>
                                <w:color w:val="000000"/>
                              </w:rPr>
                              <w:t xml:space="preserve">the </w:t>
                            </w:r>
                            <w:r w:rsidR="00390B91">
                              <w:rPr>
                                <w:color w:val="000000"/>
                              </w:rPr>
                              <w:t>UAE TDRA</w:t>
                            </w:r>
                            <w:r w:rsidR="00D43F67">
                              <w:rPr>
                                <w:color w:val="000000"/>
                              </w:rPr>
                              <w:t xml:space="preserve">’s consultation </w:t>
                            </w:r>
                            <w:r w:rsidR="00390B91">
                              <w:rPr>
                                <w:color w:val="000000"/>
                              </w:rPr>
                              <w:t>“</w:t>
                            </w:r>
                            <w:r w:rsidR="00390B91" w:rsidRPr="00390B91">
                              <w:rPr>
                                <w:color w:val="000000"/>
                              </w:rPr>
                              <w:t>TDRA Regulations– Ultra Wide Band and Short Range Devices</w:t>
                            </w:r>
                            <w:r w:rsidR="00390B91">
                              <w:rPr>
                                <w:color w:val="000000"/>
                              </w:rPr>
                              <w:t>”.</w:t>
                            </w:r>
                          </w:p>
                          <w:p w14:paraId="4ABCFBE0" w14:textId="77777777" w:rsidR="002E16F1" w:rsidRDefault="002E16F1">
                            <w:pPr>
                              <w:pStyle w:val="Raminnehll"/>
                              <w:jc w:val="both"/>
                              <w:rPr>
                                <w:color w:val="000000"/>
                              </w:rPr>
                            </w:pPr>
                          </w:p>
                        </w:txbxContent>
                      </wps:txbx>
                      <wps:bodyPr wrap="square" anchor="t">
                        <a:noAutofit/>
                      </wps:bodyPr>
                    </wps:wsp>
                  </a:graphicData>
                </a:graphic>
                <wp14:sizeRelH relativeFrom="margin">
                  <wp14:pctWidth>0</wp14:pctWidth>
                </wp14:sizeRelH>
              </wp:anchor>
            </w:drawing>
          </mc:Choice>
          <mc:Fallback>
            <w:pict>
              <v:rect w14:anchorId="2FD112BB" id="Ram1" o:spid="_x0000_s1026" style="position:absolute;left:0;text-align:left;margin-left:-9.45pt;margin-top:16.3pt;width:484.3pt;height:224.1pt;z-index: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" o:allowincell="f" stroked="f" strokeweight="0">
                <v:textbox>
                  <w:txbxContent>
                    <w:p w14:paraId="7E70DC36" w14:textId="4C267F05" w:rsidR="002E16F1" w:rsidRDefault="00BB50B1" w:rsidP="00220E26">
                      <w:pPr>
                        <w:pStyle w:val="FrameContents"/>
                        <w:jc w:val="both"/>
                        <w:rPr>
                          <w:color w:val="000000"/>
                        </w:rPr>
                      </w:pPr>
                      <w:r>
                        <w:rPr>
                          <w:color w:val="000000"/>
                        </w:rPr>
                        <w:t xml:space="preserve">This document drafts a proposed response to </w:t>
                      </w:r>
                      <w:r w:rsidR="007C1BD0">
                        <w:rPr>
                          <w:color w:val="000000"/>
                        </w:rPr>
                        <w:t xml:space="preserve">the </w:t>
                      </w:r>
                      <w:r w:rsidR="00390B91">
                        <w:rPr>
                          <w:color w:val="000000"/>
                        </w:rPr>
                        <w:t>UAE TDRA</w:t>
                      </w:r>
                      <w:r w:rsidR="00D43F67">
                        <w:rPr>
                          <w:color w:val="000000"/>
                        </w:rPr>
                        <w:t xml:space="preserve">’s consultation </w:t>
                      </w:r>
                      <w:r w:rsidR="00390B91">
                        <w:rPr>
                          <w:color w:val="000000"/>
                        </w:rPr>
                        <w:t>“</w:t>
                      </w:r>
                      <w:r w:rsidR="00390B91" w:rsidRPr="00390B91">
                        <w:rPr>
                          <w:color w:val="000000"/>
                        </w:rPr>
                        <w:t>TDRA Regulations– Ultra Wide Band and Short Range Devices</w:t>
                      </w:r>
                      <w:r w:rsidR="00390B91">
                        <w:rPr>
                          <w:color w:val="000000"/>
                        </w:rPr>
                        <w:t>”.</w:t>
                      </w: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7B742EF7"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w:t>
      </w:r>
      <w:r w:rsidR="00C7098A">
        <w:rPr>
          <w:sz w:val="24"/>
          <w:szCs w:val="24"/>
        </w:rPr>
        <w:t xml:space="preserve">  </w:t>
      </w:r>
      <w:r w:rsidRPr="007C1BD0">
        <w:rPr>
          <w:sz w:val="24"/>
          <w:szCs w:val="24"/>
        </w:rPr>
        <w:t xml:space="preserve"> </w:t>
      </w:r>
      <w:r w:rsidR="00346385">
        <w:rPr>
          <w:sz w:val="24"/>
          <w:szCs w:val="24"/>
        </w:rPr>
        <w:t xml:space="preserve">   </w:t>
      </w:r>
      <w:r w:rsidR="00C7098A">
        <w:rPr>
          <w:sz w:val="24"/>
          <w:szCs w:val="24"/>
        </w:rPr>
        <w:t xml:space="preserve">July </w:t>
      </w:r>
      <w:r w:rsidR="00F03E3D">
        <w:rPr>
          <w:sz w:val="24"/>
          <w:szCs w:val="24"/>
        </w:rPr>
        <w:t>7</w:t>
      </w:r>
      <w:r w:rsidRPr="007C1BD0">
        <w:rPr>
          <w:sz w:val="24"/>
          <w:szCs w:val="24"/>
        </w:rPr>
        <w:t>, 2023</w:t>
      </w:r>
    </w:p>
    <w:p w14:paraId="2E58D05D" w14:textId="77777777" w:rsidR="002E16F1" w:rsidRPr="007C1BD0" w:rsidRDefault="002E16F1">
      <w:pPr>
        <w:rPr>
          <w:color w:val="000000"/>
          <w:sz w:val="24"/>
          <w:szCs w:val="24"/>
        </w:rPr>
      </w:pPr>
    </w:p>
    <w:p w14:paraId="0700CB36" w14:textId="295FB59A" w:rsidR="007C1BD0" w:rsidRPr="00C7098A" w:rsidRDefault="007C1BD0" w:rsidP="007C1BD0">
      <w:pPr>
        <w:jc w:val="both"/>
        <w:rPr>
          <w:bCs/>
          <w:sz w:val="24"/>
          <w:szCs w:val="24"/>
        </w:rPr>
      </w:pPr>
      <w:r w:rsidRPr="00C7098A">
        <w:rPr>
          <w:color w:val="000000"/>
          <w:sz w:val="24"/>
          <w:szCs w:val="24"/>
        </w:rPr>
        <w:t xml:space="preserve">Re:  </w:t>
      </w:r>
      <w:r w:rsidRPr="00C7098A">
        <w:rPr>
          <w:sz w:val="24"/>
          <w:szCs w:val="24"/>
        </w:rPr>
        <w:t>Consultation</w:t>
      </w:r>
      <w:r w:rsidR="00346385" w:rsidRPr="00C7098A">
        <w:rPr>
          <w:sz w:val="24"/>
          <w:szCs w:val="24"/>
        </w:rPr>
        <w:t xml:space="preserve"> </w:t>
      </w:r>
      <w:r w:rsidR="00F03E3D" w:rsidRPr="00F03E3D">
        <w:rPr>
          <w:sz w:val="24"/>
          <w:szCs w:val="24"/>
        </w:rPr>
        <w:t>“TDRA Regulations– Ultra Wid</w:t>
      </w:r>
      <w:r w:rsidR="00F03E3D">
        <w:rPr>
          <w:sz w:val="24"/>
          <w:szCs w:val="24"/>
        </w:rPr>
        <w:t>e Band and Short Range Devices”</w:t>
      </w:r>
    </w:p>
    <w:p w14:paraId="44809CFA" w14:textId="77777777" w:rsidR="007C1BD0" w:rsidRPr="007C1BD0" w:rsidRDefault="007C1BD0" w:rsidP="007C1BD0">
      <w:pPr>
        <w:pStyle w:val="PlainText"/>
        <w:rPr>
          <w:rFonts w:ascii="Times New Roman" w:hAnsi="Times New Roman"/>
          <w:bCs/>
          <w:sz w:val="24"/>
          <w:szCs w:val="24"/>
        </w:rPr>
      </w:pPr>
    </w:p>
    <w:p w14:paraId="1512EBCE" w14:textId="2D664441" w:rsidR="007C1BD0" w:rsidRPr="007C1BD0" w:rsidRDefault="00C7098A" w:rsidP="000D01ED">
      <w:pPr>
        <w:pStyle w:val="PlainText"/>
        <w:rPr>
          <w:rFonts w:ascii="Times New Roman" w:hAnsi="Times New Roman"/>
          <w:bCs/>
          <w:sz w:val="24"/>
          <w:szCs w:val="24"/>
        </w:rPr>
      </w:pPr>
      <w:r>
        <w:rPr>
          <w:rFonts w:ascii="Times New Roman" w:hAnsi="Times New Roman"/>
          <w:bCs/>
          <w:sz w:val="24"/>
          <w:szCs w:val="24"/>
        </w:rPr>
        <w:t xml:space="preserve">Dear </w:t>
      </w:r>
      <w:r w:rsidR="00D41AC6" w:rsidRPr="00D41AC6">
        <w:rPr>
          <w:rFonts w:ascii="Times New Roman" w:hAnsi="Times New Roman"/>
          <w:bCs/>
          <w:sz w:val="24"/>
          <w:szCs w:val="24"/>
        </w:rPr>
        <w:t>Executive Director Spectrum Affairs</w:t>
      </w:r>
      <w:r w:rsidR="008643CC">
        <w:rPr>
          <w:rFonts w:ascii="Times New Roman" w:hAnsi="Times New Roman"/>
          <w:bCs/>
          <w:sz w:val="24"/>
          <w:szCs w:val="24"/>
        </w:rPr>
        <w:t>,</w:t>
      </w:r>
    </w:p>
    <w:p w14:paraId="11ECEE2B" w14:textId="77777777" w:rsidR="007C1BD0" w:rsidRPr="007C1BD0" w:rsidRDefault="007C1BD0" w:rsidP="007C1BD0">
      <w:pPr>
        <w:pStyle w:val="PlainText"/>
        <w:rPr>
          <w:rFonts w:ascii="Times New Roman" w:hAnsi="Times New Roman"/>
          <w:sz w:val="24"/>
          <w:szCs w:val="24"/>
        </w:rPr>
      </w:pPr>
    </w:p>
    <w:p w14:paraId="4979A12A" w14:textId="05E3319A" w:rsidR="007C1BD0" w:rsidRPr="007C1BD0" w:rsidRDefault="007C1BD0" w:rsidP="007C1BD0">
      <w:pPr>
        <w:jc w:val="both"/>
        <w:rPr>
          <w:bCs/>
          <w:sz w:val="24"/>
          <w:szCs w:val="24"/>
        </w:rPr>
      </w:pPr>
      <w:r w:rsidRPr="007C1BD0">
        <w:rPr>
          <w:sz w:val="24"/>
          <w:szCs w:val="24"/>
        </w:rPr>
        <w:t xml:space="preserve">IEEE 802 LAN/MAN Standards Committee (LMSC) thanks </w:t>
      </w:r>
      <w:r w:rsidR="00003693">
        <w:rPr>
          <w:sz w:val="24"/>
          <w:szCs w:val="24"/>
        </w:rPr>
        <w:t>t</w:t>
      </w:r>
      <w:r w:rsidR="00003693" w:rsidRPr="007C1BD0">
        <w:rPr>
          <w:sz w:val="24"/>
          <w:szCs w:val="24"/>
        </w:rPr>
        <w:t xml:space="preserve">he </w:t>
      </w:r>
      <w:r w:rsidR="004B43A8" w:rsidRPr="004B43A8">
        <w:rPr>
          <w:sz w:val="24"/>
          <w:szCs w:val="24"/>
        </w:rPr>
        <w:t>Telecommunications and Digital Government Regulatory Authority (TDRA) of the United Arab Emirates (UAE)</w:t>
      </w:r>
      <w:r w:rsidR="00346385">
        <w:rPr>
          <w:sz w:val="24"/>
          <w:szCs w:val="24"/>
        </w:rPr>
        <w:t xml:space="preserve"> </w:t>
      </w:r>
      <w:r w:rsidRPr="007C1BD0">
        <w:rPr>
          <w:sz w:val="24"/>
          <w:szCs w:val="24"/>
        </w:rPr>
        <w:t xml:space="preserve">for issuing the consultation </w:t>
      </w:r>
      <w:r w:rsidR="00C7098A" w:rsidRPr="00C7098A">
        <w:rPr>
          <w:sz w:val="24"/>
          <w:szCs w:val="24"/>
        </w:rPr>
        <w:t>“</w:t>
      </w:r>
      <w:r w:rsidR="004B43A8" w:rsidRPr="004B43A8">
        <w:rPr>
          <w:sz w:val="24"/>
          <w:szCs w:val="24"/>
        </w:rPr>
        <w:t>TDRA Regulations– Ultra Wide Band and Short Range Devices v4.0</w:t>
      </w:r>
      <w:r w:rsidR="00C7098A" w:rsidRPr="00C7098A">
        <w:rPr>
          <w:sz w:val="24"/>
          <w:szCs w:val="24"/>
        </w:rPr>
        <w:t>”</w:t>
      </w:r>
      <w:r w:rsidR="00C7098A">
        <w:rPr>
          <w:sz w:val="24"/>
          <w:szCs w:val="24"/>
        </w:rPr>
        <w:t xml:space="preserve"> </w:t>
      </w:r>
      <w:r w:rsidRPr="007C1BD0">
        <w:rPr>
          <w:sz w:val="24"/>
          <w:szCs w:val="24"/>
        </w:rPr>
        <w:t xml:space="preserve">and for the opportunity to provide feedback on </w:t>
      </w:r>
      <w:r w:rsidR="00C7098A">
        <w:rPr>
          <w:sz w:val="24"/>
          <w:szCs w:val="24"/>
        </w:rPr>
        <w:t>this topic</w:t>
      </w:r>
      <w:r w:rsidRPr="007C1BD0">
        <w:rPr>
          <w:sz w:val="24"/>
          <w:szCs w:val="24"/>
        </w:rPr>
        <w:t>.</w:t>
      </w:r>
    </w:p>
    <w:p w14:paraId="5A28B547" w14:textId="77777777" w:rsidR="007C1BD0" w:rsidRPr="007C1BD0" w:rsidRDefault="007C1BD0" w:rsidP="007C1BD0">
      <w:pPr>
        <w:jc w:val="both"/>
        <w:rPr>
          <w:sz w:val="24"/>
          <w:szCs w:val="24"/>
        </w:rPr>
      </w:pPr>
    </w:p>
    <w:p w14:paraId="66BF49A5" w14:textId="77777777" w:rsidR="007C1BD0" w:rsidRPr="007C1BD0" w:rsidRDefault="007C1BD0" w:rsidP="007C1BD0">
      <w:pPr>
        <w:jc w:val="both"/>
        <w:rPr>
          <w:sz w:val="24"/>
          <w:szCs w:val="24"/>
        </w:rPr>
      </w:pPr>
      <w:r w:rsidRPr="007C1BD0">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7C1BD0" w:rsidRDefault="007C1BD0" w:rsidP="007C1BD0">
      <w:pPr>
        <w:jc w:val="both"/>
        <w:rPr>
          <w:sz w:val="24"/>
          <w:szCs w:val="24"/>
        </w:rPr>
      </w:pPr>
    </w:p>
    <w:p w14:paraId="6A8721FF" w14:textId="77777777" w:rsidR="007C1BD0" w:rsidRPr="007C1BD0" w:rsidRDefault="007C1BD0" w:rsidP="007C1BD0">
      <w:pPr>
        <w:jc w:val="both"/>
        <w:rPr>
          <w:sz w:val="24"/>
          <w:szCs w:val="24"/>
        </w:rPr>
      </w:pPr>
      <w:r w:rsidRPr="007C1BD0">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7C1BD0">
        <w:rPr>
          <w:rStyle w:val="FootnoteAnchor"/>
          <w:sz w:val="24"/>
          <w:szCs w:val="24"/>
        </w:rPr>
        <w:footnoteReference w:id="1"/>
      </w:r>
      <w:r w:rsidRPr="007C1BD0">
        <w:rPr>
          <w:sz w:val="24"/>
          <w:szCs w:val="24"/>
        </w:rPr>
        <w:t>.</w:t>
      </w:r>
    </w:p>
    <w:p w14:paraId="353C543B" w14:textId="77777777" w:rsidR="007C1BD0" w:rsidRDefault="007C1BD0" w:rsidP="007C1BD0">
      <w:pPr>
        <w:jc w:val="both"/>
        <w:rPr>
          <w:sz w:val="24"/>
          <w:szCs w:val="24"/>
        </w:rPr>
      </w:pPr>
    </w:p>
    <w:p w14:paraId="18FD6409" w14:textId="77777777" w:rsidR="002D2BE3" w:rsidRPr="001C7F1F" w:rsidRDefault="002D2BE3" w:rsidP="002D2BE3">
      <w:pPr>
        <w:jc w:val="both"/>
        <w:rPr>
          <w:b/>
          <w:sz w:val="24"/>
          <w:szCs w:val="24"/>
        </w:rPr>
      </w:pPr>
      <w:r w:rsidRPr="001C7F1F">
        <w:rPr>
          <w:b/>
          <w:sz w:val="24"/>
          <w:szCs w:val="24"/>
        </w:rPr>
        <w:t>Current and future state of IEEE 802 wireless technology development</w:t>
      </w:r>
    </w:p>
    <w:p w14:paraId="13C7A8D5" w14:textId="77777777" w:rsidR="001C7F1F" w:rsidRDefault="001C7F1F" w:rsidP="002D2BE3">
      <w:pPr>
        <w:jc w:val="both"/>
        <w:rPr>
          <w:sz w:val="24"/>
          <w:szCs w:val="24"/>
        </w:rPr>
      </w:pPr>
    </w:p>
    <w:p w14:paraId="4BF35BBA" w14:textId="77F294DE" w:rsidR="002D2BE3" w:rsidRPr="002D2BE3" w:rsidRDefault="002D2BE3" w:rsidP="002D2BE3">
      <w:pPr>
        <w:jc w:val="both"/>
        <w:rPr>
          <w:sz w:val="24"/>
          <w:szCs w:val="24"/>
        </w:rPr>
      </w:pPr>
      <w:r w:rsidRPr="002D2BE3">
        <w:rPr>
          <w:sz w:val="24"/>
          <w:szCs w:val="24"/>
        </w:rPr>
        <w:t>Significant economic value is provided by IEEE 802-based systems today. Wi-Fi technology, based on the IEEE 802.11 standard, has an estimated 18 billion devices in use worldwide, with over 4 billion devices added annually [1]. The current deployments of IEEE 802.15 devices are found in markets ranging from consumer devices to</w:t>
      </w:r>
      <w:r w:rsidR="00380C51">
        <w:rPr>
          <w:sz w:val="24"/>
          <w:szCs w:val="24"/>
        </w:rPr>
        <w:t xml:space="preserve"> smart gird/smart city, large scale IoT,</w:t>
      </w:r>
      <w:r w:rsidRPr="002D2BE3">
        <w:rPr>
          <w:sz w:val="24"/>
          <w:szCs w:val="24"/>
        </w:rPr>
        <w:t xml:space="preserve"> industrial plants, automobiles to buildings and agriculture to space.  IEEE 802 wireless technologies are a critical part of the modern communications infrastructure, benefiting billions of people, governments, and businesses every day. Underserved communities stand to gain from IEEE 802 wireless technologies. They are used in community networks both to empower and provide an opportunity for education. IEEE 802 wireless technologies are in the forefront as an enabler of emerging applications such as </w:t>
      </w:r>
      <w:r w:rsidR="00216A76">
        <w:rPr>
          <w:sz w:val="24"/>
          <w:szCs w:val="24"/>
        </w:rPr>
        <w:t>the Internet of Things (IoT)</w:t>
      </w:r>
      <w:r w:rsidRPr="002D2BE3">
        <w:rPr>
          <w:sz w:val="24"/>
          <w:szCs w:val="24"/>
        </w:rPr>
        <w:t>.</w:t>
      </w:r>
    </w:p>
    <w:p w14:paraId="5212B9B9" w14:textId="77777777" w:rsidR="002D2BE3" w:rsidRPr="002D2BE3" w:rsidRDefault="002D2BE3" w:rsidP="002D2BE3">
      <w:pPr>
        <w:jc w:val="both"/>
        <w:rPr>
          <w:sz w:val="24"/>
          <w:szCs w:val="24"/>
        </w:rPr>
      </w:pPr>
    </w:p>
    <w:p w14:paraId="336BCF2A" w14:textId="77777777" w:rsidR="002D2BE3" w:rsidRPr="002D2BE3" w:rsidRDefault="002D2BE3" w:rsidP="002D2BE3">
      <w:pPr>
        <w:jc w:val="both"/>
        <w:rPr>
          <w:sz w:val="24"/>
          <w:szCs w:val="24"/>
        </w:rPr>
      </w:pPr>
      <w:r w:rsidRPr="002D2BE3">
        <w:rPr>
          <w:sz w:val="24"/>
          <w:szCs w:val="24"/>
        </w:rPr>
        <w:t>IEEE 802.11</w:t>
      </w:r>
    </w:p>
    <w:p w14:paraId="49F759BF" w14:textId="30460422" w:rsidR="002D2BE3" w:rsidRPr="002D2BE3" w:rsidRDefault="002D2BE3" w:rsidP="002D2BE3">
      <w:pPr>
        <w:jc w:val="both"/>
        <w:rPr>
          <w:sz w:val="24"/>
          <w:szCs w:val="24"/>
        </w:rPr>
      </w:pPr>
      <w:r w:rsidRPr="002D2BE3">
        <w:rPr>
          <w:sz w:val="24"/>
          <w:szCs w:val="24"/>
        </w:rPr>
        <w:t>Today, Wi-Fi networks based on IEEE 802.11 standards are found in residential, office, and industrial environments, in public and private settings. U</w:t>
      </w:r>
      <w:r>
        <w:rPr>
          <w:sz w:val="24"/>
          <w:szCs w:val="24"/>
        </w:rPr>
        <w:t xml:space="preserve">sers in an array of industries </w:t>
      </w:r>
      <w:r w:rsidRPr="002D2BE3">
        <w:rPr>
          <w:sz w:val="24"/>
          <w:szCs w:val="24"/>
        </w:rPr>
        <w:t xml:space="preserve">rely on these cost-effective, energy-efficient technologies. Each new generation of IEEE 802.11 technologies continues to improve efficiency, reliability, latency, throughput and determinism. IEEE 802.11 supports operation in several frequency bands [2], including the </w:t>
      </w:r>
      <w:r w:rsidR="00EE772D">
        <w:rPr>
          <w:sz w:val="24"/>
          <w:szCs w:val="24"/>
        </w:rPr>
        <w:t xml:space="preserve">sub-1 GHz, 2.4 GHz, 5 GHz, and </w:t>
      </w:r>
      <w:r w:rsidRPr="002D2BE3">
        <w:rPr>
          <w:sz w:val="24"/>
          <w:szCs w:val="24"/>
        </w:rPr>
        <w:t>6 GHz (5925 MHz to 7125 MHz) band</w:t>
      </w:r>
      <w:r w:rsidR="00EE772D">
        <w:rPr>
          <w:sz w:val="24"/>
          <w:szCs w:val="24"/>
        </w:rPr>
        <w:t>s</w:t>
      </w:r>
      <w:r w:rsidRPr="002D2BE3">
        <w:rPr>
          <w:sz w:val="24"/>
          <w:szCs w:val="24"/>
        </w:rPr>
        <w:t xml:space="preserve">, with significant </w:t>
      </w:r>
      <w:r w:rsidR="007F446F">
        <w:rPr>
          <w:sz w:val="24"/>
          <w:szCs w:val="24"/>
        </w:rPr>
        <w:t xml:space="preserve">global </w:t>
      </w:r>
      <w:r w:rsidRPr="002D2BE3">
        <w:rPr>
          <w:sz w:val="24"/>
          <w:szCs w:val="24"/>
        </w:rPr>
        <w:t xml:space="preserve">deployments [3]. </w:t>
      </w:r>
    </w:p>
    <w:p w14:paraId="313AC5E9" w14:textId="77777777" w:rsidR="002D2BE3" w:rsidRPr="002D2BE3" w:rsidRDefault="002D2BE3" w:rsidP="002D2BE3">
      <w:pPr>
        <w:jc w:val="both"/>
        <w:rPr>
          <w:sz w:val="24"/>
          <w:szCs w:val="24"/>
        </w:rPr>
      </w:pPr>
    </w:p>
    <w:p w14:paraId="36C74719" w14:textId="77777777" w:rsidR="002D2BE3" w:rsidRPr="002D2BE3" w:rsidRDefault="002D2BE3" w:rsidP="002D2BE3">
      <w:pPr>
        <w:jc w:val="both"/>
        <w:rPr>
          <w:sz w:val="24"/>
          <w:szCs w:val="24"/>
        </w:rPr>
      </w:pPr>
      <w:r w:rsidRPr="002D2BE3">
        <w:rPr>
          <w:sz w:val="24"/>
          <w:szCs w:val="24"/>
        </w:rPr>
        <w:t>IEEE 802.15</w:t>
      </w:r>
    </w:p>
    <w:p w14:paraId="15FF608D" w14:textId="7B0B9372" w:rsidR="002D2BE3" w:rsidRDefault="002D2BE3" w:rsidP="002D2BE3">
      <w:pPr>
        <w:jc w:val="both"/>
        <w:rPr>
          <w:sz w:val="24"/>
          <w:szCs w:val="24"/>
        </w:rPr>
      </w:pPr>
      <w:r w:rsidRPr="002D2BE3">
        <w:rPr>
          <w:sz w:val="24"/>
          <w:szCs w:val="24"/>
        </w:rPr>
        <w:t xml:space="preserve">Technologies based on IEEE 802.15 standards and projects are embedded in </w:t>
      </w:r>
      <w:r w:rsidR="00380C51">
        <w:rPr>
          <w:sz w:val="24"/>
          <w:szCs w:val="24"/>
        </w:rPr>
        <w:t>billions of devices worldwide and the in particular IEEE 802.15.4</w:t>
      </w:r>
      <w:r w:rsidR="00E202C4">
        <w:rPr>
          <w:sz w:val="24"/>
          <w:szCs w:val="24"/>
        </w:rPr>
        <w:t>z</w:t>
      </w:r>
      <w:r w:rsidR="007C317A">
        <w:rPr>
          <w:sz w:val="24"/>
          <w:szCs w:val="24"/>
        </w:rPr>
        <w:t>-2020</w:t>
      </w:r>
      <w:r w:rsidR="00380C51">
        <w:rPr>
          <w:sz w:val="24"/>
          <w:szCs w:val="24"/>
        </w:rPr>
        <w:t xml:space="preserve"> </w:t>
      </w:r>
      <w:r w:rsidR="008938F0">
        <w:rPr>
          <w:sz w:val="24"/>
          <w:szCs w:val="24"/>
        </w:rPr>
        <w:t xml:space="preserve">standard </w:t>
      </w:r>
      <w:r w:rsidR="007C317A">
        <w:rPr>
          <w:sz w:val="24"/>
          <w:szCs w:val="24"/>
        </w:rPr>
        <w:t>[</w:t>
      </w:r>
      <w:r w:rsidR="00B306FC">
        <w:rPr>
          <w:sz w:val="24"/>
          <w:szCs w:val="24"/>
        </w:rPr>
        <w:t>4</w:t>
      </w:r>
      <w:r w:rsidR="007C317A">
        <w:rPr>
          <w:sz w:val="24"/>
          <w:szCs w:val="24"/>
        </w:rPr>
        <w:t xml:space="preserve">] </w:t>
      </w:r>
      <w:r w:rsidR="00380C51">
        <w:rPr>
          <w:sz w:val="24"/>
          <w:szCs w:val="24"/>
        </w:rPr>
        <w:t xml:space="preserve">is prevalent in consumer devices such as smart phones and accessories, vehicles, and is being added to </w:t>
      </w:r>
      <w:r w:rsidRPr="002D2BE3">
        <w:rPr>
          <w:sz w:val="24"/>
          <w:szCs w:val="24"/>
        </w:rPr>
        <w:t xml:space="preserve">an increasing number of devices. For some applications, such as cars or utilities, industry consortia exist to </w:t>
      </w:r>
      <w:r w:rsidR="00380C51">
        <w:rPr>
          <w:sz w:val="24"/>
          <w:szCs w:val="24"/>
        </w:rPr>
        <w:t xml:space="preserve">build on the standard(s) and provide the support ecosystem to enable very large scale </w:t>
      </w:r>
      <w:r w:rsidRPr="002D2BE3">
        <w:rPr>
          <w:sz w:val="24"/>
          <w:szCs w:val="24"/>
        </w:rPr>
        <w:t xml:space="preserve">deployments. For other applications, proprietary protocols are used in conjunction with IEEE 802 standards. IEEE 802.15.4 </w:t>
      </w:r>
      <w:r w:rsidR="008938F0">
        <w:rPr>
          <w:sz w:val="24"/>
          <w:szCs w:val="24"/>
        </w:rPr>
        <w:t xml:space="preserve">standard </w:t>
      </w:r>
      <w:r w:rsidR="007C317A">
        <w:rPr>
          <w:sz w:val="24"/>
          <w:szCs w:val="24"/>
        </w:rPr>
        <w:t>[</w:t>
      </w:r>
      <w:r w:rsidR="00B306FC">
        <w:rPr>
          <w:sz w:val="24"/>
          <w:szCs w:val="24"/>
        </w:rPr>
        <w:t>5</w:t>
      </w:r>
      <w:r w:rsidR="007C317A">
        <w:rPr>
          <w:sz w:val="24"/>
          <w:szCs w:val="24"/>
        </w:rPr>
        <w:t xml:space="preserve">] </w:t>
      </w:r>
      <w:r w:rsidR="008938F0">
        <w:rPr>
          <w:sz w:val="24"/>
          <w:szCs w:val="24"/>
        </w:rPr>
        <w:t xml:space="preserve">support </w:t>
      </w:r>
      <w:r w:rsidRPr="002D2BE3">
        <w:rPr>
          <w:sz w:val="24"/>
          <w:szCs w:val="24"/>
        </w:rPr>
        <w:t>operat</w:t>
      </w:r>
      <w:r w:rsidR="008938F0">
        <w:rPr>
          <w:sz w:val="24"/>
          <w:szCs w:val="24"/>
        </w:rPr>
        <w:t>ion</w:t>
      </w:r>
      <w:r w:rsidRPr="002D2BE3">
        <w:rPr>
          <w:sz w:val="24"/>
          <w:szCs w:val="24"/>
        </w:rPr>
        <w:t xml:space="preserve"> in many frequency ranges </w:t>
      </w:r>
      <w:r w:rsidR="00380C51">
        <w:rPr>
          <w:sz w:val="24"/>
          <w:szCs w:val="24"/>
        </w:rPr>
        <w:t>including sub-1</w:t>
      </w:r>
      <w:r w:rsidR="0090327A">
        <w:rPr>
          <w:sz w:val="24"/>
          <w:szCs w:val="24"/>
        </w:rPr>
        <w:t xml:space="preserve"> </w:t>
      </w:r>
      <w:r w:rsidR="00380C51">
        <w:rPr>
          <w:sz w:val="24"/>
          <w:szCs w:val="24"/>
        </w:rPr>
        <w:t xml:space="preserve">GHz </w:t>
      </w:r>
      <w:r w:rsidR="0090327A">
        <w:rPr>
          <w:sz w:val="24"/>
          <w:szCs w:val="24"/>
        </w:rPr>
        <w:t xml:space="preserve">bands </w:t>
      </w:r>
      <w:r w:rsidR="00380C51">
        <w:rPr>
          <w:sz w:val="24"/>
          <w:szCs w:val="24"/>
        </w:rPr>
        <w:t xml:space="preserve">and </w:t>
      </w:r>
      <w:r w:rsidR="0090327A">
        <w:rPr>
          <w:sz w:val="24"/>
          <w:szCs w:val="24"/>
        </w:rPr>
        <w:t xml:space="preserve">3.1 GHz to 10.6 GHz bands for </w:t>
      </w:r>
      <w:r w:rsidR="00380C51">
        <w:rPr>
          <w:sz w:val="24"/>
          <w:szCs w:val="24"/>
        </w:rPr>
        <w:t xml:space="preserve">UWB </w:t>
      </w:r>
      <w:bookmarkStart w:id="0" w:name="_GoBack"/>
      <w:bookmarkEnd w:id="0"/>
      <w:r w:rsidR="007C317A" w:rsidRPr="002D2BE3">
        <w:rPr>
          <w:sz w:val="24"/>
          <w:szCs w:val="24"/>
        </w:rPr>
        <w:t>[2]</w:t>
      </w:r>
      <w:r w:rsidR="008938F0">
        <w:rPr>
          <w:sz w:val="24"/>
          <w:szCs w:val="24"/>
        </w:rPr>
        <w:t>, and it</w:t>
      </w:r>
      <w:r w:rsidRPr="002D2BE3">
        <w:rPr>
          <w:sz w:val="24"/>
          <w:szCs w:val="24"/>
        </w:rPr>
        <w:t xml:space="preserve"> </w:t>
      </w:r>
      <w:r w:rsidR="008938F0">
        <w:rPr>
          <w:sz w:val="24"/>
          <w:szCs w:val="24"/>
        </w:rPr>
        <w:t>s</w:t>
      </w:r>
      <w:r w:rsidR="008938F0" w:rsidRPr="002D2BE3">
        <w:rPr>
          <w:sz w:val="24"/>
          <w:szCs w:val="24"/>
        </w:rPr>
        <w:t xml:space="preserve">upports </w:t>
      </w:r>
      <w:r w:rsidRPr="002D2BE3">
        <w:rPr>
          <w:sz w:val="24"/>
          <w:szCs w:val="24"/>
        </w:rPr>
        <w:t>data communication, location discovery</w:t>
      </w:r>
      <w:r w:rsidR="008938F0">
        <w:rPr>
          <w:sz w:val="24"/>
          <w:szCs w:val="24"/>
        </w:rPr>
        <w:t>,</w:t>
      </w:r>
      <w:r w:rsidRPr="002D2BE3">
        <w:rPr>
          <w:sz w:val="24"/>
          <w:szCs w:val="24"/>
        </w:rPr>
        <w:t xml:space="preserve"> and device ranging. IEEE P802.15.6ma is specialized for short range communication in the vicinity of, or inside, a human body. For high-speed, low-latency media transfers, IEEE 802.15.3 provides a specialty solution. IEEE P802.15.16t accommodates the needs of some utility networks.</w:t>
      </w:r>
    </w:p>
    <w:p w14:paraId="3F2B18F4" w14:textId="77777777" w:rsidR="00380C51" w:rsidRDefault="00380C51" w:rsidP="002D2BE3">
      <w:pPr>
        <w:jc w:val="both"/>
        <w:rPr>
          <w:sz w:val="24"/>
          <w:szCs w:val="24"/>
        </w:rPr>
      </w:pPr>
    </w:p>
    <w:p w14:paraId="52FFB4B9" w14:textId="2FC3D946" w:rsidR="00380C51" w:rsidRPr="002D2BE3" w:rsidRDefault="00380C51" w:rsidP="002D2BE3">
      <w:pPr>
        <w:jc w:val="both"/>
        <w:rPr>
          <w:sz w:val="24"/>
          <w:szCs w:val="24"/>
        </w:rPr>
      </w:pPr>
      <w:r>
        <w:rPr>
          <w:sz w:val="24"/>
          <w:szCs w:val="24"/>
        </w:rPr>
        <w:t>Technologies and industry specifications based upon IEEE 802.15.4</w:t>
      </w:r>
      <w:r w:rsidR="00E202C4">
        <w:rPr>
          <w:sz w:val="24"/>
          <w:szCs w:val="24"/>
        </w:rPr>
        <w:t xml:space="preserve"> standard</w:t>
      </w:r>
      <w:r>
        <w:rPr>
          <w:sz w:val="24"/>
          <w:szCs w:val="24"/>
        </w:rPr>
        <w:t xml:space="preserve"> operating in sub-1 GHz </w:t>
      </w:r>
      <w:r w:rsidR="00E202C4">
        <w:rPr>
          <w:sz w:val="24"/>
          <w:szCs w:val="24"/>
        </w:rPr>
        <w:t xml:space="preserve">band </w:t>
      </w:r>
      <w:r>
        <w:rPr>
          <w:sz w:val="24"/>
          <w:szCs w:val="24"/>
        </w:rPr>
        <w:t>are widely used in industrial and metro-area IoT and are the dominant wireless technologies for low data rate IoT such as smart grid uses such as metering and monitoring, and in smart city uses such as environmental monitoring and street light controls.</w:t>
      </w:r>
    </w:p>
    <w:p w14:paraId="0127CC3B" w14:textId="77777777" w:rsidR="002D2BE3" w:rsidRDefault="002D2BE3" w:rsidP="002D2BE3">
      <w:pPr>
        <w:jc w:val="both"/>
        <w:rPr>
          <w:sz w:val="24"/>
          <w:szCs w:val="24"/>
        </w:rPr>
      </w:pPr>
    </w:p>
    <w:p w14:paraId="4419B32B" w14:textId="4FF40D5D" w:rsidR="00746223" w:rsidRDefault="00746223" w:rsidP="002D2BE3">
      <w:pPr>
        <w:jc w:val="both"/>
        <w:rPr>
          <w:sz w:val="24"/>
          <w:szCs w:val="24"/>
        </w:rPr>
      </w:pPr>
      <w:r>
        <w:rPr>
          <w:sz w:val="24"/>
          <w:szCs w:val="24"/>
        </w:rPr>
        <w:t>IEEE 802.15.4</w:t>
      </w:r>
      <w:r w:rsidR="00E202C4">
        <w:rPr>
          <w:sz w:val="24"/>
          <w:szCs w:val="24"/>
        </w:rPr>
        <w:t>z</w:t>
      </w:r>
      <w:r w:rsidR="00B306FC">
        <w:rPr>
          <w:sz w:val="24"/>
          <w:szCs w:val="24"/>
        </w:rPr>
        <w:t>-2020</w:t>
      </w:r>
      <w:r w:rsidR="00E202C4">
        <w:rPr>
          <w:sz w:val="24"/>
          <w:szCs w:val="24"/>
        </w:rPr>
        <w:t xml:space="preserve"> standard</w:t>
      </w:r>
      <w:r>
        <w:rPr>
          <w:sz w:val="24"/>
          <w:szCs w:val="24"/>
        </w:rPr>
        <w:t xml:space="preserve"> is the only widely used industry standard for UWB currently, being the foundation of specifications from the Connected Car Consortium, FiRa, Omlox, and CSA.  Use of UWB in location based services and secure access is widespread today</w:t>
      </w:r>
      <w:r w:rsidR="00E202C4">
        <w:rPr>
          <w:sz w:val="24"/>
          <w:szCs w:val="24"/>
        </w:rPr>
        <w:t xml:space="preserve">. </w:t>
      </w:r>
      <w:commentRangeStart w:id="1"/>
      <w:r>
        <w:rPr>
          <w:sz w:val="24"/>
          <w:szCs w:val="24"/>
        </w:rPr>
        <w:t>Uwe</w:t>
      </w:r>
      <w:commentRangeEnd w:id="1"/>
      <w:r w:rsidR="00E202C4">
        <w:rPr>
          <w:rStyle w:val="CommentReference"/>
        </w:rPr>
        <w:commentReference w:id="1"/>
      </w:r>
      <w:r>
        <w:rPr>
          <w:sz w:val="24"/>
          <w:szCs w:val="24"/>
        </w:rPr>
        <w:t xml:space="preserve"> UWB is a rapidly growing with new applications such as sensing and presence detection, and very low latency moderate data rate communications such as high definition</w:t>
      </w:r>
      <w:r w:rsidR="00EC4BE1">
        <w:rPr>
          <w:sz w:val="24"/>
          <w:szCs w:val="24"/>
        </w:rPr>
        <w:t>,</w:t>
      </w:r>
      <w:r>
        <w:rPr>
          <w:sz w:val="24"/>
          <w:szCs w:val="24"/>
        </w:rPr>
        <w:t xml:space="preserve"> low latency au</w:t>
      </w:r>
      <w:r w:rsidR="00EC4BE1">
        <w:rPr>
          <w:sz w:val="24"/>
          <w:szCs w:val="24"/>
        </w:rPr>
        <w:t xml:space="preserve">dio. </w:t>
      </w:r>
      <w:r>
        <w:rPr>
          <w:sz w:val="24"/>
          <w:szCs w:val="24"/>
        </w:rPr>
        <w:t xml:space="preserve">Current projects in </w:t>
      </w:r>
      <w:r w:rsidR="00E202C4">
        <w:rPr>
          <w:sz w:val="24"/>
          <w:szCs w:val="24"/>
        </w:rPr>
        <w:t xml:space="preserve">IEEE </w:t>
      </w:r>
      <w:r>
        <w:rPr>
          <w:sz w:val="24"/>
          <w:szCs w:val="24"/>
        </w:rPr>
        <w:t xml:space="preserve">802.15 </w:t>
      </w:r>
      <w:r w:rsidR="00B306FC">
        <w:rPr>
          <w:sz w:val="24"/>
          <w:szCs w:val="24"/>
        </w:rPr>
        <w:t xml:space="preserve">[6] </w:t>
      </w:r>
      <w:r>
        <w:rPr>
          <w:sz w:val="24"/>
          <w:szCs w:val="24"/>
        </w:rPr>
        <w:t xml:space="preserve">are addressing these rapidly growing areas of innovation. </w:t>
      </w:r>
    </w:p>
    <w:p w14:paraId="6CE77B15" w14:textId="77777777" w:rsidR="00746223" w:rsidRPr="002D2BE3" w:rsidRDefault="00746223" w:rsidP="002D2BE3">
      <w:pPr>
        <w:jc w:val="both"/>
        <w:rPr>
          <w:sz w:val="24"/>
          <w:szCs w:val="24"/>
        </w:rPr>
      </w:pPr>
    </w:p>
    <w:p w14:paraId="6ED2A017" w14:textId="77777777" w:rsidR="002D2BE3" w:rsidRPr="002D2BE3" w:rsidRDefault="002D2BE3" w:rsidP="002D2BE3">
      <w:pPr>
        <w:jc w:val="both"/>
        <w:rPr>
          <w:sz w:val="24"/>
          <w:szCs w:val="24"/>
        </w:rPr>
      </w:pPr>
      <w:r w:rsidRPr="002D2BE3">
        <w:rPr>
          <w:sz w:val="24"/>
          <w:szCs w:val="24"/>
        </w:rPr>
        <w:t>IEEE 802.19</w:t>
      </w:r>
    </w:p>
    <w:p w14:paraId="21547617" w14:textId="37C2E711" w:rsidR="002D2BE3" w:rsidRPr="002D2BE3" w:rsidRDefault="002D2BE3" w:rsidP="002D2BE3">
      <w:pPr>
        <w:jc w:val="both"/>
        <w:rPr>
          <w:sz w:val="24"/>
          <w:szCs w:val="24"/>
        </w:rPr>
      </w:pPr>
      <w:r w:rsidRPr="002D2BE3">
        <w:rPr>
          <w:sz w:val="24"/>
          <w:szCs w:val="24"/>
        </w:rPr>
        <w:t>Many IEEE 802.15 standards, as well as the IEEE 802.11 standard, support operation on frequencies lower than 1 GHz. The IEEE 802.19 Wireless Coexistence Working Group published best practice coexistence mechanisms for sub-1 GHz technologies in 2021 [</w:t>
      </w:r>
      <w:r w:rsidR="00EC4BE1">
        <w:rPr>
          <w:sz w:val="24"/>
          <w:szCs w:val="24"/>
        </w:rPr>
        <w:t>7</w:t>
      </w:r>
      <w:r w:rsidRPr="002D2BE3">
        <w:rPr>
          <w:sz w:val="24"/>
          <w:szCs w:val="24"/>
        </w:rPr>
        <w:t xml:space="preserve">]. </w:t>
      </w:r>
    </w:p>
    <w:p w14:paraId="5DCF17FF" w14:textId="77777777" w:rsidR="002D2BE3" w:rsidRDefault="002D2BE3" w:rsidP="007C1BD0">
      <w:pPr>
        <w:jc w:val="both"/>
        <w:rPr>
          <w:sz w:val="24"/>
          <w:szCs w:val="24"/>
        </w:rPr>
      </w:pPr>
    </w:p>
    <w:p w14:paraId="60BAE08F" w14:textId="34144E02" w:rsidR="0083698E" w:rsidRDefault="0083698E" w:rsidP="007C1BD0">
      <w:pPr>
        <w:jc w:val="both"/>
        <w:rPr>
          <w:sz w:val="24"/>
          <w:szCs w:val="24"/>
        </w:rPr>
      </w:pPr>
      <w:r w:rsidRPr="007C1BD0">
        <w:rPr>
          <w:sz w:val="24"/>
          <w:szCs w:val="24"/>
        </w:rPr>
        <w:t>Please find below the responses of IEEE 802 LMSC to</w:t>
      </w:r>
      <w:r>
        <w:rPr>
          <w:sz w:val="24"/>
          <w:szCs w:val="24"/>
        </w:rPr>
        <w:t xml:space="preserve"> selected questions of this consultation, namely Questions 4, 5, 9, 11, 12, 13, 14, and 17.</w:t>
      </w:r>
    </w:p>
    <w:p w14:paraId="7C45C84E" w14:textId="77777777" w:rsidR="0083698E" w:rsidRDefault="0083698E" w:rsidP="007C1BD0">
      <w:pPr>
        <w:jc w:val="both"/>
        <w:rPr>
          <w:sz w:val="24"/>
          <w:szCs w:val="24"/>
        </w:rPr>
      </w:pPr>
    </w:p>
    <w:p w14:paraId="0AA45C76" w14:textId="38A51BB4" w:rsidR="00BD7EB4" w:rsidRPr="003009B8" w:rsidRDefault="001C7F1F" w:rsidP="007C317A">
      <w:pPr>
        <w:jc w:val="both"/>
      </w:pPr>
      <w:r w:rsidRPr="00635BBC">
        <w:rPr>
          <w:b/>
          <w:sz w:val="24"/>
          <w:szCs w:val="24"/>
        </w:rPr>
        <w:t>IEEE 802 LMSC’s response to Question 4</w:t>
      </w:r>
      <w:r w:rsidR="00306B35" w:rsidRPr="00306B35">
        <w:rPr>
          <w:b/>
          <w:sz w:val="24"/>
          <w:szCs w:val="24"/>
        </w:rPr>
        <w:t xml:space="preserve"> (</w:t>
      </w:r>
      <w:r w:rsidR="00BD7EB4" w:rsidRPr="00306B35">
        <w:rPr>
          <w:b/>
          <w:sz w:val="24"/>
          <w:szCs w:val="24"/>
        </w:rPr>
        <w:t>Do you agree with the above frequency bands? Do you have any proposed modifications/additions/suppressions to these frequency bands?</w:t>
      </w:r>
      <w:r w:rsidR="00306B35" w:rsidRPr="00306B35">
        <w:rPr>
          <w:b/>
          <w:sz w:val="24"/>
          <w:szCs w:val="24"/>
        </w:rPr>
        <w:t>)</w:t>
      </w:r>
    </w:p>
    <w:p w14:paraId="5E7BE246" w14:textId="77777777" w:rsidR="00BD7EB4" w:rsidRDefault="00BD7EB4" w:rsidP="00BD7EB4"/>
    <w:p w14:paraId="51A4753D" w14:textId="4BC01DDF" w:rsidR="00BD7EB4" w:rsidRPr="006F5ADD" w:rsidRDefault="00BD7EB4" w:rsidP="00EC4BE1">
      <w:pPr>
        <w:jc w:val="both"/>
        <w:rPr>
          <w:sz w:val="24"/>
          <w:szCs w:val="24"/>
        </w:rPr>
      </w:pPr>
      <w:r w:rsidRPr="006F5ADD">
        <w:rPr>
          <w:sz w:val="24"/>
          <w:szCs w:val="24"/>
        </w:rPr>
        <w:t>For wideband non-specific short range devices</w:t>
      </w:r>
      <w:r w:rsidR="004216E9">
        <w:rPr>
          <w:sz w:val="24"/>
          <w:szCs w:val="24"/>
        </w:rPr>
        <w:t xml:space="preserve"> (SRDs)</w:t>
      </w:r>
      <w:r w:rsidRPr="006F5ADD">
        <w:rPr>
          <w:sz w:val="24"/>
          <w:szCs w:val="24"/>
        </w:rPr>
        <w:t xml:space="preserve">, we recommend that </w:t>
      </w:r>
      <w:r w:rsidR="00EC4BE1">
        <w:rPr>
          <w:sz w:val="24"/>
          <w:szCs w:val="24"/>
        </w:rPr>
        <w:t>the TDRA</w:t>
      </w:r>
      <w:r w:rsidRPr="006F5ADD">
        <w:rPr>
          <w:sz w:val="24"/>
          <w:szCs w:val="24"/>
        </w:rPr>
        <w:t xml:space="preserve"> adopt either Proposal 1 or Proposal 2 </w:t>
      </w:r>
      <w:r w:rsidR="00EC4BE1">
        <w:rPr>
          <w:sz w:val="24"/>
          <w:szCs w:val="24"/>
        </w:rPr>
        <w:t xml:space="preserve">as shown </w:t>
      </w:r>
      <w:r w:rsidRPr="006F5ADD">
        <w:rPr>
          <w:sz w:val="24"/>
          <w:szCs w:val="24"/>
        </w:rPr>
        <w:t>below. Proposal 2 is preferred as it is likely to support a greater variety of IoT applications in the sub-1 GHz band and support</w:t>
      </w:r>
      <w:r w:rsidR="00EC4BE1">
        <w:rPr>
          <w:sz w:val="24"/>
          <w:szCs w:val="24"/>
        </w:rPr>
        <w:t>s</w:t>
      </w:r>
      <w:r w:rsidRPr="006F5ADD">
        <w:rPr>
          <w:sz w:val="24"/>
          <w:szCs w:val="24"/>
        </w:rPr>
        <w:t xml:space="preserve"> a </w:t>
      </w:r>
      <w:r w:rsidR="00771BDE" w:rsidRPr="006F5ADD">
        <w:rPr>
          <w:sz w:val="24"/>
          <w:szCs w:val="24"/>
        </w:rPr>
        <w:t xml:space="preserve">greater </w:t>
      </w:r>
      <w:r w:rsidRPr="006F5ADD">
        <w:rPr>
          <w:sz w:val="24"/>
          <w:szCs w:val="24"/>
        </w:rPr>
        <w:t>variety of wireless technologies.</w:t>
      </w:r>
    </w:p>
    <w:p w14:paraId="2D328EE3" w14:textId="77777777" w:rsidR="00BD7EB4" w:rsidRPr="006F5ADD" w:rsidRDefault="00BD7EB4" w:rsidP="00BD7EB4">
      <w:pPr>
        <w:rPr>
          <w:sz w:val="24"/>
          <w:szCs w:val="24"/>
        </w:rPr>
      </w:pPr>
    </w:p>
    <w:p w14:paraId="07A05942" w14:textId="7BF4961A" w:rsidR="00BD7EB4" w:rsidRPr="00EC4BE1" w:rsidRDefault="00BD7EB4" w:rsidP="004216E9">
      <w:pPr>
        <w:jc w:val="both"/>
        <w:rPr>
          <w:sz w:val="24"/>
          <w:szCs w:val="24"/>
          <w:u w:val="single"/>
        </w:rPr>
      </w:pPr>
      <w:r w:rsidRPr="00EC4BE1">
        <w:rPr>
          <w:sz w:val="24"/>
          <w:szCs w:val="24"/>
          <w:u w:val="single"/>
        </w:rPr>
        <w:t xml:space="preserve">Proposal 1: </w:t>
      </w:r>
      <w:r w:rsidR="00EC4BE1">
        <w:rPr>
          <w:sz w:val="24"/>
          <w:szCs w:val="24"/>
          <w:u w:val="single"/>
        </w:rPr>
        <w:t xml:space="preserve"> </w:t>
      </w:r>
      <w:r w:rsidRPr="00EC4BE1">
        <w:rPr>
          <w:sz w:val="24"/>
          <w:szCs w:val="24"/>
          <w:u w:val="single"/>
        </w:rPr>
        <w:t xml:space="preserve">Adopt </w:t>
      </w:r>
      <w:r w:rsidR="00EC4BE1">
        <w:rPr>
          <w:sz w:val="24"/>
          <w:szCs w:val="24"/>
          <w:u w:val="single"/>
        </w:rPr>
        <w:t xml:space="preserve">the </w:t>
      </w:r>
      <w:r w:rsidRPr="00EC4BE1">
        <w:rPr>
          <w:sz w:val="24"/>
          <w:szCs w:val="24"/>
          <w:u w:val="single"/>
        </w:rPr>
        <w:t xml:space="preserve">latest recommendations for wideband </w:t>
      </w:r>
      <w:r w:rsidR="004216E9">
        <w:rPr>
          <w:sz w:val="24"/>
          <w:szCs w:val="24"/>
          <w:u w:val="single"/>
        </w:rPr>
        <w:t>short range devices</w:t>
      </w:r>
      <w:r w:rsidRPr="00EC4BE1">
        <w:rPr>
          <w:sz w:val="24"/>
          <w:szCs w:val="24"/>
          <w:u w:val="single"/>
        </w:rPr>
        <w:t xml:space="preserve"> in CEPT </w:t>
      </w:r>
      <w:r w:rsidR="00EC4BE1">
        <w:rPr>
          <w:sz w:val="24"/>
          <w:szCs w:val="24"/>
          <w:u w:val="single"/>
        </w:rPr>
        <w:t xml:space="preserve">ERC Recommendation </w:t>
      </w:r>
      <w:r w:rsidRPr="00EC4BE1">
        <w:rPr>
          <w:sz w:val="24"/>
          <w:szCs w:val="24"/>
          <w:u w:val="single"/>
        </w:rPr>
        <w:t>70-03</w:t>
      </w:r>
    </w:p>
    <w:p w14:paraId="2D8CF4B2" w14:textId="77777777" w:rsidR="00BD7EB4" w:rsidRPr="006F5ADD" w:rsidRDefault="00BD7EB4" w:rsidP="00BD7EB4">
      <w:pPr>
        <w:rPr>
          <w:sz w:val="24"/>
          <w:szCs w:val="24"/>
        </w:rPr>
      </w:pPr>
    </w:p>
    <w:p w14:paraId="4D40CC1A" w14:textId="1FC79E22" w:rsidR="00BD7EB4" w:rsidRPr="006F5ADD" w:rsidRDefault="00BD7EB4" w:rsidP="00865DD0">
      <w:pPr>
        <w:jc w:val="both"/>
        <w:rPr>
          <w:sz w:val="24"/>
          <w:szCs w:val="24"/>
        </w:rPr>
      </w:pPr>
      <w:r w:rsidRPr="006F5ADD">
        <w:rPr>
          <w:sz w:val="24"/>
          <w:szCs w:val="24"/>
        </w:rPr>
        <w:t xml:space="preserve">In recognition of the growing demand for </w:t>
      </w:r>
      <w:r w:rsidR="00EC4BE1">
        <w:rPr>
          <w:sz w:val="24"/>
          <w:szCs w:val="24"/>
        </w:rPr>
        <w:t>IoT</w:t>
      </w:r>
      <w:r w:rsidRPr="006F5ADD">
        <w:rPr>
          <w:sz w:val="24"/>
          <w:szCs w:val="24"/>
        </w:rPr>
        <w:t xml:space="preserve"> app</w:t>
      </w:r>
      <w:r w:rsidR="00EC4BE1">
        <w:rPr>
          <w:sz w:val="24"/>
          <w:szCs w:val="24"/>
        </w:rPr>
        <w:t xml:space="preserve">lications in the sub-1 GHz band, </w:t>
      </w:r>
      <w:r w:rsidRPr="006F5ADD">
        <w:rPr>
          <w:sz w:val="24"/>
          <w:szCs w:val="24"/>
        </w:rPr>
        <w:t xml:space="preserve">CEPT </w:t>
      </w:r>
      <w:r w:rsidR="00EC4BE1">
        <w:rPr>
          <w:sz w:val="24"/>
          <w:szCs w:val="24"/>
        </w:rPr>
        <w:t xml:space="preserve">ERC Recommendation </w:t>
      </w:r>
      <w:r w:rsidRPr="006F5ADD">
        <w:rPr>
          <w:sz w:val="24"/>
          <w:szCs w:val="24"/>
        </w:rPr>
        <w:t xml:space="preserve">70-03 </w:t>
      </w:r>
      <w:r w:rsidR="00EC4BE1">
        <w:rPr>
          <w:sz w:val="24"/>
          <w:szCs w:val="24"/>
        </w:rPr>
        <w:t xml:space="preserve">[8] </w:t>
      </w:r>
      <w:r w:rsidRPr="006F5ADD">
        <w:rPr>
          <w:sz w:val="24"/>
          <w:szCs w:val="24"/>
        </w:rPr>
        <w:t>contains recommendations that allow wideband SRDs to operate in the 863</w:t>
      </w:r>
      <w:r w:rsidR="00865DD0">
        <w:rPr>
          <w:sz w:val="24"/>
          <w:szCs w:val="24"/>
        </w:rPr>
        <w:t xml:space="preserve"> MHz </w:t>
      </w:r>
      <w:r w:rsidRPr="006F5ADD">
        <w:rPr>
          <w:sz w:val="24"/>
          <w:szCs w:val="24"/>
        </w:rPr>
        <w:t>-</w:t>
      </w:r>
      <w:r w:rsidR="00865DD0">
        <w:rPr>
          <w:sz w:val="24"/>
          <w:szCs w:val="24"/>
        </w:rPr>
        <w:t xml:space="preserve"> </w:t>
      </w:r>
      <w:r w:rsidRPr="006F5ADD">
        <w:rPr>
          <w:sz w:val="24"/>
          <w:szCs w:val="24"/>
        </w:rPr>
        <w:t>868 MHz and 915.8</w:t>
      </w:r>
      <w:r w:rsidR="00865DD0">
        <w:rPr>
          <w:sz w:val="24"/>
          <w:szCs w:val="24"/>
        </w:rPr>
        <w:t xml:space="preserve"> MHz </w:t>
      </w:r>
      <w:r w:rsidRPr="006F5ADD">
        <w:rPr>
          <w:sz w:val="24"/>
          <w:szCs w:val="24"/>
        </w:rPr>
        <w:t>-</w:t>
      </w:r>
      <w:r w:rsidR="00865DD0">
        <w:rPr>
          <w:sz w:val="24"/>
          <w:szCs w:val="24"/>
        </w:rPr>
        <w:t xml:space="preserve"> </w:t>
      </w:r>
      <w:r w:rsidRPr="006F5ADD">
        <w:rPr>
          <w:sz w:val="24"/>
          <w:szCs w:val="24"/>
        </w:rPr>
        <w:t>919.4 MHz bands with maximum 1 MHz operating channels, transmit power of 25 mW ERP</w:t>
      </w:r>
      <w:r w:rsidR="00865DD0">
        <w:rPr>
          <w:sz w:val="24"/>
          <w:szCs w:val="24"/>
        </w:rPr>
        <w:t xml:space="preserve">, and </w:t>
      </w:r>
      <w:r w:rsidRPr="006F5ADD">
        <w:rPr>
          <w:sz w:val="24"/>
          <w:szCs w:val="24"/>
        </w:rPr>
        <w:t xml:space="preserve">duty cycle of 2.8% for stations and 10% for access </w:t>
      </w:r>
      <w:r w:rsidRPr="006F5ADD">
        <w:rPr>
          <w:sz w:val="24"/>
          <w:szCs w:val="24"/>
        </w:rPr>
        <w:lastRenderedPageBreak/>
        <w:t xml:space="preserve">points. See Table 3 in </w:t>
      </w:r>
      <w:r w:rsidR="00865DD0">
        <w:rPr>
          <w:sz w:val="24"/>
          <w:szCs w:val="24"/>
        </w:rPr>
        <w:t>[8] for details.</w:t>
      </w:r>
      <w:r w:rsidRPr="006F5ADD">
        <w:rPr>
          <w:sz w:val="24"/>
          <w:szCs w:val="24"/>
        </w:rPr>
        <w:t xml:space="preserve"> These recommendations reflect the decisions in the following documents:</w:t>
      </w:r>
    </w:p>
    <w:p w14:paraId="49E2F090" w14:textId="77777777" w:rsidR="00BD7EB4" w:rsidRPr="006F5ADD" w:rsidRDefault="00BD7EB4" w:rsidP="009273F5">
      <w:pPr>
        <w:pStyle w:val="ListParagraph"/>
        <w:numPr>
          <w:ilvl w:val="0"/>
          <w:numId w:val="7"/>
        </w:numPr>
        <w:jc w:val="both"/>
        <w:rPr>
          <w:rFonts w:ascii="Times New Roman" w:hAnsi="Times New Roman"/>
          <w:sz w:val="24"/>
          <w:szCs w:val="24"/>
        </w:rPr>
      </w:pPr>
      <w:r w:rsidRPr="006F5ADD">
        <w:rPr>
          <w:rFonts w:ascii="Times New Roman" w:hAnsi="Times New Roman"/>
          <w:sz w:val="24"/>
          <w:szCs w:val="24"/>
        </w:rPr>
        <w:t>Commission Implementing Decision (EU) 2017/1483 of 8 August 2017 amending Decision 2006/771/EC on harmonization of the radio spectrum for use by short-range devices and repealing Decision 2006/804/EC (notified under document C(2017) 5464)</w:t>
      </w:r>
    </w:p>
    <w:p w14:paraId="2233AC77" w14:textId="42D63760" w:rsidR="00BD7EB4" w:rsidRPr="006F5ADD" w:rsidRDefault="00BD7EB4" w:rsidP="009273F5">
      <w:pPr>
        <w:pStyle w:val="ListParagraph"/>
        <w:numPr>
          <w:ilvl w:val="1"/>
          <w:numId w:val="7"/>
        </w:numPr>
        <w:jc w:val="both"/>
        <w:rPr>
          <w:rFonts w:ascii="Times New Roman" w:hAnsi="Times New Roman"/>
          <w:sz w:val="24"/>
          <w:szCs w:val="24"/>
        </w:rPr>
      </w:pPr>
      <w:r w:rsidRPr="006F5ADD">
        <w:rPr>
          <w:rFonts w:ascii="Times New Roman" w:hAnsi="Times New Roman"/>
          <w:sz w:val="24"/>
          <w:szCs w:val="24"/>
        </w:rPr>
        <w:t>See Table 8, Band 84 for 863</w:t>
      </w:r>
      <w:r w:rsidR="00865DD0">
        <w:rPr>
          <w:rFonts w:ascii="Times New Roman" w:hAnsi="Times New Roman"/>
          <w:sz w:val="24"/>
          <w:szCs w:val="24"/>
        </w:rPr>
        <w:t xml:space="preserve"> </w:t>
      </w:r>
      <w:r w:rsidR="00865DD0" w:rsidRPr="006F5ADD">
        <w:rPr>
          <w:rFonts w:ascii="Times New Roman" w:hAnsi="Times New Roman"/>
          <w:sz w:val="24"/>
          <w:szCs w:val="24"/>
        </w:rPr>
        <w:t xml:space="preserve">MHz </w:t>
      </w:r>
      <w:r w:rsidRPr="006F5ADD">
        <w:rPr>
          <w:rFonts w:ascii="Times New Roman" w:hAnsi="Times New Roman"/>
          <w:sz w:val="24"/>
          <w:szCs w:val="24"/>
        </w:rPr>
        <w:t>-</w:t>
      </w:r>
      <w:r w:rsidR="00865DD0">
        <w:rPr>
          <w:rFonts w:ascii="Times New Roman" w:hAnsi="Times New Roman"/>
          <w:sz w:val="24"/>
          <w:szCs w:val="24"/>
        </w:rPr>
        <w:t xml:space="preserve"> </w:t>
      </w:r>
      <w:r w:rsidRPr="006F5ADD">
        <w:rPr>
          <w:rFonts w:ascii="Times New Roman" w:hAnsi="Times New Roman"/>
          <w:sz w:val="24"/>
          <w:szCs w:val="24"/>
        </w:rPr>
        <w:t xml:space="preserve">868 MHz in </w:t>
      </w:r>
      <w:r w:rsidR="00865DD0">
        <w:rPr>
          <w:rFonts w:ascii="Times New Roman" w:hAnsi="Times New Roman"/>
          <w:sz w:val="24"/>
          <w:szCs w:val="24"/>
        </w:rPr>
        <w:t>[9].</w:t>
      </w:r>
      <w:r w:rsidRPr="006F5ADD">
        <w:rPr>
          <w:rFonts w:ascii="Times New Roman" w:hAnsi="Times New Roman"/>
          <w:sz w:val="24"/>
          <w:szCs w:val="24"/>
        </w:rPr>
        <w:t xml:space="preserve"> </w:t>
      </w:r>
    </w:p>
    <w:p w14:paraId="336C1724" w14:textId="77777777" w:rsidR="00BD7EB4" w:rsidRPr="006F5ADD" w:rsidRDefault="00BD7EB4" w:rsidP="009273F5">
      <w:pPr>
        <w:pStyle w:val="ListParagraph"/>
        <w:numPr>
          <w:ilvl w:val="0"/>
          <w:numId w:val="7"/>
        </w:numPr>
        <w:jc w:val="both"/>
        <w:rPr>
          <w:rFonts w:ascii="Times New Roman" w:hAnsi="Times New Roman"/>
          <w:sz w:val="24"/>
          <w:szCs w:val="24"/>
        </w:rPr>
      </w:pPr>
      <w:r w:rsidRPr="006F5ADD">
        <w:rPr>
          <w:rFonts w:ascii="Times New Roman" w:hAnsi="Times New Roman"/>
          <w:sz w:val="24"/>
          <w:szCs w:val="24"/>
        </w:rPr>
        <w:t>Commission Implementing Decision (EU) 2018/1538 of 11 October 2018 on the harmonization of radio spectrum for use by short-range devices within the 874-876 and 915-921 MHz frequency bands</w:t>
      </w:r>
    </w:p>
    <w:p w14:paraId="54C0859C" w14:textId="65EFB42B" w:rsidR="00BD7EB4" w:rsidRPr="006F5ADD" w:rsidRDefault="00BD7EB4" w:rsidP="00BD7EB4">
      <w:pPr>
        <w:pStyle w:val="ListParagraph"/>
        <w:numPr>
          <w:ilvl w:val="1"/>
          <w:numId w:val="7"/>
        </w:numPr>
        <w:rPr>
          <w:rFonts w:ascii="Times New Roman" w:hAnsi="Times New Roman"/>
          <w:sz w:val="24"/>
          <w:szCs w:val="24"/>
        </w:rPr>
      </w:pPr>
      <w:r w:rsidRPr="006F5ADD">
        <w:rPr>
          <w:rFonts w:ascii="Times New Roman" w:hAnsi="Times New Roman"/>
          <w:sz w:val="24"/>
          <w:szCs w:val="24"/>
        </w:rPr>
        <w:t>See Band 2 for 91</w:t>
      </w:r>
      <w:r w:rsidR="009273F5">
        <w:rPr>
          <w:rFonts w:ascii="Times New Roman" w:hAnsi="Times New Roman"/>
          <w:sz w:val="24"/>
          <w:szCs w:val="24"/>
        </w:rPr>
        <w:t>7</w:t>
      </w:r>
      <w:r w:rsidRPr="006F5ADD">
        <w:rPr>
          <w:rFonts w:ascii="Times New Roman" w:hAnsi="Times New Roman"/>
          <w:sz w:val="24"/>
          <w:szCs w:val="24"/>
        </w:rPr>
        <w:t>.4</w:t>
      </w:r>
      <w:r w:rsidR="00865DD0">
        <w:rPr>
          <w:rFonts w:ascii="Times New Roman" w:hAnsi="Times New Roman"/>
          <w:sz w:val="24"/>
          <w:szCs w:val="24"/>
        </w:rPr>
        <w:t xml:space="preserve"> MHz </w:t>
      </w:r>
      <w:r w:rsidRPr="006F5ADD">
        <w:rPr>
          <w:rFonts w:ascii="Times New Roman" w:hAnsi="Times New Roman"/>
          <w:sz w:val="24"/>
          <w:szCs w:val="24"/>
        </w:rPr>
        <w:t>-</w:t>
      </w:r>
      <w:r w:rsidR="00865DD0">
        <w:rPr>
          <w:rFonts w:ascii="Times New Roman" w:hAnsi="Times New Roman"/>
          <w:sz w:val="24"/>
          <w:szCs w:val="24"/>
        </w:rPr>
        <w:t xml:space="preserve"> </w:t>
      </w:r>
      <w:r w:rsidRPr="006F5ADD">
        <w:rPr>
          <w:rFonts w:ascii="Times New Roman" w:hAnsi="Times New Roman"/>
          <w:sz w:val="24"/>
          <w:szCs w:val="24"/>
        </w:rPr>
        <w:t xml:space="preserve">919.4 MHz in </w:t>
      </w:r>
      <w:r w:rsidR="00865DD0">
        <w:rPr>
          <w:rFonts w:ascii="Times New Roman" w:hAnsi="Times New Roman"/>
          <w:sz w:val="24"/>
          <w:szCs w:val="24"/>
        </w:rPr>
        <w:t>[10]</w:t>
      </w:r>
      <w:r w:rsidRPr="006F5ADD">
        <w:rPr>
          <w:rFonts w:ascii="Times New Roman" w:hAnsi="Times New Roman"/>
          <w:sz w:val="24"/>
          <w:szCs w:val="24"/>
        </w:rPr>
        <w:t xml:space="preserve"> </w:t>
      </w:r>
    </w:p>
    <w:p w14:paraId="78D2A116" w14:textId="42DFD98B" w:rsidR="00BD7EB4" w:rsidRPr="006F5ADD" w:rsidRDefault="00BD7EB4" w:rsidP="009273F5">
      <w:pPr>
        <w:pStyle w:val="ListParagraph"/>
        <w:numPr>
          <w:ilvl w:val="1"/>
          <w:numId w:val="7"/>
        </w:numPr>
        <w:jc w:val="both"/>
        <w:rPr>
          <w:rFonts w:ascii="Times New Roman" w:hAnsi="Times New Roman"/>
          <w:sz w:val="24"/>
          <w:szCs w:val="24"/>
        </w:rPr>
      </w:pPr>
      <w:r w:rsidRPr="006F5ADD">
        <w:rPr>
          <w:rFonts w:ascii="Times New Roman" w:hAnsi="Times New Roman"/>
          <w:sz w:val="24"/>
          <w:szCs w:val="24"/>
        </w:rPr>
        <w:t xml:space="preserve">Note that CEPT </w:t>
      </w:r>
      <w:r w:rsidR="009273F5">
        <w:rPr>
          <w:rFonts w:ascii="Times New Roman" w:hAnsi="Times New Roman"/>
          <w:sz w:val="24"/>
          <w:szCs w:val="24"/>
        </w:rPr>
        <w:t xml:space="preserve">ERC Recommendation </w:t>
      </w:r>
      <w:r w:rsidRPr="006F5ADD">
        <w:rPr>
          <w:rFonts w:ascii="Times New Roman" w:hAnsi="Times New Roman"/>
          <w:sz w:val="24"/>
          <w:szCs w:val="24"/>
        </w:rPr>
        <w:t>70-03 recommends a wider band</w:t>
      </w:r>
      <w:r w:rsidR="009273F5">
        <w:rPr>
          <w:rFonts w:ascii="Times New Roman" w:hAnsi="Times New Roman"/>
          <w:sz w:val="24"/>
          <w:szCs w:val="24"/>
        </w:rPr>
        <w:t xml:space="preserve"> from</w:t>
      </w:r>
      <w:r w:rsidRPr="006F5ADD">
        <w:rPr>
          <w:rFonts w:ascii="Times New Roman" w:hAnsi="Times New Roman"/>
          <w:sz w:val="24"/>
          <w:szCs w:val="24"/>
        </w:rPr>
        <w:t xml:space="preserve"> 915.8</w:t>
      </w:r>
      <w:r w:rsidR="009273F5">
        <w:rPr>
          <w:rFonts w:ascii="Times New Roman" w:hAnsi="Times New Roman"/>
          <w:sz w:val="24"/>
          <w:szCs w:val="24"/>
        </w:rPr>
        <w:t xml:space="preserve"> MHz to </w:t>
      </w:r>
      <w:r w:rsidRPr="006F5ADD">
        <w:rPr>
          <w:rFonts w:ascii="Times New Roman" w:hAnsi="Times New Roman"/>
          <w:sz w:val="24"/>
          <w:szCs w:val="24"/>
        </w:rPr>
        <w:t>919.4 MHz</w:t>
      </w:r>
      <w:r w:rsidR="009273F5">
        <w:rPr>
          <w:rFonts w:ascii="Times New Roman" w:hAnsi="Times New Roman"/>
          <w:sz w:val="24"/>
          <w:szCs w:val="24"/>
        </w:rPr>
        <w:t>.</w:t>
      </w:r>
    </w:p>
    <w:p w14:paraId="437ACD04" w14:textId="77777777" w:rsidR="00BD7EB4" w:rsidRPr="006F5ADD" w:rsidRDefault="00BD7EB4" w:rsidP="00BD7EB4">
      <w:pPr>
        <w:rPr>
          <w:sz w:val="24"/>
          <w:szCs w:val="24"/>
        </w:rPr>
      </w:pPr>
    </w:p>
    <w:p w14:paraId="0621474D" w14:textId="37511137" w:rsidR="00BD7EB4" w:rsidRPr="009273F5" w:rsidRDefault="00BD7EB4" w:rsidP="00BD7EB4">
      <w:pPr>
        <w:rPr>
          <w:sz w:val="24"/>
          <w:szCs w:val="24"/>
          <w:u w:val="single"/>
        </w:rPr>
      </w:pPr>
      <w:r w:rsidRPr="009273F5">
        <w:rPr>
          <w:sz w:val="24"/>
          <w:szCs w:val="24"/>
          <w:u w:val="single"/>
        </w:rPr>
        <w:t xml:space="preserve">Proposal 2: Allow wideband </w:t>
      </w:r>
      <w:r w:rsidR="009273F5" w:rsidRPr="009273F5">
        <w:rPr>
          <w:sz w:val="24"/>
          <w:szCs w:val="24"/>
          <w:u w:val="single"/>
        </w:rPr>
        <w:t>short range devices</w:t>
      </w:r>
      <w:r w:rsidRPr="009273F5">
        <w:rPr>
          <w:sz w:val="24"/>
          <w:szCs w:val="24"/>
          <w:u w:val="single"/>
        </w:rPr>
        <w:t xml:space="preserve"> to operate in the 915</w:t>
      </w:r>
      <w:r w:rsidR="009273F5" w:rsidRPr="009273F5">
        <w:rPr>
          <w:sz w:val="24"/>
          <w:szCs w:val="24"/>
          <w:u w:val="single"/>
        </w:rPr>
        <w:t xml:space="preserve"> MHz </w:t>
      </w:r>
      <w:r w:rsidRPr="009273F5">
        <w:rPr>
          <w:sz w:val="24"/>
          <w:szCs w:val="24"/>
          <w:u w:val="single"/>
        </w:rPr>
        <w:t>-925 MHz band</w:t>
      </w:r>
    </w:p>
    <w:p w14:paraId="45B907B3" w14:textId="77777777" w:rsidR="00BD7EB4" w:rsidRPr="006F5ADD" w:rsidRDefault="00BD7EB4" w:rsidP="00BD7EB4">
      <w:pPr>
        <w:rPr>
          <w:sz w:val="24"/>
          <w:szCs w:val="24"/>
        </w:rPr>
      </w:pPr>
    </w:p>
    <w:p w14:paraId="666936BE" w14:textId="03E5D128" w:rsidR="00BD7EB4" w:rsidRPr="006F5ADD" w:rsidRDefault="00BD7EB4" w:rsidP="009273F5">
      <w:pPr>
        <w:jc w:val="both"/>
        <w:rPr>
          <w:sz w:val="24"/>
          <w:szCs w:val="24"/>
        </w:rPr>
      </w:pPr>
      <w:r w:rsidRPr="006F5ADD">
        <w:rPr>
          <w:sz w:val="24"/>
          <w:szCs w:val="24"/>
        </w:rPr>
        <w:t>The requirements for wideband SRDs in Europe mean that IoT applications are restricted to those that can work with a duty cycle, such as sensor and meter applications. It is difficult</w:t>
      </w:r>
      <w:r w:rsidR="00E31F19" w:rsidRPr="006F5ADD">
        <w:rPr>
          <w:sz w:val="24"/>
          <w:szCs w:val="24"/>
        </w:rPr>
        <w:t xml:space="preserve"> </w:t>
      </w:r>
      <w:r w:rsidRPr="006F5ADD">
        <w:rPr>
          <w:sz w:val="24"/>
          <w:szCs w:val="24"/>
        </w:rPr>
        <w:t xml:space="preserve">to support mesh topologies when duty cycles are required. To support a much wider range of current and future IoT applications, </w:t>
      </w:r>
      <w:r w:rsidR="009273F5">
        <w:rPr>
          <w:sz w:val="24"/>
          <w:szCs w:val="24"/>
        </w:rPr>
        <w:t>which</w:t>
      </w:r>
      <w:r w:rsidRPr="006F5ADD">
        <w:rPr>
          <w:sz w:val="24"/>
          <w:szCs w:val="24"/>
        </w:rPr>
        <w:t xml:space="preserve"> may combine sensors with video for example, </w:t>
      </w:r>
      <w:r w:rsidR="009273F5">
        <w:rPr>
          <w:sz w:val="24"/>
          <w:szCs w:val="24"/>
        </w:rPr>
        <w:t xml:space="preserve">we recommend TDRA to consider allowing </w:t>
      </w:r>
      <w:r w:rsidRPr="006F5ADD">
        <w:rPr>
          <w:sz w:val="24"/>
          <w:szCs w:val="24"/>
        </w:rPr>
        <w:t xml:space="preserve">wideband SRDs to operate in </w:t>
      </w:r>
      <w:r w:rsidR="009273F5">
        <w:rPr>
          <w:sz w:val="24"/>
          <w:szCs w:val="24"/>
        </w:rPr>
        <w:t xml:space="preserve">the </w:t>
      </w:r>
      <w:r w:rsidRPr="006F5ADD">
        <w:rPr>
          <w:sz w:val="24"/>
          <w:szCs w:val="24"/>
        </w:rPr>
        <w:t>915</w:t>
      </w:r>
      <w:r w:rsidR="009273F5">
        <w:rPr>
          <w:sz w:val="24"/>
          <w:szCs w:val="24"/>
        </w:rPr>
        <w:t xml:space="preserve"> MHz to </w:t>
      </w:r>
      <w:r w:rsidRPr="006F5ADD">
        <w:rPr>
          <w:sz w:val="24"/>
          <w:szCs w:val="24"/>
        </w:rPr>
        <w:t>925 MHz</w:t>
      </w:r>
      <w:r w:rsidR="009273F5">
        <w:rPr>
          <w:sz w:val="24"/>
          <w:szCs w:val="24"/>
        </w:rPr>
        <w:t xml:space="preserve"> band </w:t>
      </w:r>
      <w:r w:rsidRPr="006F5ADD">
        <w:rPr>
          <w:sz w:val="24"/>
          <w:szCs w:val="24"/>
        </w:rPr>
        <w:t xml:space="preserve">with higher </w:t>
      </w:r>
      <w:r w:rsidR="009273F5">
        <w:rPr>
          <w:sz w:val="24"/>
          <w:szCs w:val="24"/>
        </w:rPr>
        <w:t xml:space="preserve">transmit </w:t>
      </w:r>
      <w:r w:rsidRPr="006F5ADD">
        <w:rPr>
          <w:sz w:val="24"/>
          <w:szCs w:val="24"/>
        </w:rPr>
        <w:t>pow</w:t>
      </w:r>
      <w:r w:rsidR="009273F5">
        <w:rPr>
          <w:sz w:val="24"/>
          <w:szCs w:val="24"/>
        </w:rPr>
        <w:t>er, wider operating channels,</w:t>
      </w:r>
      <w:r w:rsidRPr="006F5ADD">
        <w:rPr>
          <w:sz w:val="24"/>
          <w:szCs w:val="24"/>
        </w:rPr>
        <w:t xml:space="preserve"> </w:t>
      </w:r>
      <w:r w:rsidR="009273F5">
        <w:rPr>
          <w:sz w:val="24"/>
          <w:szCs w:val="24"/>
        </w:rPr>
        <w:t xml:space="preserve">and </w:t>
      </w:r>
      <w:r w:rsidRPr="006F5ADD">
        <w:rPr>
          <w:sz w:val="24"/>
          <w:szCs w:val="24"/>
        </w:rPr>
        <w:t>without duty cycle restrictions,</w:t>
      </w:r>
      <w:r w:rsidR="009273F5">
        <w:rPr>
          <w:sz w:val="24"/>
          <w:szCs w:val="24"/>
        </w:rPr>
        <w:t xml:space="preserve"> while</w:t>
      </w:r>
      <w:r w:rsidRPr="006F5ADD">
        <w:rPr>
          <w:sz w:val="24"/>
          <w:szCs w:val="24"/>
        </w:rPr>
        <w:t xml:space="preserve"> coexisting with other </w:t>
      </w:r>
      <w:r w:rsidR="00E31F19" w:rsidRPr="006F5ADD">
        <w:rPr>
          <w:sz w:val="24"/>
          <w:szCs w:val="24"/>
        </w:rPr>
        <w:t xml:space="preserve">wireless </w:t>
      </w:r>
      <w:r w:rsidRPr="006F5ADD">
        <w:rPr>
          <w:sz w:val="24"/>
          <w:szCs w:val="24"/>
        </w:rPr>
        <w:t xml:space="preserve">technologies such as RFID and LoRaWAN. </w:t>
      </w:r>
    </w:p>
    <w:p w14:paraId="48B5313E" w14:textId="77777777" w:rsidR="00BD7EB4" w:rsidRDefault="00BD7EB4" w:rsidP="007C1BD0">
      <w:pPr>
        <w:jc w:val="both"/>
        <w:rPr>
          <w:sz w:val="24"/>
          <w:szCs w:val="24"/>
        </w:rPr>
      </w:pPr>
    </w:p>
    <w:p w14:paraId="6344E607" w14:textId="63496FC0" w:rsidR="00AD58FF" w:rsidRPr="009273F5" w:rsidRDefault="001C7F1F" w:rsidP="009273F5">
      <w:pPr>
        <w:jc w:val="both"/>
        <w:rPr>
          <w:b/>
          <w:sz w:val="24"/>
          <w:szCs w:val="24"/>
        </w:rPr>
      </w:pPr>
      <w:r w:rsidRPr="009273F5">
        <w:rPr>
          <w:b/>
          <w:sz w:val="24"/>
          <w:szCs w:val="24"/>
        </w:rPr>
        <w:t>IEEE 802 LMSC’s response to Question 5</w:t>
      </w:r>
      <w:r w:rsidR="009273F5" w:rsidRPr="009273F5">
        <w:rPr>
          <w:b/>
          <w:sz w:val="24"/>
          <w:szCs w:val="24"/>
        </w:rPr>
        <w:t xml:space="preserve"> (</w:t>
      </w:r>
      <w:r w:rsidR="00AD58FF" w:rsidRPr="009273F5">
        <w:rPr>
          <w:b/>
          <w:sz w:val="24"/>
          <w:szCs w:val="24"/>
        </w:rPr>
        <w:t>Kindly propose any addition technical details (reference EN standard) if required for the above table. Please specify if any.</w:t>
      </w:r>
      <w:r w:rsidR="009273F5" w:rsidRPr="009273F5">
        <w:rPr>
          <w:b/>
          <w:sz w:val="24"/>
          <w:szCs w:val="24"/>
        </w:rPr>
        <w:t>)</w:t>
      </w:r>
    </w:p>
    <w:p w14:paraId="653981DE" w14:textId="77777777" w:rsidR="00AD58FF" w:rsidRDefault="00AD58FF" w:rsidP="00AD58FF"/>
    <w:p w14:paraId="6A380DFE" w14:textId="0994B088" w:rsidR="00AD58FF" w:rsidRPr="009273F5" w:rsidRDefault="00AD58FF" w:rsidP="00AD58FF">
      <w:pPr>
        <w:rPr>
          <w:sz w:val="24"/>
          <w:szCs w:val="24"/>
        </w:rPr>
      </w:pPr>
      <w:r w:rsidRPr="009273F5">
        <w:rPr>
          <w:sz w:val="24"/>
          <w:szCs w:val="24"/>
        </w:rPr>
        <w:t>For Proposal 1</w:t>
      </w:r>
      <w:r w:rsidR="009273F5" w:rsidRPr="009273F5">
        <w:rPr>
          <w:sz w:val="24"/>
          <w:szCs w:val="24"/>
        </w:rPr>
        <w:t xml:space="preserve"> as presented in our response to Question 4,</w:t>
      </w:r>
      <w:r w:rsidRPr="009273F5">
        <w:rPr>
          <w:sz w:val="24"/>
          <w:szCs w:val="24"/>
        </w:rPr>
        <w:t xml:space="preserve"> there are two</w:t>
      </w:r>
      <w:r w:rsidR="009273F5" w:rsidRPr="009273F5">
        <w:rPr>
          <w:sz w:val="24"/>
          <w:szCs w:val="24"/>
        </w:rPr>
        <w:t xml:space="preserve"> relevant</w:t>
      </w:r>
      <w:r w:rsidRPr="009273F5">
        <w:rPr>
          <w:sz w:val="24"/>
          <w:szCs w:val="24"/>
        </w:rPr>
        <w:t xml:space="preserve"> </w:t>
      </w:r>
      <w:r w:rsidR="009273F5" w:rsidRPr="009273F5">
        <w:rPr>
          <w:sz w:val="24"/>
          <w:szCs w:val="24"/>
        </w:rPr>
        <w:t>EN standards</w:t>
      </w:r>
      <w:r w:rsidRPr="009273F5">
        <w:rPr>
          <w:sz w:val="24"/>
          <w:szCs w:val="24"/>
        </w:rPr>
        <w:t>:</w:t>
      </w:r>
    </w:p>
    <w:p w14:paraId="194E3E91" w14:textId="77777777" w:rsidR="009273F5" w:rsidRPr="009273F5" w:rsidRDefault="00AD58FF" w:rsidP="005D4150">
      <w:pPr>
        <w:pStyle w:val="ListParagraph"/>
        <w:numPr>
          <w:ilvl w:val="0"/>
          <w:numId w:val="9"/>
        </w:numPr>
        <w:jc w:val="both"/>
        <w:rPr>
          <w:rFonts w:ascii="Times New Roman" w:hAnsi="Times New Roman"/>
          <w:sz w:val="24"/>
          <w:szCs w:val="24"/>
        </w:rPr>
      </w:pPr>
      <w:r w:rsidRPr="009273F5">
        <w:rPr>
          <w:rFonts w:ascii="Times New Roman" w:hAnsi="Times New Roman"/>
          <w:sz w:val="24"/>
          <w:szCs w:val="24"/>
        </w:rPr>
        <w:t>EN 304 220-1 Wideband data transmission SRD operating in the frequency range 25 MHz to 1 000 MHz; Harmonised Standard for access to radio spectrum; Part 1: Wideband data transmission devices: network access points operating in designated bands</w:t>
      </w:r>
      <w:r w:rsidR="009273F5" w:rsidRPr="009273F5">
        <w:rPr>
          <w:rFonts w:ascii="Times New Roman" w:hAnsi="Times New Roman"/>
          <w:sz w:val="24"/>
          <w:szCs w:val="24"/>
        </w:rPr>
        <w:t xml:space="preserve"> [11]</w:t>
      </w:r>
    </w:p>
    <w:p w14:paraId="63500D72" w14:textId="26B9D7E9" w:rsidR="00AD58FF" w:rsidRPr="009273F5" w:rsidRDefault="00AD58FF" w:rsidP="005D4150">
      <w:pPr>
        <w:pStyle w:val="ListParagraph"/>
        <w:numPr>
          <w:ilvl w:val="0"/>
          <w:numId w:val="9"/>
        </w:numPr>
        <w:jc w:val="both"/>
        <w:rPr>
          <w:rFonts w:ascii="Times New Roman" w:hAnsi="Times New Roman"/>
          <w:sz w:val="24"/>
          <w:szCs w:val="24"/>
        </w:rPr>
      </w:pPr>
      <w:r w:rsidRPr="009273F5">
        <w:rPr>
          <w:rFonts w:ascii="Times New Roman" w:hAnsi="Times New Roman"/>
          <w:sz w:val="24"/>
          <w:szCs w:val="24"/>
        </w:rPr>
        <w:t>EN 304 220-2 Wideband data transmission SRD operating in the frequency range 25 MHz to 1 000 MHz; Harmonised Standard for access to radio spectrum; Part 2: Wideband data transmission devices: terminal nod</w:t>
      </w:r>
      <w:r w:rsidR="009273F5" w:rsidRPr="009273F5">
        <w:rPr>
          <w:rFonts w:ascii="Times New Roman" w:hAnsi="Times New Roman"/>
          <w:sz w:val="24"/>
          <w:szCs w:val="24"/>
        </w:rPr>
        <w:t>e operating in designated bands [12]</w:t>
      </w:r>
    </w:p>
    <w:p w14:paraId="1120BE83" w14:textId="77777777" w:rsidR="00AD58FF" w:rsidRPr="009273F5" w:rsidRDefault="00AD58FF" w:rsidP="00AD58FF">
      <w:pPr>
        <w:rPr>
          <w:sz w:val="24"/>
          <w:szCs w:val="24"/>
        </w:rPr>
      </w:pPr>
    </w:p>
    <w:p w14:paraId="303950E0" w14:textId="4E7D8678" w:rsidR="00AD58FF" w:rsidRPr="009273F5" w:rsidRDefault="00AD58FF" w:rsidP="005D4150">
      <w:pPr>
        <w:jc w:val="both"/>
        <w:rPr>
          <w:sz w:val="24"/>
          <w:szCs w:val="24"/>
        </w:rPr>
      </w:pPr>
      <w:r w:rsidRPr="009273F5">
        <w:rPr>
          <w:sz w:val="24"/>
          <w:szCs w:val="24"/>
        </w:rPr>
        <w:t>For the preferred alternate Proposal 2</w:t>
      </w:r>
      <w:r w:rsidR="005D4150">
        <w:rPr>
          <w:sz w:val="24"/>
          <w:szCs w:val="24"/>
        </w:rPr>
        <w:t xml:space="preserve"> </w:t>
      </w:r>
      <w:r w:rsidR="005D4150" w:rsidRPr="009273F5">
        <w:rPr>
          <w:sz w:val="24"/>
          <w:szCs w:val="24"/>
        </w:rPr>
        <w:t>in our response to Question 4</w:t>
      </w:r>
      <w:r w:rsidR="005F61CC" w:rsidRPr="009273F5">
        <w:rPr>
          <w:sz w:val="24"/>
          <w:szCs w:val="24"/>
        </w:rPr>
        <w:t>,</w:t>
      </w:r>
      <w:r w:rsidRPr="009273F5">
        <w:rPr>
          <w:sz w:val="24"/>
          <w:szCs w:val="24"/>
        </w:rPr>
        <w:t xml:space="preserve"> </w:t>
      </w:r>
      <w:r w:rsidR="005D4150">
        <w:rPr>
          <w:sz w:val="24"/>
          <w:szCs w:val="24"/>
        </w:rPr>
        <w:t xml:space="preserve">there are no relevant EN standards but </w:t>
      </w:r>
      <w:r w:rsidR="009E7DD8">
        <w:rPr>
          <w:sz w:val="24"/>
          <w:szCs w:val="24"/>
        </w:rPr>
        <w:t xml:space="preserve">the </w:t>
      </w:r>
      <w:r w:rsidRPr="009273F5">
        <w:rPr>
          <w:sz w:val="24"/>
          <w:szCs w:val="24"/>
        </w:rPr>
        <w:t xml:space="preserve">FCC Part 15.249 </w:t>
      </w:r>
      <w:r w:rsidR="007C3CF7">
        <w:rPr>
          <w:sz w:val="24"/>
          <w:szCs w:val="24"/>
        </w:rPr>
        <w:t xml:space="preserve">[13] </w:t>
      </w:r>
      <w:r w:rsidRPr="009273F5">
        <w:rPr>
          <w:sz w:val="24"/>
          <w:szCs w:val="24"/>
        </w:rPr>
        <w:t xml:space="preserve">and </w:t>
      </w:r>
      <w:r w:rsidR="004B70AF">
        <w:rPr>
          <w:sz w:val="24"/>
          <w:szCs w:val="24"/>
        </w:rPr>
        <w:t>IEEE/</w:t>
      </w:r>
      <w:r w:rsidRPr="009273F5">
        <w:rPr>
          <w:sz w:val="24"/>
          <w:szCs w:val="24"/>
        </w:rPr>
        <w:t>ANSI C63.10</w:t>
      </w:r>
      <w:r w:rsidR="004B70AF">
        <w:rPr>
          <w:sz w:val="24"/>
          <w:szCs w:val="24"/>
        </w:rPr>
        <w:t>-2020 standard</w:t>
      </w:r>
      <w:r w:rsidR="005D4150">
        <w:rPr>
          <w:sz w:val="24"/>
          <w:szCs w:val="24"/>
        </w:rPr>
        <w:t xml:space="preserve"> </w:t>
      </w:r>
      <w:r w:rsidR="007C3CF7">
        <w:rPr>
          <w:sz w:val="24"/>
          <w:szCs w:val="24"/>
        </w:rPr>
        <w:t xml:space="preserve">[14] </w:t>
      </w:r>
      <w:r w:rsidR="005D4150">
        <w:rPr>
          <w:sz w:val="24"/>
          <w:szCs w:val="24"/>
        </w:rPr>
        <w:t>are the two relevant documents for TDRA to consider</w:t>
      </w:r>
      <w:r w:rsidRPr="009273F5">
        <w:rPr>
          <w:sz w:val="24"/>
          <w:szCs w:val="24"/>
        </w:rPr>
        <w:t>.</w:t>
      </w:r>
    </w:p>
    <w:p w14:paraId="3CA2D5BF" w14:textId="77777777" w:rsidR="00746223" w:rsidRDefault="00746223" w:rsidP="007C1BD0">
      <w:pPr>
        <w:jc w:val="both"/>
        <w:rPr>
          <w:sz w:val="24"/>
          <w:szCs w:val="24"/>
        </w:rPr>
      </w:pPr>
    </w:p>
    <w:p w14:paraId="1AFC8704" w14:textId="3B360291" w:rsidR="001C7F1F" w:rsidRPr="007C3CF7" w:rsidRDefault="001C7F1F" w:rsidP="007C1BD0">
      <w:pPr>
        <w:jc w:val="both"/>
        <w:rPr>
          <w:b/>
          <w:sz w:val="24"/>
          <w:szCs w:val="24"/>
        </w:rPr>
      </w:pPr>
      <w:r w:rsidRPr="007C3CF7">
        <w:rPr>
          <w:b/>
          <w:sz w:val="24"/>
          <w:szCs w:val="24"/>
        </w:rPr>
        <w:t>IEEE 802 LMSC’s response to Question 9</w:t>
      </w:r>
      <w:r w:rsidR="007C3CF7" w:rsidRPr="007C3CF7">
        <w:rPr>
          <w:b/>
          <w:sz w:val="24"/>
          <w:szCs w:val="24"/>
        </w:rPr>
        <w:t xml:space="preserve"> (</w:t>
      </w:r>
      <w:r w:rsidR="00746223" w:rsidRPr="007C3CF7">
        <w:rPr>
          <w:b/>
          <w:sz w:val="24"/>
          <w:szCs w:val="24"/>
        </w:rPr>
        <w:t>Do you have any proposal to update the format and the information related to UWB in the above table?</w:t>
      </w:r>
      <w:r w:rsidR="007C3CF7" w:rsidRPr="007C3CF7">
        <w:rPr>
          <w:b/>
          <w:sz w:val="24"/>
          <w:szCs w:val="24"/>
        </w:rPr>
        <w:t>)</w:t>
      </w:r>
    </w:p>
    <w:p w14:paraId="358221CB" w14:textId="77777777" w:rsidR="00CC3B8C" w:rsidRDefault="00CC3B8C" w:rsidP="007C1BD0">
      <w:pPr>
        <w:jc w:val="both"/>
        <w:rPr>
          <w:sz w:val="24"/>
          <w:szCs w:val="24"/>
        </w:rPr>
      </w:pPr>
    </w:p>
    <w:p w14:paraId="539431AB" w14:textId="2D67CACF" w:rsidR="00746223" w:rsidRDefault="00CC3B8C" w:rsidP="007C1BD0">
      <w:pPr>
        <w:jc w:val="both"/>
        <w:rPr>
          <w:sz w:val="24"/>
          <w:szCs w:val="24"/>
        </w:rPr>
      </w:pPr>
      <w:r w:rsidRPr="00CC3B8C">
        <w:rPr>
          <w:sz w:val="24"/>
          <w:szCs w:val="24"/>
        </w:rPr>
        <w:t>We would like to suggest that</w:t>
      </w:r>
      <w:r w:rsidR="0006055D">
        <w:rPr>
          <w:sz w:val="24"/>
          <w:szCs w:val="24"/>
        </w:rPr>
        <w:t>,</w:t>
      </w:r>
      <w:r w:rsidRPr="00CC3B8C">
        <w:rPr>
          <w:sz w:val="24"/>
          <w:szCs w:val="24"/>
        </w:rPr>
        <w:t xml:space="preserve"> similar to </w:t>
      </w:r>
      <w:r w:rsidR="0006055D">
        <w:rPr>
          <w:sz w:val="24"/>
          <w:szCs w:val="24"/>
        </w:rPr>
        <w:t>the level probing radar (</w:t>
      </w:r>
      <w:r w:rsidRPr="00CC3B8C">
        <w:rPr>
          <w:sz w:val="24"/>
          <w:szCs w:val="24"/>
        </w:rPr>
        <w:t>LPR</w:t>
      </w:r>
      <w:r w:rsidR="0006055D">
        <w:rPr>
          <w:sz w:val="24"/>
          <w:szCs w:val="24"/>
        </w:rPr>
        <w:t>)</w:t>
      </w:r>
      <w:r w:rsidRPr="00CC3B8C">
        <w:rPr>
          <w:sz w:val="24"/>
          <w:szCs w:val="24"/>
        </w:rPr>
        <w:t xml:space="preserve"> devices, the relevant ECC Decision </w:t>
      </w:r>
      <w:r w:rsidR="00995254" w:rsidRPr="00CC3B8C">
        <w:rPr>
          <w:sz w:val="24"/>
          <w:szCs w:val="24"/>
        </w:rPr>
        <w:t>ECC/DEC/(06)04</w:t>
      </w:r>
      <w:r w:rsidR="00995254">
        <w:rPr>
          <w:sz w:val="24"/>
          <w:szCs w:val="24"/>
        </w:rPr>
        <w:t xml:space="preserve"> [15] is mentioned together with the </w:t>
      </w:r>
      <w:r w:rsidR="00995254" w:rsidRPr="00CC3B8C">
        <w:rPr>
          <w:sz w:val="24"/>
          <w:szCs w:val="24"/>
        </w:rPr>
        <w:t xml:space="preserve">ETSI harmonised standard </w:t>
      </w:r>
      <w:r w:rsidR="00995254">
        <w:rPr>
          <w:sz w:val="24"/>
          <w:szCs w:val="24"/>
        </w:rPr>
        <w:t>EN 302 065-1.</w:t>
      </w:r>
    </w:p>
    <w:p w14:paraId="1E59A3A9" w14:textId="77777777" w:rsidR="00CC3B8C" w:rsidRDefault="00CC3B8C" w:rsidP="007C1BD0">
      <w:pPr>
        <w:jc w:val="both"/>
        <w:rPr>
          <w:sz w:val="24"/>
          <w:szCs w:val="24"/>
        </w:rPr>
      </w:pPr>
    </w:p>
    <w:p w14:paraId="72049597" w14:textId="77777777" w:rsidR="00995254" w:rsidRDefault="00995254">
      <w:pPr>
        <w:rPr>
          <w:b/>
          <w:sz w:val="24"/>
          <w:szCs w:val="24"/>
        </w:rPr>
      </w:pPr>
      <w:r>
        <w:rPr>
          <w:b/>
          <w:sz w:val="24"/>
          <w:szCs w:val="24"/>
        </w:rPr>
        <w:br w:type="page"/>
      </w:r>
    </w:p>
    <w:p w14:paraId="4B9CDEC8" w14:textId="43B0D5BD" w:rsidR="00CC3B8C" w:rsidRPr="00995254" w:rsidRDefault="00CC3B8C" w:rsidP="007C1BD0">
      <w:pPr>
        <w:jc w:val="both"/>
        <w:rPr>
          <w:b/>
          <w:sz w:val="24"/>
          <w:szCs w:val="24"/>
        </w:rPr>
      </w:pPr>
      <w:r w:rsidRPr="00995254">
        <w:rPr>
          <w:b/>
          <w:sz w:val="24"/>
          <w:szCs w:val="24"/>
        </w:rPr>
        <w:lastRenderedPageBreak/>
        <w:t>IEEE 802 LMSC’s response to Question 11</w:t>
      </w:r>
      <w:r w:rsidR="00995254" w:rsidRPr="00995254">
        <w:rPr>
          <w:b/>
          <w:sz w:val="24"/>
          <w:szCs w:val="24"/>
        </w:rPr>
        <w:t xml:space="preserve"> (</w:t>
      </w:r>
      <w:r w:rsidRPr="00995254">
        <w:rPr>
          <w:b/>
          <w:sz w:val="24"/>
          <w:szCs w:val="24"/>
        </w:rPr>
        <w:t>Do you have any proposal to update the format and the information related to UWB in the above table?</w:t>
      </w:r>
      <w:r w:rsidR="00995254" w:rsidRPr="00995254">
        <w:rPr>
          <w:b/>
          <w:sz w:val="24"/>
          <w:szCs w:val="24"/>
        </w:rPr>
        <w:t>)</w:t>
      </w:r>
    </w:p>
    <w:p w14:paraId="675E80A9" w14:textId="77777777" w:rsidR="00CC3B8C" w:rsidRDefault="00CC3B8C" w:rsidP="007C1BD0">
      <w:pPr>
        <w:jc w:val="both"/>
        <w:rPr>
          <w:sz w:val="24"/>
          <w:szCs w:val="24"/>
        </w:rPr>
      </w:pPr>
    </w:p>
    <w:p w14:paraId="2291A02F" w14:textId="1F9318C6" w:rsidR="00CC3B8C" w:rsidRDefault="00CC3B8C" w:rsidP="007C1BD0">
      <w:pPr>
        <w:jc w:val="both"/>
        <w:rPr>
          <w:sz w:val="24"/>
          <w:szCs w:val="24"/>
        </w:rPr>
      </w:pPr>
      <w:r w:rsidRPr="00CC3B8C">
        <w:rPr>
          <w:sz w:val="24"/>
          <w:szCs w:val="24"/>
        </w:rPr>
        <w:t>EN 302 500-1 is no longer maintained by ETSI nor the applicable harmonised standard at</w:t>
      </w:r>
      <w:r w:rsidR="00995254">
        <w:rPr>
          <w:sz w:val="24"/>
          <w:szCs w:val="24"/>
        </w:rPr>
        <w:t xml:space="preserve"> the</w:t>
      </w:r>
      <w:r w:rsidRPr="00CC3B8C">
        <w:rPr>
          <w:sz w:val="24"/>
          <w:szCs w:val="24"/>
        </w:rPr>
        <w:t xml:space="preserve"> European level. We would suggest </w:t>
      </w:r>
      <w:r w:rsidR="00995254">
        <w:rPr>
          <w:sz w:val="24"/>
          <w:szCs w:val="24"/>
        </w:rPr>
        <w:t xml:space="preserve">replacing </w:t>
      </w:r>
      <w:r w:rsidR="0037179F">
        <w:rPr>
          <w:sz w:val="24"/>
          <w:szCs w:val="24"/>
        </w:rPr>
        <w:t>it</w:t>
      </w:r>
      <w:r w:rsidR="00995254">
        <w:rPr>
          <w:sz w:val="24"/>
          <w:szCs w:val="24"/>
        </w:rPr>
        <w:t xml:space="preserve"> with</w:t>
      </w:r>
      <w:r w:rsidRPr="00CC3B8C">
        <w:rPr>
          <w:sz w:val="24"/>
          <w:szCs w:val="24"/>
        </w:rPr>
        <w:t xml:space="preserve"> the EN 302 065 family of standards</w:t>
      </w:r>
      <w:r w:rsidR="00995254">
        <w:rPr>
          <w:sz w:val="24"/>
          <w:szCs w:val="24"/>
        </w:rPr>
        <w:t xml:space="preserve"> [16].</w:t>
      </w:r>
    </w:p>
    <w:p w14:paraId="338A9FA2" w14:textId="77777777" w:rsidR="00CC3B8C" w:rsidRDefault="00CC3B8C" w:rsidP="007C1BD0">
      <w:pPr>
        <w:jc w:val="both"/>
        <w:rPr>
          <w:sz w:val="24"/>
          <w:szCs w:val="24"/>
        </w:rPr>
      </w:pPr>
    </w:p>
    <w:p w14:paraId="48C21FCB" w14:textId="3323CD41" w:rsidR="00CC3B8C" w:rsidRPr="00995254" w:rsidRDefault="00CC3B8C" w:rsidP="007C1BD0">
      <w:pPr>
        <w:jc w:val="both"/>
        <w:rPr>
          <w:b/>
          <w:sz w:val="24"/>
          <w:szCs w:val="24"/>
        </w:rPr>
      </w:pPr>
      <w:r w:rsidRPr="00635BBC">
        <w:rPr>
          <w:b/>
          <w:sz w:val="24"/>
          <w:szCs w:val="24"/>
        </w:rPr>
        <w:t>IEEE 802 LMSC’s response to Question 12</w:t>
      </w:r>
      <w:r w:rsidR="00995254">
        <w:rPr>
          <w:b/>
          <w:sz w:val="24"/>
          <w:szCs w:val="24"/>
        </w:rPr>
        <w:t xml:space="preserve"> </w:t>
      </w:r>
      <w:r w:rsidR="00995254" w:rsidRPr="00995254">
        <w:rPr>
          <w:b/>
          <w:sz w:val="24"/>
          <w:szCs w:val="24"/>
        </w:rPr>
        <w:t>(</w:t>
      </w:r>
      <w:r w:rsidRPr="00995254">
        <w:rPr>
          <w:b/>
          <w:sz w:val="24"/>
          <w:szCs w:val="24"/>
        </w:rPr>
        <w:t>Do you have any proposal to update the format and the information related to UWB in the above table?</w:t>
      </w:r>
      <w:r w:rsidR="00995254" w:rsidRPr="00995254">
        <w:rPr>
          <w:b/>
          <w:sz w:val="24"/>
          <w:szCs w:val="24"/>
        </w:rPr>
        <w:t>)</w:t>
      </w:r>
    </w:p>
    <w:p w14:paraId="701222BF" w14:textId="77777777" w:rsidR="00CC3B8C" w:rsidRDefault="00CC3B8C" w:rsidP="007C1BD0">
      <w:pPr>
        <w:jc w:val="both"/>
        <w:rPr>
          <w:sz w:val="24"/>
          <w:szCs w:val="24"/>
        </w:rPr>
      </w:pPr>
    </w:p>
    <w:p w14:paraId="5776AF59" w14:textId="2BF977D3" w:rsidR="00CC3B8C" w:rsidRDefault="00C53A79" w:rsidP="0037179F">
      <w:pPr>
        <w:jc w:val="both"/>
        <w:rPr>
          <w:sz w:val="24"/>
          <w:szCs w:val="24"/>
        </w:rPr>
      </w:pPr>
      <w:r>
        <w:rPr>
          <w:sz w:val="24"/>
          <w:szCs w:val="24"/>
        </w:rPr>
        <w:t>We suggest to remove t</w:t>
      </w:r>
      <w:r w:rsidR="00CC3B8C" w:rsidRPr="001F4565">
        <w:rPr>
          <w:sz w:val="24"/>
          <w:szCs w:val="24"/>
        </w:rPr>
        <w:t xml:space="preserve">he minus sign before the zero in the rows </w:t>
      </w:r>
      <w:r w:rsidR="00AD26C9">
        <w:rPr>
          <w:sz w:val="24"/>
          <w:szCs w:val="24"/>
        </w:rPr>
        <w:t>“</w:t>
      </w:r>
      <w:r w:rsidR="00AD26C9" w:rsidRPr="00AD26C9">
        <w:rPr>
          <w:sz w:val="24"/>
          <w:szCs w:val="24"/>
        </w:rPr>
        <w:t>6.0 &lt; f ≤ 8.5</w:t>
      </w:r>
      <w:r w:rsidR="00AD26C9">
        <w:rPr>
          <w:sz w:val="24"/>
          <w:szCs w:val="24"/>
        </w:rPr>
        <w:t>”</w:t>
      </w:r>
      <w:r w:rsidR="00CC3B8C" w:rsidRPr="001F4565">
        <w:rPr>
          <w:sz w:val="24"/>
          <w:szCs w:val="24"/>
        </w:rPr>
        <w:t xml:space="preserve"> and </w:t>
      </w:r>
      <w:r w:rsidR="00AD26C9">
        <w:rPr>
          <w:sz w:val="24"/>
          <w:szCs w:val="24"/>
        </w:rPr>
        <w:t>“</w:t>
      </w:r>
      <w:r w:rsidR="00AD26C9" w:rsidRPr="00AD26C9">
        <w:rPr>
          <w:sz w:val="24"/>
          <w:szCs w:val="24"/>
        </w:rPr>
        <w:t>6.0 &lt; f ≤ 8.5</w:t>
      </w:r>
      <w:r w:rsidR="00AD26C9">
        <w:rPr>
          <w:sz w:val="24"/>
          <w:szCs w:val="24"/>
        </w:rPr>
        <w:t>”</w:t>
      </w:r>
      <w:r w:rsidR="00CC3B8C" w:rsidRPr="001F4565">
        <w:rPr>
          <w:sz w:val="24"/>
          <w:szCs w:val="24"/>
        </w:rPr>
        <w:t>.</w:t>
      </w:r>
    </w:p>
    <w:p w14:paraId="32903160" w14:textId="77777777" w:rsidR="00CC3B8C" w:rsidRPr="001F4565" w:rsidRDefault="00CC3B8C" w:rsidP="00CC3B8C">
      <w:pPr>
        <w:rPr>
          <w:sz w:val="24"/>
          <w:szCs w:val="24"/>
        </w:rPr>
      </w:pPr>
    </w:p>
    <w:p w14:paraId="35388837" w14:textId="04637196" w:rsidR="00CC3B8C" w:rsidRPr="001F4565" w:rsidRDefault="00270A81" w:rsidP="00270A81">
      <w:pPr>
        <w:jc w:val="both"/>
        <w:rPr>
          <w:sz w:val="24"/>
          <w:szCs w:val="24"/>
        </w:rPr>
      </w:pPr>
      <w:r>
        <w:rPr>
          <w:sz w:val="24"/>
          <w:szCs w:val="24"/>
        </w:rPr>
        <w:t>We also suggest to remove the proposed requirement in the paragraph 4.3.3</w:t>
      </w:r>
      <w:r w:rsidR="00904E1F">
        <w:rPr>
          <w:sz w:val="24"/>
          <w:szCs w:val="24"/>
        </w:rPr>
        <w:t xml:space="preserve">. </w:t>
      </w:r>
      <w:r>
        <w:rPr>
          <w:sz w:val="24"/>
          <w:szCs w:val="24"/>
        </w:rPr>
        <w:t xml:space="preserve">Since </w:t>
      </w:r>
      <w:r w:rsidR="00CC3B8C" w:rsidRPr="001F4565">
        <w:rPr>
          <w:sz w:val="24"/>
          <w:szCs w:val="24"/>
        </w:rPr>
        <w:t xml:space="preserve">the -65 dBm/MHz limit is </w:t>
      </w:r>
      <w:r>
        <w:rPr>
          <w:sz w:val="24"/>
          <w:szCs w:val="24"/>
        </w:rPr>
        <w:t xml:space="preserve">not </w:t>
      </w:r>
      <w:r w:rsidR="00CC3B8C" w:rsidRPr="001F4565">
        <w:rPr>
          <w:sz w:val="24"/>
          <w:szCs w:val="24"/>
        </w:rPr>
        <w:t>a m</w:t>
      </w:r>
      <w:r>
        <w:rPr>
          <w:sz w:val="24"/>
          <w:szCs w:val="24"/>
        </w:rPr>
        <w:t>ean EIRP spectral density value,</w:t>
      </w:r>
      <w:r w:rsidR="00CC3B8C" w:rsidRPr="001F4565">
        <w:rPr>
          <w:sz w:val="24"/>
          <w:szCs w:val="24"/>
        </w:rPr>
        <w:t xml:space="preserve"> </w:t>
      </w:r>
      <w:r>
        <w:rPr>
          <w:sz w:val="24"/>
          <w:szCs w:val="24"/>
        </w:rPr>
        <w:t>the proposed requirement</w:t>
      </w:r>
      <w:r w:rsidR="00CC3B8C" w:rsidRPr="001F4565">
        <w:rPr>
          <w:sz w:val="24"/>
          <w:szCs w:val="24"/>
        </w:rPr>
        <w:t xml:space="preserve"> will be automatically fulfilled by applications meeting th</w:t>
      </w:r>
      <w:r>
        <w:rPr>
          <w:sz w:val="24"/>
          <w:szCs w:val="24"/>
        </w:rPr>
        <w:t>e requirements in 4.3.1</w:t>
      </w:r>
      <w:r w:rsidR="00CC3B8C" w:rsidRPr="001F4565">
        <w:rPr>
          <w:sz w:val="24"/>
          <w:szCs w:val="24"/>
        </w:rPr>
        <w:t>.</w:t>
      </w:r>
      <w:r>
        <w:rPr>
          <w:sz w:val="24"/>
          <w:szCs w:val="24"/>
        </w:rPr>
        <w:t xml:space="preserve"> </w:t>
      </w:r>
    </w:p>
    <w:p w14:paraId="40BBEC14" w14:textId="77777777" w:rsidR="00CC3B8C" w:rsidRDefault="00CC3B8C" w:rsidP="007C1BD0">
      <w:pPr>
        <w:jc w:val="both"/>
        <w:rPr>
          <w:sz w:val="24"/>
          <w:szCs w:val="24"/>
        </w:rPr>
      </w:pPr>
    </w:p>
    <w:p w14:paraId="691950F6" w14:textId="43D05FFB" w:rsidR="00CC3B8C" w:rsidRPr="00270A81" w:rsidRDefault="00CC3B8C" w:rsidP="007C1BD0">
      <w:pPr>
        <w:jc w:val="both"/>
        <w:rPr>
          <w:b/>
          <w:sz w:val="24"/>
          <w:szCs w:val="24"/>
        </w:rPr>
      </w:pPr>
      <w:r w:rsidRPr="00635BBC">
        <w:rPr>
          <w:b/>
          <w:sz w:val="24"/>
          <w:szCs w:val="24"/>
        </w:rPr>
        <w:t>IEEE 802 LMSC’s response to Question 13</w:t>
      </w:r>
      <w:r w:rsidR="00270A81" w:rsidRPr="00270A81">
        <w:rPr>
          <w:b/>
          <w:sz w:val="24"/>
          <w:szCs w:val="24"/>
        </w:rPr>
        <w:t xml:space="preserve"> (</w:t>
      </w:r>
      <w:r w:rsidRPr="00270A81">
        <w:rPr>
          <w:b/>
          <w:sz w:val="24"/>
          <w:szCs w:val="24"/>
        </w:rPr>
        <w:t>Do you have any proposal to update the format and the information related to UWB in the above table?</w:t>
      </w:r>
      <w:r w:rsidR="00270A81" w:rsidRPr="00270A81">
        <w:rPr>
          <w:b/>
          <w:sz w:val="24"/>
          <w:szCs w:val="24"/>
        </w:rPr>
        <w:t>)</w:t>
      </w:r>
    </w:p>
    <w:p w14:paraId="2D1EE1ED" w14:textId="77777777" w:rsidR="00CC3B8C" w:rsidRDefault="00CC3B8C" w:rsidP="007C1BD0">
      <w:pPr>
        <w:jc w:val="both"/>
        <w:rPr>
          <w:sz w:val="24"/>
          <w:szCs w:val="24"/>
        </w:rPr>
      </w:pPr>
    </w:p>
    <w:p w14:paraId="0C9085F1" w14:textId="77777777" w:rsidR="00904E1F" w:rsidRDefault="001F4565" w:rsidP="001F4565">
      <w:pPr>
        <w:jc w:val="both"/>
        <w:rPr>
          <w:sz w:val="24"/>
          <w:szCs w:val="24"/>
        </w:rPr>
      </w:pPr>
      <w:r w:rsidRPr="001F4565">
        <w:rPr>
          <w:sz w:val="24"/>
          <w:szCs w:val="24"/>
        </w:rPr>
        <w:t xml:space="preserve">EN 302 435-1 is no longer maintained by ETSI nor the applicable harmonised standard at </w:t>
      </w:r>
      <w:r w:rsidR="0037179F">
        <w:rPr>
          <w:sz w:val="24"/>
          <w:szCs w:val="24"/>
        </w:rPr>
        <w:t xml:space="preserve">the </w:t>
      </w:r>
      <w:r w:rsidRPr="001F4565">
        <w:rPr>
          <w:sz w:val="24"/>
          <w:szCs w:val="24"/>
        </w:rPr>
        <w:t xml:space="preserve">European level. We would suggest </w:t>
      </w:r>
      <w:r w:rsidR="0037179F">
        <w:rPr>
          <w:sz w:val="24"/>
          <w:szCs w:val="24"/>
        </w:rPr>
        <w:t>replacing it with</w:t>
      </w:r>
      <w:r w:rsidRPr="001F4565">
        <w:rPr>
          <w:sz w:val="24"/>
          <w:szCs w:val="24"/>
        </w:rPr>
        <w:t xml:space="preserve"> EN 302 065-4</w:t>
      </w:r>
      <w:r w:rsidR="0037179F">
        <w:rPr>
          <w:sz w:val="24"/>
          <w:szCs w:val="24"/>
        </w:rPr>
        <w:t xml:space="preserve"> [17]</w:t>
      </w:r>
      <w:r w:rsidR="00904E1F">
        <w:rPr>
          <w:sz w:val="24"/>
          <w:szCs w:val="24"/>
        </w:rPr>
        <w:t>.</w:t>
      </w:r>
    </w:p>
    <w:p w14:paraId="0861B6B9" w14:textId="77777777" w:rsidR="00904E1F" w:rsidRDefault="00904E1F" w:rsidP="001F4565">
      <w:pPr>
        <w:jc w:val="both"/>
        <w:rPr>
          <w:sz w:val="24"/>
          <w:szCs w:val="24"/>
        </w:rPr>
      </w:pPr>
    </w:p>
    <w:p w14:paraId="4B33459C" w14:textId="2BBCD77F" w:rsidR="00904E1F" w:rsidRDefault="00904E1F" w:rsidP="001F4565">
      <w:pPr>
        <w:jc w:val="both"/>
        <w:rPr>
          <w:sz w:val="24"/>
          <w:szCs w:val="24"/>
        </w:rPr>
      </w:pPr>
      <w:r>
        <w:rPr>
          <w:sz w:val="24"/>
          <w:szCs w:val="24"/>
        </w:rPr>
        <w:t xml:space="preserve">Since </w:t>
      </w:r>
      <w:r w:rsidRPr="00CC3B8C">
        <w:rPr>
          <w:sz w:val="24"/>
          <w:szCs w:val="24"/>
        </w:rPr>
        <w:t>EN 302 065 family of standards</w:t>
      </w:r>
      <w:r w:rsidRPr="001F4565">
        <w:rPr>
          <w:sz w:val="24"/>
          <w:szCs w:val="24"/>
        </w:rPr>
        <w:t xml:space="preserve"> refer to EN 303 883 </w:t>
      </w:r>
      <w:r>
        <w:rPr>
          <w:sz w:val="24"/>
          <w:szCs w:val="24"/>
        </w:rPr>
        <w:t xml:space="preserve">[18] </w:t>
      </w:r>
      <w:r w:rsidRPr="001F4565">
        <w:rPr>
          <w:sz w:val="24"/>
          <w:szCs w:val="24"/>
        </w:rPr>
        <w:t>for th</w:t>
      </w:r>
      <w:r>
        <w:rPr>
          <w:sz w:val="24"/>
          <w:szCs w:val="24"/>
        </w:rPr>
        <w:t>e actual measurement techniques, and similar texts described in both NOTE 1</w:t>
      </w:r>
      <w:r w:rsidR="001F4565" w:rsidRPr="001F4565">
        <w:rPr>
          <w:sz w:val="24"/>
          <w:szCs w:val="24"/>
        </w:rPr>
        <w:t xml:space="preserve"> and </w:t>
      </w:r>
      <w:r>
        <w:rPr>
          <w:sz w:val="24"/>
          <w:szCs w:val="24"/>
        </w:rPr>
        <w:t>NOTE 2 can be found in clause 5.8 of [18], we suggest to remove both notes to minimize redundancy.</w:t>
      </w:r>
    </w:p>
    <w:p w14:paraId="1F579103" w14:textId="77777777" w:rsidR="00CC3B8C" w:rsidRDefault="00CC3B8C" w:rsidP="007C1BD0">
      <w:pPr>
        <w:jc w:val="both"/>
        <w:rPr>
          <w:sz w:val="24"/>
          <w:szCs w:val="24"/>
        </w:rPr>
      </w:pPr>
    </w:p>
    <w:p w14:paraId="4857C5CF" w14:textId="734C2A59" w:rsidR="00CC3B8C" w:rsidRPr="0037179F" w:rsidRDefault="00CC3B8C" w:rsidP="007C1BD0">
      <w:pPr>
        <w:jc w:val="both"/>
        <w:rPr>
          <w:b/>
          <w:sz w:val="24"/>
          <w:szCs w:val="24"/>
        </w:rPr>
      </w:pPr>
      <w:r w:rsidRPr="0037179F">
        <w:rPr>
          <w:b/>
          <w:sz w:val="24"/>
          <w:szCs w:val="24"/>
        </w:rPr>
        <w:t>IEEE 802 LMSC’s response to Question 14</w:t>
      </w:r>
      <w:r w:rsidR="0037179F" w:rsidRPr="0037179F">
        <w:rPr>
          <w:b/>
          <w:sz w:val="24"/>
          <w:szCs w:val="24"/>
        </w:rPr>
        <w:t xml:space="preserve"> (</w:t>
      </w:r>
      <w:r w:rsidR="00DA01A9" w:rsidRPr="0037179F">
        <w:rPr>
          <w:b/>
          <w:sz w:val="24"/>
          <w:szCs w:val="24"/>
        </w:rPr>
        <w:t>Do you have any proposal to update the format and the information related to UWB in the above table?</w:t>
      </w:r>
      <w:r w:rsidR="0037179F" w:rsidRPr="0037179F">
        <w:rPr>
          <w:b/>
          <w:sz w:val="24"/>
          <w:szCs w:val="24"/>
        </w:rPr>
        <w:t>)</w:t>
      </w:r>
    </w:p>
    <w:p w14:paraId="00A1DB78" w14:textId="77777777" w:rsidR="00DA01A9" w:rsidRDefault="00DA01A9" w:rsidP="007C1BD0">
      <w:pPr>
        <w:jc w:val="both"/>
        <w:rPr>
          <w:sz w:val="24"/>
          <w:szCs w:val="24"/>
        </w:rPr>
      </w:pPr>
    </w:p>
    <w:p w14:paraId="13A320F0" w14:textId="6900755F" w:rsidR="00DA01A9" w:rsidRDefault="00DA01A9" w:rsidP="007C1BD0">
      <w:pPr>
        <w:jc w:val="both"/>
        <w:rPr>
          <w:sz w:val="24"/>
          <w:szCs w:val="24"/>
        </w:rPr>
      </w:pPr>
      <w:r w:rsidRPr="00DA01A9">
        <w:rPr>
          <w:sz w:val="24"/>
          <w:szCs w:val="24"/>
        </w:rPr>
        <w:t>The first row</w:t>
      </w:r>
      <w:r w:rsidR="00497F0F">
        <w:rPr>
          <w:sz w:val="24"/>
          <w:szCs w:val="24"/>
        </w:rPr>
        <w:t xml:space="preserve"> of </w:t>
      </w:r>
      <w:r w:rsidRPr="00DA01A9">
        <w:rPr>
          <w:sz w:val="24"/>
          <w:szCs w:val="24"/>
        </w:rPr>
        <w:t>the table in 4.5.1 suggests</w:t>
      </w:r>
      <w:r w:rsidR="00497F0F">
        <w:rPr>
          <w:sz w:val="24"/>
          <w:szCs w:val="24"/>
        </w:rPr>
        <w:t xml:space="preserve"> that</w:t>
      </w:r>
      <w:r w:rsidRPr="00DA01A9">
        <w:rPr>
          <w:sz w:val="24"/>
          <w:szCs w:val="24"/>
        </w:rPr>
        <w:t xml:space="preserve"> the specification applies to all frequency ranges below 230 MHz. This is not consistent with EN 302 066, where the first row is for 30 </w:t>
      </w:r>
      <w:r w:rsidR="00497F0F" w:rsidRPr="00DA01A9">
        <w:rPr>
          <w:sz w:val="24"/>
          <w:szCs w:val="24"/>
        </w:rPr>
        <w:t>MHz</w:t>
      </w:r>
      <w:r w:rsidR="00497F0F">
        <w:rPr>
          <w:sz w:val="24"/>
          <w:szCs w:val="24"/>
        </w:rPr>
        <w:t xml:space="preserve"> to</w:t>
      </w:r>
      <w:r w:rsidRPr="00DA01A9">
        <w:rPr>
          <w:sz w:val="24"/>
          <w:szCs w:val="24"/>
        </w:rPr>
        <w:t xml:space="preserve"> 230 MHz. We would suggest modifying the first </w:t>
      </w:r>
      <w:r w:rsidR="00497F0F">
        <w:rPr>
          <w:sz w:val="24"/>
          <w:szCs w:val="24"/>
        </w:rPr>
        <w:t>row</w:t>
      </w:r>
      <w:r w:rsidRPr="00DA01A9">
        <w:rPr>
          <w:sz w:val="24"/>
          <w:szCs w:val="24"/>
        </w:rPr>
        <w:t xml:space="preserve"> to be consistent with EN 302 066.</w:t>
      </w:r>
    </w:p>
    <w:p w14:paraId="44B05C65" w14:textId="77777777" w:rsidR="00CC3B8C" w:rsidRDefault="00CC3B8C" w:rsidP="007C1BD0">
      <w:pPr>
        <w:jc w:val="both"/>
        <w:rPr>
          <w:sz w:val="24"/>
          <w:szCs w:val="24"/>
        </w:rPr>
      </w:pPr>
    </w:p>
    <w:p w14:paraId="6975990F" w14:textId="79E35D6C" w:rsidR="00CC3B8C" w:rsidRPr="008B4ADE" w:rsidRDefault="00CC3B8C" w:rsidP="007C1BD0">
      <w:pPr>
        <w:jc w:val="both"/>
        <w:rPr>
          <w:b/>
          <w:sz w:val="24"/>
          <w:szCs w:val="24"/>
        </w:rPr>
      </w:pPr>
      <w:r w:rsidRPr="008B4ADE">
        <w:rPr>
          <w:b/>
          <w:sz w:val="24"/>
          <w:szCs w:val="24"/>
        </w:rPr>
        <w:t xml:space="preserve">IEEE 802 LMSC’s response to Question </w:t>
      </w:r>
      <w:r w:rsidR="00DA01A9" w:rsidRPr="008B4ADE">
        <w:rPr>
          <w:b/>
          <w:sz w:val="24"/>
          <w:szCs w:val="24"/>
        </w:rPr>
        <w:t>17</w:t>
      </w:r>
      <w:r w:rsidR="008B4ADE" w:rsidRPr="008B4ADE">
        <w:rPr>
          <w:b/>
          <w:sz w:val="24"/>
          <w:szCs w:val="24"/>
        </w:rPr>
        <w:t xml:space="preserve"> (</w:t>
      </w:r>
      <w:r w:rsidR="00DA01A9" w:rsidRPr="008B4ADE">
        <w:rPr>
          <w:b/>
          <w:sz w:val="24"/>
          <w:szCs w:val="24"/>
        </w:rPr>
        <w:t>Do you believe that the current regulations covers all regulatory framework in the UAE?</w:t>
      </w:r>
      <w:r w:rsidR="008B4ADE" w:rsidRPr="008B4ADE">
        <w:rPr>
          <w:b/>
          <w:sz w:val="24"/>
          <w:szCs w:val="24"/>
        </w:rPr>
        <w:t>)</w:t>
      </w:r>
    </w:p>
    <w:p w14:paraId="794CF10E" w14:textId="77777777" w:rsidR="00DA01A9" w:rsidRDefault="00DA01A9" w:rsidP="007C1BD0">
      <w:pPr>
        <w:jc w:val="both"/>
        <w:rPr>
          <w:sz w:val="24"/>
          <w:szCs w:val="24"/>
        </w:rPr>
      </w:pPr>
    </w:p>
    <w:p w14:paraId="2CAEF853" w14:textId="2FD39287" w:rsidR="00DA01A9" w:rsidRDefault="00DA01A9" w:rsidP="00DA01A9">
      <w:pPr>
        <w:jc w:val="both"/>
        <w:rPr>
          <w:sz w:val="24"/>
          <w:szCs w:val="24"/>
        </w:rPr>
      </w:pPr>
      <w:r w:rsidRPr="00DA01A9">
        <w:rPr>
          <w:sz w:val="24"/>
          <w:szCs w:val="24"/>
        </w:rPr>
        <w:t>We would like to</w:t>
      </w:r>
      <w:r w:rsidR="002E549C">
        <w:rPr>
          <w:sz w:val="24"/>
          <w:szCs w:val="24"/>
        </w:rPr>
        <w:t xml:space="preserve"> inform</w:t>
      </w:r>
      <w:r w:rsidRPr="00DA01A9">
        <w:rPr>
          <w:sz w:val="24"/>
          <w:szCs w:val="24"/>
        </w:rPr>
        <w:t xml:space="preserve"> TDRA that E</w:t>
      </w:r>
      <w:r w:rsidR="00445DF5">
        <w:rPr>
          <w:sz w:val="24"/>
          <w:szCs w:val="24"/>
        </w:rPr>
        <w:t>CC updated its decision on UWB</w:t>
      </w:r>
      <w:r w:rsidR="00D87374">
        <w:rPr>
          <w:sz w:val="24"/>
          <w:szCs w:val="24"/>
        </w:rPr>
        <w:t xml:space="preserve"> </w:t>
      </w:r>
      <w:r w:rsidR="00D87374" w:rsidRPr="00DA01A9">
        <w:rPr>
          <w:sz w:val="24"/>
          <w:szCs w:val="24"/>
        </w:rPr>
        <w:t xml:space="preserve">in November </w:t>
      </w:r>
      <w:r w:rsidR="00D87374">
        <w:rPr>
          <w:sz w:val="24"/>
          <w:szCs w:val="24"/>
        </w:rPr>
        <w:t>2022</w:t>
      </w:r>
      <w:r w:rsidR="00D87374">
        <w:rPr>
          <w:sz w:val="24"/>
          <w:szCs w:val="24"/>
        </w:rPr>
        <w:t xml:space="preserve"> </w:t>
      </w:r>
      <w:r w:rsidR="00445DF5">
        <w:rPr>
          <w:sz w:val="24"/>
          <w:szCs w:val="24"/>
        </w:rPr>
        <w:t>[15]</w:t>
      </w:r>
      <w:r w:rsidR="00AC378F">
        <w:rPr>
          <w:sz w:val="24"/>
          <w:szCs w:val="24"/>
        </w:rPr>
        <w:t>, which</w:t>
      </w:r>
      <w:r w:rsidRPr="00DA01A9">
        <w:rPr>
          <w:sz w:val="24"/>
          <w:szCs w:val="24"/>
        </w:rPr>
        <w:t xml:space="preserve"> </w:t>
      </w:r>
      <w:r w:rsidR="00D87374">
        <w:rPr>
          <w:sz w:val="24"/>
          <w:szCs w:val="24"/>
        </w:rPr>
        <w:t>added the following three categories of applications, namely A1.2.3</w:t>
      </w:r>
      <w:r w:rsidR="00AC378F">
        <w:rPr>
          <w:sz w:val="24"/>
          <w:szCs w:val="24"/>
        </w:rPr>
        <w:t xml:space="preserve"> “</w:t>
      </w:r>
      <w:r w:rsidRPr="00DA01A9">
        <w:rPr>
          <w:sz w:val="24"/>
          <w:szCs w:val="24"/>
        </w:rPr>
        <w:t>other vehicular applications, including applications involving infrastructure to vehicle and vehicle to vehi</w:t>
      </w:r>
      <w:r w:rsidR="00AC378F">
        <w:rPr>
          <w:sz w:val="24"/>
          <w:szCs w:val="24"/>
        </w:rPr>
        <w:t>cle communications in 6-8.5 GHz”, A1.3.1 “</w:t>
      </w:r>
      <w:r w:rsidRPr="00DA01A9">
        <w:rPr>
          <w:sz w:val="24"/>
          <w:szCs w:val="24"/>
        </w:rPr>
        <w:t>Specific applications involv</w:t>
      </w:r>
      <w:r w:rsidR="00AC378F">
        <w:rPr>
          <w:sz w:val="24"/>
          <w:szCs w:val="24"/>
        </w:rPr>
        <w:t>ing fixed outdoor installations”, and A1.3.2 “</w:t>
      </w:r>
      <w:r w:rsidRPr="00DA01A9">
        <w:rPr>
          <w:sz w:val="24"/>
          <w:szCs w:val="24"/>
        </w:rPr>
        <w:t>Specific applications in</w:t>
      </w:r>
      <w:r w:rsidR="00AC378F">
        <w:rPr>
          <w:sz w:val="24"/>
          <w:szCs w:val="24"/>
        </w:rPr>
        <w:t>volving enhanced indoor devices”</w:t>
      </w:r>
      <w:r w:rsidRPr="00DA01A9">
        <w:rPr>
          <w:sz w:val="24"/>
          <w:szCs w:val="24"/>
        </w:rPr>
        <w:t>. ETSI ERM TGUWB</w:t>
      </w:r>
      <w:r w:rsidR="00386C69">
        <w:rPr>
          <w:sz w:val="24"/>
          <w:szCs w:val="24"/>
        </w:rPr>
        <w:t xml:space="preserve"> [19]</w:t>
      </w:r>
      <w:r w:rsidRPr="00DA01A9">
        <w:rPr>
          <w:sz w:val="24"/>
          <w:szCs w:val="24"/>
        </w:rPr>
        <w:t xml:space="preserve"> is developing harmonised standards for these applications as part of its effort to update the EN 302 065 family of standards.</w:t>
      </w:r>
      <w:r w:rsidR="00D87374">
        <w:rPr>
          <w:sz w:val="24"/>
          <w:szCs w:val="24"/>
        </w:rPr>
        <w:t xml:space="preserve">  </w:t>
      </w:r>
      <w:r w:rsidR="00D87374" w:rsidRPr="00D87374">
        <w:rPr>
          <w:sz w:val="24"/>
          <w:szCs w:val="24"/>
        </w:rPr>
        <w:t>We would like to encourage TDRA to expand the regulatory framework to include those applications.</w:t>
      </w:r>
    </w:p>
    <w:p w14:paraId="2F25EEE9" w14:textId="77777777" w:rsidR="00DA01A9" w:rsidRDefault="00DA01A9" w:rsidP="007C1BD0">
      <w:pPr>
        <w:jc w:val="both"/>
        <w:rPr>
          <w:sz w:val="24"/>
          <w:szCs w:val="24"/>
        </w:rPr>
      </w:pPr>
    </w:p>
    <w:p w14:paraId="1A0313D9" w14:textId="73CB693A"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0E9D5301" w14:textId="3E10927F" w:rsidR="007C1BD0" w:rsidRPr="007C1BD0" w:rsidRDefault="0062012B" w:rsidP="007C1BD0">
      <w:pPr>
        <w:jc w:val="both"/>
        <w:rPr>
          <w:color w:val="000000"/>
          <w:sz w:val="24"/>
          <w:szCs w:val="24"/>
        </w:rPr>
      </w:pPr>
      <w:r>
        <w:rPr>
          <w:sz w:val="24"/>
          <w:szCs w:val="24"/>
        </w:rPr>
        <w:t xml:space="preserve">IEEE 802 LMSC thanks TDRA </w:t>
      </w:r>
      <w:r w:rsidR="007C1BD0" w:rsidRPr="007C1BD0">
        <w:rPr>
          <w:sz w:val="24"/>
          <w:szCs w:val="24"/>
        </w:rPr>
        <w:t xml:space="preserve">for the opportunity to provide this submission and kindly requests </w:t>
      </w:r>
      <w:r>
        <w:rPr>
          <w:sz w:val="24"/>
          <w:szCs w:val="24"/>
        </w:rPr>
        <w:t>TDRA</w:t>
      </w:r>
      <w:r w:rsidR="007C1BD0" w:rsidRPr="007C1BD0">
        <w:rPr>
          <w:sz w:val="24"/>
          <w:szCs w:val="24"/>
        </w:rPr>
        <w:t xml:space="preserve"> to </w:t>
      </w:r>
      <w:r w:rsidR="00EE64F1">
        <w:rPr>
          <w:sz w:val="24"/>
          <w:szCs w:val="24"/>
        </w:rPr>
        <w:t>consider</w:t>
      </w:r>
      <w:r w:rsidR="007C1BD0" w:rsidRPr="007C1BD0">
        <w:rPr>
          <w:sz w:val="24"/>
          <w:szCs w:val="24"/>
        </w:rPr>
        <w:t xml:space="preserve"> our responses in its future decisions. </w:t>
      </w:r>
    </w:p>
    <w:p w14:paraId="44860D5B" w14:textId="77777777" w:rsidR="007C1BD0" w:rsidRPr="007C1BD0" w:rsidRDefault="007C1BD0" w:rsidP="007C1BD0">
      <w:pPr>
        <w:rPr>
          <w:sz w:val="24"/>
          <w:szCs w:val="24"/>
        </w:rPr>
      </w:pPr>
    </w:p>
    <w:p w14:paraId="65BB2B2E"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Respectfully submitted</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0CC28BB5" w14:textId="77777777" w:rsidR="007C1BD0" w:rsidRPr="007C1BD0" w:rsidRDefault="007C1BD0" w:rsidP="007C1BD0">
      <w:pPr>
        <w:rPr>
          <w:sz w:val="24"/>
          <w:szCs w:val="24"/>
        </w:rPr>
      </w:pPr>
      <w:r w:rsidRPr="007C1BD0">
        <w:rPr>
          <w:sz w:val="24"/>
          <w:szCs w:val="24"/>
        </w:rPr>
        <w:t xml:space="preserve">Paul Nikolich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3ECCD59F" w14:textId="77777777" w:rsidR="007C1BD0" w:rsidRPr="007C1BD0" w:rsidRDefault="007C1BD0" w:rsidP="007C1BD0">
      <w:pPr>
        <w:rPr>
          <w:sz w:val="24"/>
          <w:szCs w:val="24"/>
        </w:rPr>
      </w:pPr>
      <w:r w:rsidRPr="007C1BD0">
        <w:rPr>
          <w:sz w:val="24"/>
          <w:szCs w:val="24"/>
        </w:rPr>
        <w:t xml:space="preserve">em: </w:t>
      </w:r>
      <w:hyperlink r:id="rId14">
        <w:r w:rsidRPr="007C1BD0">
          <w:rPr>
            <w:rStyle w:val="Internetlnk"/>
            <w:sz w:val="24"/>
            <w:szCs w:val="24"/>
          </w:rPr>
          <w:t>p.nikolich@ieee.org</w:t>
        </w:r>
      </w:hyperlink>
      <w:r w:rsidRPr="007C1BD0">
        <w:rPr>
          <w:sz w:val="24"/>
          <w:szCs w:val="24"/>
        </w:rPr>
        <w:t xml:space="preserve"> </w:t>
      </w:r>
    </w:p>
    <w:p w14:paraId="532BFB45" w14:textId="77777777" w:rsidR="007C1BD0" w:rsidRPr="007C1BD0" w:rsidRDefault="007C1BD0" w:rsidP="007C1BD0">
      <w:pPr>
        <w:rPr>
          <w:sz w:val="24"/>
          <w:szCs w:val="24"/>
        </w:rPr>
      </w:pPr>
    </w:p>
    <w:p w14:paraId="6E22FDFF" w14:textId="77777777" w:rsidR="007C1BD0" w:rsidRPr="007C1BD0" w:rsidRDefault="007C1BD0" w:rsidP="007C1BD0">
      <w:pPr>
        <w:rPr>
          <w:sz w:val="24"/>
          <w:szCs w:val="24"/>
        </w:rPr>
      </w:pPr>
      <w:r w:rsidRPr="007C1BD0">
        <w:rPr>
          <w:sz w:val="24"/>
          <w:szCs w:val="24"/>
        </w:rPr>
        <w:t>References:</w:t>
      </w:r>
    </w:p>
    <w:p w14:paraId="153509FB" w14:textId="279BE541" w:rsidR="002D2BE3" w:rsidRPr="002D2BE3" w:rsidRDefault="002D2BE3" w:rsidP="002D2BE3">
      <w:pPr>
        <w:tabs>
          <w:tab w:val="left" w:pos="540"/>
        </w:tabs>
        <w:jc w:val="both"/>
        <w:rPr>
          <w:sz w:val="24"/>
          <w:szCs w:val="24"/>
        </w:rPr>
      </w:pPr>
      <w:r w:rsidRPr="002D2BE3">
        <w:rPr>
          <w:sz w:val="24"/>
          <w:szCs w:val="24"/>
        </w:rPr>
        <w:t xml:space="preserve">[1] </w:t>
      </w:r>
      <w:r w:rsidRPr="002D2BE3">
        <w:rPr>
          <w:sz w:val="24"/>
          <w:szCs w:val="24"/>
        </w:rPr>
        <w:tab/>
        <w:t>Wi-Fi Alliance: Value of Wi-Fi</w:t>
      </w:r>
      <w:r>
        <w:rPr>
          <w:sz w:val="24"/>
          <w:szCs w:val="24"/>
        </w:rPr>
        <w:t xml:space="preserve">. </w:t>
      </w:r>
      <w:hyperlink r:id="rId15" w:history="1">
        <w:r w:rsidRPr="006F5ADD">
          <w:rPr>
            <w:rStyle w:val="Hyperlink"/>
            <w:sz w:val="24"/>
            <w:szCs w:val="24"/>
          </w:rPr>
          <w:t>Available online</w:t>
        </w:r>
      </w:hyperlink>
      <w:r>
        <w:rPr>
          <w:sz w:val="24"/>
          <w:szCs w:val="24"/>
        </w:rPr>
        <w:t xml:space="preserve"> [accessed: </w:t>
      </w:r>
      <w:r w:rsidR="007C317A">
        <w:rPr>
          <w:sz w:val="24"/>
          <w:szCs w:val="24"/>
        </w:rPr>
        <w:t>21</w:t>
      </w:r>
      <w:r>
        <w:rPr>
          <w:sz w:val="24"/>
          <w:szCs w:val="24"/>
        </w:rPr>
        <w:t xml:space="preserve"> June</w:t>
      </w:r>
      <w:r w:rsidRPr="002D2BE3">
        <w:rPr>
          <w:sz w:val="24"/>
          <w:szCs w:val="24"/>
        </w:rPr>
        <w:t xml:space="preserve"> 2023]</w:t>
      </w:r>
    </w:p>
    <w:p w14:paraId="2ECCA82B" w14:textId="114C907F" w:rsidR="002D2BE3" w:rsidRPr="002D2BE3" w:rsidRDefault="002D2BE3" w:rsidP="002D2BE3">
      <w:pPr>
        <w:tabs>
          <w:tab w:val="left" w:pos="540"/>
        </w:tabs>
        <w:jc w:val="both"/>
        <w:rPr>
          <w:sz w:val="24"/>
          <w:szCs w:val="24"/>
        </w:rPr>
      </w:pPr>
      <w:r w:rsidRPr="002D2BE3">
        <w:rPr>
          <w:sz w:val="24"/>
          <w:szCs w:val="24"/>
        </w:rPr>
        <w:t>[2]</w:t>
      </w:r>
      <w:r w:rsidRPr="002D2BE3">
        <w:rPr>
          <w:sz w:val="24"/>
          <w:szCs w:val="24"/>
        </w:rPr>
        <w:tab/>
        <w:t xml:space="preserve">IEEE 802.18 Wireless Standards Table of Frequency Ranges, 27 Sep 2022. </w:t>
      </w:r>
      <w:hyperlink r:id="rId16" w:history="1">
        <w:r w:rsidRPr="007C317A">
          <w:rPr>
            <w:rStyle w:val="Hyperlink"/>
            <w:sz w:val="24"/>
            <w:szCs w:val="24"/>
          </w:rPr>
          <w:t xml:space="preserve">Available online </w:t>
        </w:r>
      </w:hyperlink>
      <w:r>
        <w:rPr>
          <w:sz w:val="24"/>
          <w:szCs w:val="24"/>
        </w:rPr>
        <w:tab/>
      </w:r>
      <w:r w:rsidRPr="002D2BE3">
        <w:rPr>
          <w:sz w:val="24"/>
          <w:szCs w:val="24"/>
        </w:rPr>
        <w:t xml:space="preserve">[accessed: </w:t>
      </w:r>
      <w:r w:rsidR="007C317A">
        <w:rPr>
          <w:sz w:val="24"/>
          <w:szCs w:val="24"/>
        </w:rPr>
        <w:t>21</w:t>
      </w:r>
      <w:r>
        <w:rPr>
          <w:sz w:val="24"/>
          <w:szCs w:val="24"/>
        </w:rPr>
        <w:t xml:space="preserve"> June</w:t>
      </w:r>
      <w:r w:rsidRPr="002D2BE3">
        <w:rPr>
          <w:sz w:val="24"/>
          <w:szCs w:val="24"/>
        </w:rPr>
        <w:t xml:space="preserve"> 2023]</w:t>
      </w:r>
    </w:p>
    <w:p w14:paraId="7C5C461F" w14:textId="50AD039E" w:rsidR="002D2BE3" w:rsidRDefault="002D2BE3" w:rsidP="002D2BE3">
      <w:pPr>
        <w:tabs>
          <w:tab w:val="left" w:pos="540"/>
        </w:tabs>
        <w:jc w:val="both"/>
        <w:rPr>
          <w:sz w:val="24"/>
          <w:szCs w:val="24"/>
        </w:rPr>
      </w:pPr>
      <w:r w:rsidRPr="002D2BE3">
        <w:rPr>
          <w:sz w:val="24"/>
          <w:szCs w:val="24"/>
        </w:rPr>
        <w:t>[3]</w:t>
      </w:r>
      <w:r w:rsidRPr="002D2BE3">
        <w:rPr>
          <w:sz w:val="24"/>
          <w:szCs w:val="24"/>
        </w:rPr>
        <w:tab/>
      </w:r>
      <w:r w:rsidR="007C317A">
        <w:rPr>
          <w:sz w:val="24"/>
          <w:szCs w:val="24"/>
        </w:rPr>
        <w:t xml:space="preserve">Wi-Fi NOW:  </w:t>
      </w:r>
      <w:r w:rsidR="007C317A" w:rsidRPr="007C317A">
        <w:rPr>
          <w:sz w:val="24"/>
          <w:szCs w:val="24"/>
        </w:rPr>
        <w:t xml:space="preserve">Momentum builds: 19.5 billion Wi-Fi devices will be in use this year, IDC </w:t>
      </w:r>
      <w:r w:rsidR="007C317A">
        <w:rPr>
          <w:sz w:val="24"/>
          <w:szCs w:val="24"/>
        </w:rPr>
        <w:tab/>
      </w:r>
      <w:r w:rsidR="007C317A" w:rsidRPr="007C317A">
        <w:rPr>
          <w:sz w:val="24"/>
          <w:szCs w:val="24"/>
        </w:rPr>
        <w:t>says</w:t>
      </w:r>
      <w:r w:rsidR="007C317A">
        <w:rPr>
          <w:sz w:val="24"/>
          <w:szCs w:val="24"/>
        </w:rPr>
        <w:t xml:space="preserve">. </w:t>
      </w:r>
      <w:hyperlink r:id="rId17" w:history="1">
        <w:r w:rsidR="007C317A" w:rsidRPr="007C317A">
          <w:rPr>
            <w:rStyle w:val="Hyperlink"/>
            <w:sz w:val="24"/>
            <w:szCs w:val="24"/>
          </w:rPr>
          <w:t>Available online</w:t>
        </w:r>
      </w:hyperlink>
      <w:r w:rsidR="007C317A">
        <w:rPr>
          <w:sz w:val="24"/>
          <w:szCs w:val="24"/>
        </w:rPr>
        <w:t xml:space="preserve"> [accessed: 21 June 2023]</w:t>
      </w:r>
    </w:p>
    <w:p w14:paraId="67E9F990" w14:textId="3DD69F53" w:rsidR="00B306FC" w:rsidRDefault="00B306FC" w:rsidP="007C317A">
      <w:pPr>
        <w:tabs>
          <w:tab w:val="left" w:pos="540"/>
        </w:tabs>
        <w:jc w:val="both"/>
        <w:rPr>
          <w:sz w:val="24"/>
          <w:szCs w:val="24"/>
        </w:rPr>
      </w:pPr>
      <w:r w:rsidRPr="007C317A">
        <w:rPr>
          <w:sz w:val="24"/>
          <w:szCs w:val="24"/>
        </w:rPr>
        <w:t>[</w:t>
      </w:r>
      <w:r>
        <w:rPr>
          <w:sz w:val="24"/>
          <w:szCs w:val="24"/>
        </w:rPr>
        <w:t>4</w:t>
      </w:r>
      <w:r w:rsidRPr="007C317A">
        <w:rPr>
          <w:sz w:val="24"/>
          <w:szCs w:val="24"/>
        </w:rPr>
        <w:t xml:space="preserve">] </w:t>
      </w:r>
      <w:r w:rsidRPr="007C317A">
        <w:rPr>
          <w:sz w:val="24"/>
          <w:szCs w:val="24"/>
        </w:rPr>
        <w:tab/>
        <w:t xml:space="preserve">“IEEE Standard for Low-Rate Wireless Networks—Amendment 1: Enhanced Ultra </w:t>
      </w:r>
      <w:r>
        <w:rPr>
          <w:sz w:val="24"/>
          <w:szCs w:val="24"/>
        </w:rPr>
        <w:tab/>
      </w:r>
      <w:r w:rsidRPr="007C317A">
        <w:rPr>
          <w:sz w:val="24"/>
          <w:szCs w:val="24"/>
        </w:rPr>
        <w:t xml:space="preserve">Wideband (UWB) Physical Layers (PHYs) and Associated Ranging Techniques,” in IEEE </w:t>
      </w:r>
      <w:r>
        <w:rPr>
          <w:sz w:val="24"/>
          <w:szCs w:val="24"/>
        </w:rPr>
        <w:tab/>
      </w:r>
      <w:r w:rsidRPr="007C317A">
        <w:rPr>
          <w:sz w:val="24"/>
          <w:szCs w:val="24"/>
        </w:rPr>
        <w:t xml:space="preserve">Std 802.15.4z-2020 (Amendment to IEEE Std 802.15.4-2020), vol., no., pp.1-174, 25 Aug. </w:t>
      </w:r>
      <w:r>
        <w:rPr>
          <w:sz w:val="24"/>
          <w:szCs w:val="24"/>
        </w:rPr>
        <w:tab/>
      </w:r>
      <w:r w:rsidRPr="007C317A">
        <w:rPr>
          <w:sz w:val="24"/>
          <w:szCs w:val="24"/>
        </w:rPr>
        <w:t>2020, doi: 10.1109/IEEESTD.2020.9179124.</w:t>
      </w:r>
    </w:p>
    <w:p w14:paraId="0BA83518" w14:textId="57602F76" w:rsidR="007C317A" w:rsidRDefault="007C317A" w:rsidP="007C317A">
      <w:pPr>
        <w:tabs>
          <w:tab w:val="left" w:pos="540"/>
        </w:tabs>
        <w:jc w:val="both"/>
        <w:rPr>
          <w:sz w:val="24"/>
          <w:szCs w:val="24"/>
        </w:rPr>
      </w:pPr>
      <w:r w:rsidRPr="007C317A">
        <w:rPr>
          <w:sz w:val="24"/>
          <w:szCs w:val="24"/>
        </w:rPr>
        <w:t>[</w:t>
      </w:r>
      <w:r w:rsidR="00B306FC">
        <w:rPr>
          <w:sz w:val="24"/>
          <w:szCs w:val="24"/>
        </w:rPr>
        <w:t>5</w:t>
      </w:r>
      <w:r w:rsidRPr="007C317A">
        <w:rPr>
          <w:sz w:val="24"/>
          <w:szCs w:val="24"/>
        </w:rPr>
        <w:t>]</w:t>
      </w:r>
      <w:r w:rsidRPr="007C317A">
        <w:rPr>
          <w:sz w:val="24"/>
          <w:szCs w:val="24"/>
        </w:rPr>
        <w:tab/>
        <w:t xml:space="preserve">“IEEE Standard for Low-Rate Wireless Networks,” in IEEE Std 802.15.4-2020 (Revision of </w:t>
      </w:r>
      <w:r>
        <w:rPr>
          <w:sz w:val="24"/>
          <w:szCs w:val="24"/>
        </w:rPr>
        <w:tab/>
      </w:r>
      <w:r w:rsidRPr="007C317A">
        <w:rPr>
          <w:sz w:val="24"/>
          <w:szCs w:val="24"/>
        </w:rPr>
        <w:t xml:space="preserve">IEEE Std 802.15.4-2015), vol., no., pp.1-800, 23 July 2020, doi: </w:t>
      </w:r>
      <w:r>
        <w:rPr>
          <w:sz w:val="24"/>
          <w:szCs w:val="24"/>
        </w:rPr>
        <w:tab/>
      </w:r>
      <w:r w:rsidRPr="007C317A">
        <w:rPr>
          <w:sz w:val="24"/>
          <w:szCs w:val="24"/>
        </w:rPr>
        <w:t>10.1109/IEEESTD.2020.9144691.</w:t>
      </w:r>
    </w:p>
    <w:p w14:paraId="4C828335" w14:textId="74F4634F" w:rsidR="00B306FC" w:rsidRPr="007C317A" w:rsidRDefault="00B306FC" w:rsidP="007C317A">
      <w:pPr>
        <w:tabs>
          <w:tab w:val="left" w:pos="540"/>
        </w:tabs>
        <w:jc w:val="both"/>
        <w:rPr>
          <w:sz w:val="24"/>
          <w:szCs w:val="24"/>
        </w:rPr>
      </w:pPr>
      <w:r w:rsidRPr="00B306FC">
        <w:rPr>
          <w:sz w:val="24"/>
          <w:szCs w:val="24"/>
        </w:rPr>
        <w:t>[</w:t>
      </w:r>
      <w:r>
        <w:rPr>
          <w:sz w:val="24"/>
          <w:szCs w:val="24"/>
        </w:rPr>
        <w:t>6</w:t>
      </w:r>
      <w:r w:rsidR="00EC4BE1">
        <w:rPr>
          <w:sz w:val="24"/>
          <w:szCs w:val="24"/>
        </w:rPr>
        <w:t>]</w:t>
      </w:r>
      <w:r w:rsidR="00EC4BE1">
        <w:rPr>
          <w:sz w:val="24"/>
          <w:szCs w:val="24"/>
        </w:rPr>
        <w:tab/>
        <w:t>IEEE P802.15.4ab.</w:t>
      </w:r>
      <w:r w:rsidRPr="00B306FC">
        <w:rPr>
          <w:sz w:val="24"/>
          <w:szCs w:val="24"/>
        </w:rPr>
        <w:t xml:space="preserve"> </w:t>
      </w:r>
      <w:hyperlink r:id="rId18" w:history="1">
        <w:r w:rsidRPr="00B306FC">
          <w:rPr>
            <w:rStyle w:val="Hyperlink"/>
            <w:sz w:val="24"/>
            <w:szCs w:val="24"/>
          </w:rPr>
          <w:t>Available online</w:t>
        </w:r>
      </w:hyperlink>
      <w:r w:rsidRPr="00B306FC">
        <w:rPr>
          <w:sz w:val="24"/>
          <w:szCs w:val="24"/>
        </w:rPr>
        <w:t xml:space="preserve"> [accessed: </w:t>
      </w:r>
      <w:r>
        <w:rPr>
          <w:sz w:val="24"/>
          <w:szCs w:val="24"/>
        </w:rPr>
        <w:t xml:space="preserve">21 June </w:t>
      </w:r>
      <w:r w:rsidRPr="00B306FC">
        <w:rPr>
          <w:sz w:val="24"/>
          <w:szCs w:val="24"/>
        </w:rPr>
        <w:t>2023]</w:t>
      </w:r>
    </w:p>
    <w:p w14:paraId="5472D114" w14:textId="0D5DDA8E" w:rsidR="002D2BE3" w:rsidRDefault="002D2BE3" w:rsidP="002D2BE3">
      <w:pPr>
        <w:tabs>
          <w:tab w:val="left" w:pos="540"/>
        </w:tabs>
        <w:jc w:val="both"/>
        <w:rPr>
          <w:sz w:val="24"/>
          <w:szCs w:val="24"/>
        </w:rPr>
      </w:pPr>
      <w:r w:rsidRPr="002D2BE3">
        <w:rPr>
          <w:sz w:val="24"/>
          <w:szCs w:val="24"/>
        </w:rPr>
        <w:t>[</w:t>
      </w:r>
      <w:r w:rsidR="00B306FC">
        <w:rPr>
          <w:sz w:val="24"/>
          <w:szCs w:val="24"/>
        </w:rPr>
        <w:t>7</w:t>
      </w:r>
      <w:r w:rsidRPr="002D2BE3">
        <w:rPr>
          <w:sz w:val="24"/>
          <w:szCs w:val="24"/>
        </w:rPr>
        <w:t>]</w:t>
      </w:r>
      <w:r w:rsidRPr="002D2BE3">
        <w:rPr>
          <w:sz w:val="24"/>
          <w:szCs w:val="24"/>
        </w:rPr>
        <w:tab/>
      </w:r>
      <w:r>
        <w:rPr>
          <w:sz w:val="24"/>
          <w:szCs w:val="24"/>
        </w:rPr>
        <w:t>“</w:t>
      </w:r>
      <w:r w:rsidRPr="002D2BE3">
        <w:rPr>
          <w:sz w:val="24"/>
          <w:szCs w:val="24"/>
        </w:rPr>
        <w:t xml:space="preserve">IEEE Recommended Practice for Local and Metropolitan Area Networks—Part 19: </w:t>
      </w:r>
      <w:r>
        <w:rPr>
          <w:sz w:val="24"/>
          <w:szCs w:val="24"/>
        </w:rPr>
        <w:tab/>
      </w:r>
      <w:r w:rsidRPr="002D2BE3">
        <w:rPr>
          <w:sz w:val="24"/>
          <w:szCs w:val="24"/>
        </w:rPr>
        <w:t xml:space="preserve">Coexistence Methods for IEEE 802.11 and IEEE 802.15.4 Based Systems Operating in the </w:t>
      </w:r>
      <w:r>
        <w:rPr>
          <w:sz w:val="24"/>
          <w:szCs w:val="24"/>
        </w:rPr>
        <w:tab/>
      </w:r>
      <w:r w:rsidRPr="002D2BE3">
        <w:rPr>
          <w:sz w:val="24"/>
          <w:szCs w:val="24"/>
        </w:rPr>
        <w:t xml:space="preserve">Sub-1 GHz Frequency </w:t>
      </w:r>
      <w:r>
        <w:rPr>
          <w:sz w:val="24"/>
          <w:szCs w:val="24"/>
        </w:rPr>
        <w:t>Bands,”</w:t>
      </w:r>
      <w:r w:rsidRPr="002D2BE3">
        <w:rPr>
          <w:sz w:val="24"/>
          <w:szCs w:val="24"/>
        </w:rPr>
        <w:t xml:space="preserve"> in IEEE Std 802.19.3-2021, vol., no., pp.1-79, 26 April 2021, </w:t>
      </w:r>
      <w:r>
        <w:rPr>
          <w:sz w:val="24"/>
          <w:szCs w:val="24"/>
        </w:rPr>
        <w:tab/>
      </w:r>
      <w:r w:rsidRPr="002D2BE3">
        <w:rPr>
          <w:sz w:val="24"/>
          <w:szCs w:val="24"/>
        </w:rPr>
        <w:t>doi: 10.1109/IEEESTD.2021.9416944.</w:t>
      </w:r>
    </w:p>
    <w:p w14:paraId="70EFEEB0" w14:textId="7491086B" w:rsidR="00EC4BE1" w:rsidRDefault="00EC4BE1" w:rsidP="002D2BE3">
      <w:pPr>
        <w:tabs>
          <w:tab w:val="left" w:pos="540"/>
        </w:tabs>
        <w:jc w:val="both"/>
        <w:rPr>
          <w:sz w:val="24"/>
          <w:szCs w:val="24"/>
        </w:rPr>
      </w:pPr>
      <w:r>
        <w:rPr>
          <w:sz w:val="24"/>
          <w:szCs w:val="24"/>
        </w:rPr>
        <w:t>[8]</w:t>
      </w:r>
      <w:r>
        <w:rPr>
          <w:sz w:val="24"/>
          <w:szCs w:val="24"/>
        </w:rPr>
        <w:tab/>
        <w:t xml:space="preserve">CEPT ERC </w:t>
      </w:r>
      <w:r w:rsidR="005C50A5">
        <w:rPr>
          <w:sz w:val="24"/>
          <w:szCs w:val="24"/>
        </w:rPr>
        <w:t>R</w:t>
      </w:r>
      <w:r>
        <w:rPr>
          <w:sz w:val="24"/>
          <w:szCs w:val="24"/>
        </w:rPr>
        <w:t xml:space="preserve">ecommendation 70-03:  </w:t>
      </w:r>
      <w:r w:rsidRPr="00EC4BE1">
        <w:rPr>
          <w:sz w:val="24"/>
          <w:szCs w:val="24"/>
        </w:rPr>
        <w:t>Relating to the use of Short Range Devices (SRD)</w:t>
      </w:r>
      <w:r>
        <w:rPr>
          <w:sz w:val="24"/>
          <w:szCs w:val="24"/>
        </w:rPr>
        <w:t xml:space="preserve">.  </w:t>
      </w:r>
      <w:r>
        <w:rPr>
          <w:sz w:val="24"/>
          <w:szCs w:val="24"/>
        </w:rPr>
        <w:tab/>
      </w:r>
      <w:hyperlink r:id="rId19" w:history="1">
        <w:r w:rsidRPr="00B306FC">
          <w:rPr>
            <w:rStyle w:val="Hyperlink"/>
            <w:sz w:val="24"/>
            <w:szCs w:val="24"/>
          </w:rPr>
          <w:t>Available online</w:t>
        </w:r>
      </w:hyperlink>
      <w:r w:rsidRPr="00B306FC">
        <w:rPr>
          <w:sz w:val="24"/>
          <w:szCs w:val="24"/>
        </w:rPr>
        <w:t xml:space="preserve"> [accessed: </w:t>
      </w:r>
      <w:r>
        <w:rPr>
          <w:sz w:val="24"/>
          <w:szCs w:val="24"/>
        </w:rPr>
        <w:t xml:space="preserve">21 June </w:t>
      </w:r>
      <w:r w:rsidRPr="00B306FC">
        <w:rPr>
          <w:sz w:val="24"/>
          <w:szCs w:val="24"/>
        </w:rPr>
        <w:t>2023]</w:t>
      </w:r>
      <w:r>
        <w:rPr>
          <w:sz w:val="24"/>
          <w:szCs w:val="24"/>
        </w:rPr>
        <w:t xml:space="preserve"> </w:t>
      </w:r>
    </w:p>
    <w:p w14:paraId="2B32B590" w14:textId="3F5481E4" w:rsidR="00865DD0" w:rsidRDefault="00865DD0" w:rsidP="002D2BE3">
      <w:pPr>
        <w:tabs>
          <w:tab w:val="left" w:pos="540"/>
        </w:tabs>
        <w:jc w:val="both"/>
        <w:rPr>
          <w:sz w:val="24"/>
          <w:szCs w:val="24"/>
        </w:rPr>
      </w:pPr>
      <w:r>
        <w:rPr>
          <w:sz w:val="24"/>
          <w:szCs w:val="24"/>
        </w:rPr>
        <w:t>[9]</w:t>
      </w:r>
      <w:r>
        <w:rPr>
          <w:sz w:val="24"/>
          <w:szCs w:val="24"/>
        </w:rPr>
        <w:tab/>
      </w:r>
      <w:r w:rsidRPr="00865DD0">
        <w:rPr>
          <w:sz w:val="24"/>
          <w:szCs w:val="24"/>
        </w:rPr>
        <w:t xml:space="preserve">Commission Implementing Decision (EU) 2017/1483 of 8 August 2017 amending Decision </w:t>
      </w:r>
      <w:r>
        <w:rPr>
          <w:sz w:val="24"/>
          <w:szCs w:val="24"/>
        </w:rPr>
        <w:tab/>
      </w:r>
      <w:r w:rsidRPr="00865DD0">
        <w:rPr>
          <w:sz w:val="24"/>
          <w:szCs w:val="24"/>
        </w:rPr>
        <w:t xml:space="preserve">2006/771/EC on harmonisation of the radio spectrum for use by short-range devices and </w:t>
      </w:r>
      <w:r>
        <w:rPr>
          <w:sz w:val="24"/>
          <w:szCs w:val="24"/>
        </w:rPr>
        <w:tab/>
      </w:r>
      <w:r w:rsidRPr="00865DD0">
        <w:rPr>
          <w:sz w:val="24"/>
          <w:szCs w:val="24"/>
        </w:rPr>
        <w:t xml:space="preserve">repealing Decision 2006/804/EC (notified under document C(2017) 5464) (Text with EEA </w:t>
      </w:r>
      <w:r>
        <w:rPr>
          <w:sz w:val="24"/>
          <w:szCs w:val="24"/>
        </w:rPr>
        <w:tab/>
      </w:r>
      <w:r w:rsidRPr="00865DD0">
        <w:rPr>
          <w:sz w:val="24"/>
          <w:szCs w:val="24"/>
        </w:rPr>
        <w:t>relevance. )</w:t>
      </w:r>
      <w:r>
        <w:rPr>
          <w:sz w:val="24"/>
          <w:szCs w:val="24"/>
        </w:rPr>
        <w:t xml:space="preserve">, </w:t>
      </w:r>
      <w:r w:rsidRPr="00865DD0">
        <w:rPr>
          <w:sz w:val="24"/>
          <w:szCs w:val="24"/>
        </w:rPr>
        <w:t>C/2017/5464</w:t>
      </w:r>
      <w:r>
        <w:rPr>
          <w:sz w:val="24"/>
          <w:szCs w:val="24"/>
        </w:rPr>
        <w:t xml:space="preserve">, 18 August 2017. </w:t>
      </w:r>
      <w:hyperlink r:id="rId20" w:history="1">
        <w:r w:rsidRPr="00B306FC">
          <w:rPr>
            <w:rStyle w:val="Hyperlink"/>
            <w:sz w:val="24"/>
            <w:szCs w:val="24"/>
          </w:rPr>
          <w:t>Available online</w:t>
        </w:r>
      </w:hyperlink>
      <w:r w:rsidRPr="00B306FC">
        <w:rPr>
          <w:sz w:val="24"/>
          <w:szCs w:val="24"/>
        </w:rPr>
        <w:t xml:space="preserve"> [accessed: </w:t>
      </w:r>
      <w:r>
        <w:rPr>
          <w:sz w:val="24"/>
          <w:szCs w:val="24"/>
        </w:rPr>
        <w:t xml:space="preserve">21 June </w:t>
      </w:r>
      <w:r w:rsidRPr="00B306FC">
        <w:rPr>
          <w:sz w:val="24"/>
          <w:szCs w:val="24"/>
        </w:rPr>
        <w:t>2023]</w:t>
      </w:r>
    </w:p>
    <w:p w14:paraId="4543B907" w14:textId="587854AB" w:rsidR="00865DD0" w:rsidRDefault="00865DD0" w:rsidP="002D2BE3">
      <w:pPr>
        <w:tabs>
          <w:tab w:val="left" w:pos="540"/>
        </w:tabs>
        <w:jc w:val="both"/>
        <w:rPr>
          <w:sz w:val="24"/>
          <w:szCs w:val="24"/>
        </w:rPr>
      </w:pPr>
      <w:r>
        <w:rPr>
          <w:sz w:val="24"/>
          <w:szCs w:val="24"/>
        </w:rPr>
        <w:t>[10]</w:t>
      </w:r>
      <w:r>
        <w:rPr>
          <w:sz w:val="24"/>
          <w:szCs w:val="24"/>
        </w:rPr>
        <w:tab/>
      </w:r>
      <w:r w:rsidRPr="00865DD0">
        <w:rPr>
          <w:sz w:val="24"/>
          <w:szCs w:val="24"/>
        </w:rPr>
        <w:t xml:space="preserve">Commission Implementing Decision (EU) 2018/1538 of 11 October 2018 on the </w:t>
      </w:r>
      <w:r>
        <w:rPr>
          <w:sz w:val="24"/>
          <w:szCs w:val="24"/>
        </w:rPr>
        <w:tab/>
      </w:r>
      <w:r w:rsidRPr="00865DD0">
        <w:rPr>
          <w:sz w:val="24"/>
          <w:szCs w:val="24"/>
        </w:rPr>
        <w:t>harmonisation of radio spectrum for use by short-range devices within the 874-876 and 915-</w:t>
      </w:r>
      <w:r>
        <w:rPr>
          <w:sz w:val="24"/>
          <w:szCs w:val="24"/>
        </w:rPr>
        <w:tab/>
      </w:r>
      <w:r w:rsidRPr="00865DD0">
        <w:rPr>
          <w:sz w:val="24"/>
          <w:szCs w:val="24"/>
        </w:rPr>
        <w:t xml:space="preserve">921 MHz frequency bands (notified under document C(2018) 6535) (Text with EEA </w:t>
      </w:r>
      <w:r>
        <w:rPr>
          <w:sz w:val="24"/>
          <w:szCs w:val="24"/>
        </w:rPr>
        <w:tab/>
      </w:r>
      <w:r w:rsidRPr="00865DD0">
        <w:rPr>
          <w:sz w:val="24"/>
          <w:szCs w:val="24"/>
        </w:rPr>
        <w:t>relevance.)</w:t>
      </w:r>
      <w:r>
        <w:rPr>
          <w:sz w:val="24"/>
          <w:szCs w:val="24"/>
        </w:rPr>
        <w:t xml:space="preserve">, </w:t>
      </w:r>
      <w:r w:rsidRPr="00865DD0">
        <w:rPr>
          <w:sz w:val="24"/>
          <w:szCs w:val="24"/>
        </w:rPr>
        <w:t>C/2018/6535</w:t>
      </w:r>
      <w:r>
        <w:rPr>
          <w:sz w:val="24"/>
          <w:szCs w:val="24"/>
        </w:rPr>
        <w:t xml:space="preserve">, 15 October 2018. </w:t>
      </w:r>
      <w:hyperlink r:id="rId21" w:history="1">
        <w:r w:rsidRPr="00B306FC">
          <w:rPr>
            <w:rStyle w:val="Hyperlink"/>
            <w:sz w:val="24"/>
            <w:szCs w:val="24"/>
          </w:rPr>
          <w:t>Available online</w:t>
        </w:r>
      </w:hyperlink>
      <w:r w:rsidRPr="00B306FC">
        <w:rPr>
          <w:sz w:val="24"/>
          <w:szCs w:val="24"/>
        </w:rPr>
        <w:t xml:space="preserve"> [accessed: </w:t>
      </w:r>
      <w:r>
        <w:rPr>
          <w:sz w:val="24"/>
          <w:szCs w:val="24"/>
        </w:rPr>
        <w:t xml:space="preserve">21 June </w:t>
      </w:r>
      <w:r w:rsidRPr="00B306FC">
        <w:rPr>
          <w:sz w:val="24"/>
          <w:szCs w:val="24"/>
        </w:rPr>
        <w:t>2023]</w:t>
      </w:r>
    </w:p>
    <w:p w14:paraId="299CE417" w14:textId="5E0BBEEC" w:rsidR="009273F5" w:rsidRDefault="009273F5" w:rsidP="009273F5">
      <w:pPr>
        <w:tabs>
          <w:tab w:val="left" w:pos="540"/>
        </w:tabs>
        <w:jc w:val="both"/>
        <w:rPr>
          <w:sz w:val="24"/>
          <w:szCs w:val="24"/>
        </w:rPr>
      </w:pPr>
      <w:r>
        <w:rPr>
          <w:sz w:val="24"/>
          <w:szCs w:val="24"/>
        </w:rPr>
        <w:t>[11]</w:t>
      </w:r>
      <w:r>
        <w:rPr>
          <w:sz w:val="24"/>
          <w:szCs w:val="24"/>
        </w:rPr>
        <w:tab/>
        <w:t xml:space="preserve">Draft </w:t>
      </w:r>
      <w:r w:rsidRPr="009273F5">
        <w:rPr>
          <w:sz w:val="24"/>
          <w:szCs w:val="24"/>
        </w:rPr>
        <w:t>ETSI EN 304 220-1 V1.1.0</w:t>
      </w:r>
      <w:r>
        <w:rPr>
          <w:sz w:val="24"/>
          <w:szCs w:val="24"/>
        </w:rPr>
        <w:t xml:space="preserve"> (20</w:t>
      </w:r>
      <w:r w:rsidR="005D4150">
        <w:rPr>
          <w:sz w:val="24"/>
          <w:szCs w:val="24"/>
        </w:rPr>
        <w:t>2</w:t>
      </w:r>
      <w:r>
        <w:rPr>
          <w:sz w:val="24"/>
          <w:szCs w:val="24"/>
        </w:rPr>
        <w:t xml:space="preserve">2-09): </w:t>
      </w:r>
      <w:r w:rsidRPr="009273F5">
        <w:rPr>
          <w:sz w:val="24"/>
          <w:szCs w:val="24"/>
        </w:rPr>
        <w:t xml:space="preserve">Wideband </w:t>
      </w:r>
      <w:r>
        <w:rPr>
          <w:sz w:val="24"/>
          <w:szCs w:val="24"/>
        </w:rPr>
        <w:t xml:space="preserve">data transmission SRD operating </w:t>
      </w:r>
      <w:r w:rsidRPr="009273F5">
        <w:rPr>
          <w:sz w:val="24"/>
          <w:szCs w:val="24"/>
        </w:rPr>
        <w:t xml:space="preserve">in </w:t>
      </w:r>
      <w:r>
        <w:rPr>
          <w:sz w:val="24"/>
          <w:szCs w:val="24"/>
        </w:rPr>
        <w:tab/>
      </w:r>
      <w:r w:rsidRPr="009273F5">
        <w:rPr>
          <w:sz w:val="24"/>
          <w:szCs w:val="24"/>
        </w:rPr>
        <w:t>the frequ</w:t>
      </w:r>
      <w:r>
        <w:rPr>
          <w:sz w:val="24"/>
          <w:szCs w:val="24"/>
        </w:rPr>
        <w:t xml:space="preserve">ency range 25 MHz to 1 000 MHz; </w:t>
      </w:r>
      <w:r w:rsidRPr="009273F5">
        <w:rPr>
          <w:sz w:val="24"/>
          <w:szCs w:val="24"/>
        </w:rPr>
        <w:t xml:space="preserve">Harmonised Standard for access to radio </w:t>
      </w:r>
      <w:r>
        <w:rPr>
          <w:sz w:val="24"/>
          <w:szCs w:val="24"/>
        </w:rPr>
        <w:tab/>
        <w:t xml:space="preserve">spectrum; </w:t>
      </w:r>
      <w:r w:rsidRPr="009273F5">
        <w:rPr>
          <w:sz w:val="24"/>
          <w:szCs w:val="24"/>
        </w:rPr>
        <w:t>Part 1: Wide</w:t>
      </w:r>
      <w:r>
        <w:rPr>
          <w:sz w:val="24"/>
          <w:szCs w:val="24"/>
        </w:rPr>
        <w:t xml:space="preserve">band data transmission devices: </w:t>
      </w:r>
      <w:r w:rsidRPr="009273F5">
        <w:rPr>
          <w:sz w:val="24"/>
          <w:szCs w:val="24"/>
        </w:rPr>
        <w:t xml:space="preserve">network access points operating in </w:t>
      </w:r>
      <w:r>
        <w:rPr>
          <w:sz w:val="24"/>
          <w:szCs w:val="24"/>
        </w:rPr>
        <w:tab/>
      </w:r>
      <w:r w:rsidRPr="009273F5">
        <w:rPr>
          <w:sz w:val="24"/>
          <w:szCs w:val="24"/>
        </w:rPr>
        <w:t>designated bands</w:t>
      </w:r>
      <w:r>
        <w:rPr>
          <w:sz w:val="24"/>
          <w:szCs w:val="24"/>
        </w:rPr>
        <w:t xml:space="preserve">. </w:t>
      </w:r>
      <w:hyperlink r:id="rId22" w:history="1">
        <w:r w:rsidRPr="009273F5">
          <w:rPr>
            <w:rStyle w:val="Hyperlink"/>
            <w:sz w:val="24"/>
            <w:szCs w:val="24"/>
          </w:rPr>
          <w:t>Available online</w:t>
        </w:r>
      </w:hyperlink>
      <w:r>
        <w:rPr>
          <w:sz w:val="24"/>
          <w:szCs w:val="24"/>
        </w:rPr>
        <w:t xml:space="preserve"> [accessed: 21 June 2023]</w:t>
      </w:r>
    </w:p>
    <w:p w14:paraId="5CFB44E1" w14:textId="388E5460" w:rsidR="009273F5" w:rsidRDefault="009273F5" w:rsidP="005D4150">
      <w:pPr>
        <w:tabs>
          <w:tab w:val="left" w:pos="540"/>
        </w:tabs>
        <w:jc w:val="both"/>
        <w:rPr>
          <w:sz w:val="24"/>
          <w:szCs w:val="24"/>
        </w:rPr>
      </w:pPr>
      <w:r>
        <w:rPr>
          <w:sz w:val="24"/>
          <w:szCs w:val="24"/>
        </w:rPr>
        <w:t>[12]</w:t>
      </w:r>
      <w:r w:rsidR="005D4150">
        <w:rPr>
          <w:sz w:val="24"/>
          <w:szCs w:val="24"/>
        </w:rPr>
        <w:tab/>
        <w:t xml:space="preserve">Draft </w:t>
      </w:r>
      <w:r w:rsidR="005D4150" w:rsidRPr="009273F5">
        <w:rPr>
          <w:sz w:val="24"/>
          <w:szCs w:val="24"/>
        </w:rPr>
        <w:t>ETSI EN 304 220-</w:t>
      </w:r>
      <w:r w:rsidR="005D4150">
        <w:rPr>
          <w:sz w:val="24"/>
          <w:szCs w:val="24"/>
        </w:rPr>
        <w:t>2</w:t>
      </w:r>
      <w:r w:rsidR="005D4150" w:rsidRPr="009273F5">
        <w:rPr>
          <w:sz w:val="24"/>
          <w:szCs w:val="24"/>
        </w:rPr>
        <w:t xml:space="preserve"> V1.1.0</w:t>
      </w:r>
      <w:r w:rsidR="005D4150">
        <w:rPr>
          <w:sz w:val="24"/>
          <w:szCs w:val="24"/>
        </w:rPr>
        <w:t xml:space="preserve"> (2022-09): </w:t>
      </w:r>
      <w:r w:rsidR="005D4150" w:rsidRPr="005D4150">
        <w:rPr>
          <w:sz w:val="24"/>
          <w:szCs w:val="24"/>
        </w:rPr>
        <w:t>Wideband dat</w:t>
      </w:r>
      <w:r w:rsidR="005D4150">
        <w:rPr>
          <w:sz w:val="24"/>
          <w:szCs w:val="24"/>
        </w:rPr>
        <w:t xml:space="preserve">a transmission SRD operating in </w:t>
      </w:r>
      <w:r w:rsidR="005D4150">
        <w:rPr>
          <w:sz w:val="24"/>
          <w:szCs w:val="24"/>
        </w:rPr>
        <w:tab/>
      </w:r>
      <w:r w:rsidR="005D4150" w:rsidRPr="005D4150">
        <w:rPr>
          <w:sz w:val="24"/>
          <w:szCs w:val="24"/>
        </w:rPr>
        <w:t>the frequ</w:t>
      </w:r>
      <w:r w:rsidR="005D4150">
        <w:rPr>
          <w:sz w:val="24"/>
          <w:szCs w:val="24"/>
        </w:rPr>
        <w:t xml:space="preserve">ency range 25 MHz to 1 000 MHz; </w:t>
      </w:r>
      <w:r w:rsidR="005D4150" w:rsidRPr="005D4150">
        <w:rPr>
          <w:sz w:val="24"/>
          <w:szCs w:val="24"/>
        </w:rPr>
        <w:t>Harmonised Standar</w:t>
      </w:r>
      <w:r w:rsidR="005D4150">
        <w:rPr>
          <w:sz w:val="24"/>
          <w:szCs w:val="24"/>
        </w:rPr>
        <w:t xml:space="preserve">d for access to radio </w:t>
      </w:r>
      <w:r w:rsidR="005D4150">
        <w:rPr>
          <w:sz w:val="24"/>
          <w:szCs w:val="24"/>
        </w:rPr>
        <w:tab/>
        <w:t xml:space="preserve">spectrum; </w:t>
      </w:r>
      <w:r w:rsidR="005D4150" w:rsidRPr="005D4150">
        <w:rPr>
          <w:sz w:val="24"/>
          <w:szCs w:val="24"/>
        </w:rPr>
        <w:t>Part 2: Wide</w:t>
      </w:r>
      <w:r w:rsidR="005D4150">
        <w:rPr>
          <w:sz w:val="24"/>
          <w:szCs w:val="24"/>
        </w:rPr>
        <w:t xml:space="preserve">band data transmission devices: </w:t>
      </w:r>
      <w:r w:rsidR="005D4150" w:rsidRPr="005D4150">
        <w:rPr>
          <w:sz w:val="24"/>
          <w:szCs w:val="24"/>
        </w:rPr>
        <w:t xml:space="preserve">terminal node operating in designated </w:t>
      </w:r>
      <w:r w:rsidR="005D4150">
        <w:rPr>
          <w:sz w:val="24"/>
          <w:szCs w:val="24"/>
        </w:rPr>
        <w:tab/>
      </w:r>
      <w:r w:rsidR="005D4150" w:rsidRPr="005D4150">
        <w:rPr>
          <w:sz w:val="24"/>
          <w:szCs w:val="24"/>
        </w:rPr>
        <w:t>bands</w:t>
      </w:r>
      <w:r w:rsidR="005D4150">
        <w:rPr>
          <w:sz w:val="24"/>
          <w:szCs w:val="24"/>
        </w:rPr>
        <w:t xml:space="preserve">. </w:t>
      </w:r>
      <w:hyperlink r:id="rId23" w:history="1">
        <w:r w:rsidR="005D4150" w:rsidRPr="005D4150">
          <w:rPr>
            <w:rStyle w:val="Hyperlink"/>
            <w:sz w:val="24"/>
            <w:szCs w:val="24"/>
          </w:rPr>
          <w:t>Available online</w:t>
        </w:r>
      </w:hyperlink>
      <w:r w:rsidR="005D4150">
        <w:rPr>
          <w:sz w:val="24"/>
          <w:szCs w:val="24"/>
        </w:rPr>
        <w:t xml:space="preserve"> [accessed: 21 June 2023]</w:t>
      </w:r>
    </w:p>
    <w:p w14:paraId="5C7CBBA1" w14:textId="3800ADD7" w:rsidR="007C3CF7" w:rsidRDefault="007C3CF7" w:rsidP="005D4150">
      <w:pPr>
        <w:tabs>
          <w:tab w:val="left" w:pos="540"/>
        </w:tabs>
        <w:jc w:val="both"/>
        <w:rPr>
          <w:sz w:val="24"/>
          <w:szCs w:val="24"/>
        </w:rPr>
      </w:pPr>
      <w:r>
        <w:rPr>
          <w:sz w:val="24"/>
          <w:szCs w:val="24"/>
        </w:rPr>
        <w:t>[13]</w:t>
      </w:r>
      <w:r>
        <w:rPr>
          <w:sz w:val="24"/>
          <w:szCs w:val="24"/>
        </w:rPr>
        <w:tab/>
        <w:t xml:space="preserve">United States Federal Communications Commission: </w:t>
      </w:r>
      <w:r w:rsidRPr="007C3CF7">
        <w:rPr>
          <w:sz w:val="24"/>
          <w:szCs w:val="24"/>
        </w:rPr>
        <w:t xml:space="preserve">47 CFR § 15.249 - Operation within </w:t>
      </w:r>
      <w:r>
        <w:rPr>
          <w:sz w:val="24"/>
          <w:szCs w:val="24"/>
        </w:rPr>
        <w:tab/>
      </w:r>
      <w:r w:rsidRPr="007C3CF7">
        <w:rPr>
          <w:sz w:val="24"/>
          <w:szCs w:val="24"/>
        </w:rPr>
        <w:t>the bands 902-928 MHz, 2400-2483.5 MHz, 5725-5875 MHZ, and 24.0-24.25 GHz.</w:t>
      </w:r>
    </w:p>
    <w:p w14:paraId="42DC29CD" w14:textId="1F8DB230" w:rsidR="007C3CF7" w:rsidRDefault="007C3CF7" w:rsidP="005D4150">
      <w:pPr>
        <w:tabs>
          <w:tab w:val="left" w:pos="540"/>
        </w:tabs>
        <w:jc w:val="both"/>
        <w:rPr>
          <w:sz w:val="24"/>
          <w:szCs w:val="24"/>
        </w:rPr>
      </w:pPr>
      <w:r>
        <w:rPr>
          <w:sz w:val="24"/>
          <w:szCs w:val="24"/>
        </w:rPr>
        <w:lastRenderedPageBreak/>
        <w:t>[14]</w:t>
      </w:r>
      <w:r w:rsidR="0084099F">
        <w:rPr>
          <w:sz w:val="24"/>
          <w:szCs w:val="24"/>
        </w:rPr>
        <w:tab/>
        <w:t>“</w:t>
      </w:r>
      <w:r w:rsidR="0084099F" w:rsidRPr="0084099F">
        <w:rPr>
          <w:sz w:val="24"/>
          <w:szCs w:val="24"/>
        </w:rPr>
        <w:t xml:space="preserve">American National Standard of Procedures for Compliance Testing </w:t>
      </w:r>
      <w:r w:rsidR="0084099F">
        <w:rPr>
          <w:sz w:val="24"/>
          <w:szCs w:val="24"/>
        </w:rPr>
        <w:t xml:space="preserve">of Unlicensed Wireless </w:t>
      </w:r>
      <w:r w:rsidR="0084099F">
        <w:rPr>
          <w:sz w:val="24"/>
          <w:szCs w:val="24"/>
        </w:rPr>
        <w:tab/>
        <w:t>Devices,” in ANSI C63.10-2020</w:t>
      </w:r>
      <w:r w:rsidR="0084099F" w:rsidRPr="0084099F">
        <w:rPr>
          <w:sz w:val="24"/>
          <w:szCs w:val="24"/>
        </w:rPr>
        <w:t xml:space="preserve">, vol., no., pp.1-268, 29 Jan. 2021, doi: </w:t>
      </w:r>
      <w:r w:rsidR="0084099F">
        <w:rPr>
          <w:sz w:val="24"/>
          <w:szCs w:val="24"/>
        </w:rPr>
        <w:tab/>
      </w:r>
      <w:r w:rsidR="0084099F" w:rsidRPr="0084099F">
        <w:rPr>
          <w:sz w:val="24"/>
          <w:szCs w:val="24"/>
        </w:rPr>
        <w:t>10.1109/IEEESTD.2021.9340083.</w:t>
      </w:r>
    </w:p>
    <w:p w14:paraId="19F99E47" w14:textId="32928CC7" w:rsidR="0084099F" w:rsidRDefault="0084099F" w:rsidP="00995254">
      <w:pPr>
        <w:tabs>
          <w:tab w:val="left" w:pos="540"/>
        </w:tabs>
        <w:jc w:val="both"/>
        <w:rPr>
          <w:sz w:val="24"/>
          <w:szCs w:val="24"/>
        </w:rPr>
      </w:pPr>
      <w:r>
        <w:rPr>
          <w:sz w:val="24"/>
          <w:szCs w:val="24"/>
        </w:rPr>
        <w:t>[15]</w:t>
      </w:r>
      <w:r w:rsidR="00995254">
        <w:rPr>
          <w:sz w:val="24"/>
          <w:szCs w:val="24"/>
        </w:rPr>
        <w:tab/>
        <w:t xml:space="preserve">ECC Decision (06)04:  </w:t>
      </w:r>
      <w:r w:rsidR="00995254" w:rsidRPr="00995254">
        <w:rPr>
          <w:sz w:val="24"/>
          <w:szCs w:val="24"/>
        </w:rPr>
        <w:t>The harmonised use, exem</w:t>
      </w:r>
      <w:r w:rsidR="00995254">
        <w:rPr>
          <w:sz w:val="24"/>
          <w:szCs w:val="24"/>
        </w:rPr>
        <w:t xml:space="preserve">ption from individual licensing </w:t>
      </w:r>
      <w:r w:rsidR="00995254" w:rsidRPr="00995254">
        <w:rPr>
          <w:sz w:val="24"/>
          <w:szCs w:val="24"/>
        </w:rPr>
        <w:t xml:space="preserve">and free </w:t>
      </w:r>
      <w:r w:rsidR="00995254">
        <w:rPr>
          <w:sz w:val="24"/>
          <w:szCs w:val="24"/>
        </w:rPr>
        <w:tab/>
      </w:r>
      <w:r w:rsidR="00995254" w:rsidRPr="00995254">
        <w:rPr>
          <w:sz w:val="24"/>
          <w:szCs w:val="24"/>
        </w:rPr>
        <w:t xml:space="preserve">circulation </w:t>
      </w:r>
      <w:r w:rsidR="00995254">
        <w:rPr>
          <w:sz w:val="24"/>
          <w:szCs w:val="24"/>
        </w:rPr>
        <w:t xml:space="preserve">of devices using Ultra-Wideband </w:t>
      </w:r>
      <w:r w:rsidR="00995254" w:rsidRPr="00995254">
        <w:rPr>
          <w:sz w:val="24"/>
          <w:szCs w:val="24"/>
        </w:rPr>
        <w:t>(UWB) technology in bands below 10.6 GHz</w:t>
      </w:r>
      <w:r w:rsidR="00995254">
        <w:rPr>
          <w:sz w:val="24"/>
          <w:szCs w:val="24"/>
        </w:rPr>
        <w:t xml:space="preserve">, </w:t>
      </w:r>
      <w:r w:rsidR="00995254">
        <w:rPr>
          <w:sz w:val="24"/>
          <w:szCs w:val="24"/>
        </w:rPr>
        <w:tab/>
        <w:t xml:space="preserve">18 November 2022. </w:t>
      </w:r>
      <w:hyperlink r:id="rId24" w:history="1">
        <w:r w:rsidR="00995254" w:rsidRPr="00995254">
          <w:rPr>
            <w:rStyle w:val="Hyperlink"/>
            <w:sz w:val="24"/>
            <w:szCs w:val="24"/>
          </w:rPr>
          <w:t>Available online</w:t>
        </w:r>
      </w:hyperlink>
      <w:r w:rsidR="00995254">
        <w:rPr>
          <w:sz w:val="24"/>
          <w:szCs w:val="24"/>
        </w:rPr>
        <w:t xml:space="preserve"> [accessed: 21 June 2023]</w:t>
      </w:r>
    </w:p>
    <w:p w14:paraId="2A4AF092" w14:textId="79153B5B" w:rsidR="00995254" w:rsidRDefault="00995254" w:rsidP="00995254">
      <w:pPr>
        <w:tabs>
          <w:tab w:val="left" w:pos="540"/>
        </w:tabs>
        <w:jc w:val="both"/>
        <w:rPr>
          <w:sz w:val="24"/>
          <w:szCs w:val="24"/>
        </w:rPr>
      </w:pPr>
      <w:r>
        <w:rPr>
          <w:sz w:val="24"/>
          <w:szCs w:val="24"/>
        </w:rPr>
        <w:t>[16]</w:t>
      </w:r>
      <w:r>
        <w:rPr>
          <w:sz w:val="24"/>
          <w:szCs w:val="24"/>
        </w:rPr>
        <w:tab/>
        <w:t xml:space="preserve">ETSI </w:t>
      </w:r>
      <w:r w:rsidRPr="00CC3B8C">
        <w:rPr>
          <w:sz w:val="24"/>
          <w:szCs w:val="24"/>
        </w:rPr>
        <w:t>EN 302 065 family of standards</w:t>
      </w:r>
      <w:r>
        <w:rPr>
          <w:sz w:val="24"/>
          <w:szCs w:val="24"/>
        </w:rPr>
        <w:t xml:space="preserve">. </w:t>
      </w:r>
      <w:hyperlink r:id="rId25" w:anchor="page=1&amp;search=302%20065&amp;title=1&amp;etsiNumber=1&amp;content=1&amp;version=0&amp;onApproval=1&amp;published=1&amp;withdrawn=1&amp;historical=1&amp;isCurrent=1&amp;superseded=1&amp;startDate=1988-01-15&amp;endDate=2023-06-21&amp;harmonized=0&amp;keyword=&amp;TB=&amp;stdType=&amp;frequency=&amp;mandate=&amp;collection=&amp;sort=1" w:history="1">
        <w:r w:rsidRPr="00995254">
          <w:rPr>
            <w:rStyle w:val="Hyperlink"/>
            <w:sz w:val="24"/>
            <w:szCs w:val="24"/>
          </w:rPr>
          <w:t>Available online</w:t>
        </w:r>
      </w:hyperlink>
      <w:r>
        <w:rPr>
          <w:sz w:val="24"/>
          <w:szCs w:val="24"/>
        </w:rPr>
        <w:t xml:space="preserve"> [accessed: 21 June 2023]</w:t>
      </w:r>
    </w:p>
    <w:p w14:paraId="22826786" w14:textId="0A4F023E" w:rsidR="009D1A35" w:rsidRDefault="009D1A35" w:rsidP="009D1A35">
      <w:pPr>
        <w:tabs>
          <w:tab w:val="left" w:pos="540"/>
        </w:tabs>
        <w:jc w:val="both"/>
        <w:rPr>
          <w:sz w:val="24"/>
          <w:szCs w:val="24"/>
        </w:rPr>
      </w:pPr>
      <w:r>
        <w:rPr>
          <w:sz w:val="24"/>
          <w:szCs w:val="24"/>
        </w:rPr>
        <w:t>[17]</w:t>
      </w:r>
      <w:r>
        <w:rPr>
          <w:sz w:val="24"/>
          <w:szCs w:val="24"/>
        </w:rPr>
        <w:tab/>
      </w:r>
      <w:r w:rsidRPr="009D1A35">
        <w:rPr>
          <w:sz w:val="24"/>
          <w:szCs w:val="24"/>
        </w:rPr>
        <w:t>ETSI EN 302 065-4 V1.1.1 (2016-11)</w:t>
      </w:r>
      <w:r>
        <w:rPr>
          <w:sz w:val="24"/>
          <w:szCs w:val="24"/>
        </w:rPr>
        <w:t xml:space="preserve">: Short Range Devices (SRD) using </w:t>
      </w:r>
      <w:r w:rsidRPr="009D1A35">
        <w:rPr>
          <w:sz w:val="24"/>
          <w:szCs w:val="24"/>
        </w:rPr>
        <w:t>Ul</w:t>
      </w:r>
      <w:r>
        <w:rPr>
          <w:sz w:val="24"/>
          <w:szCs w:val="24"/>
        </w:rPr>
        <w:t xml:space="preserve">tra Wide Band </w:t>
      </w:r>
      <w:r>
        <w:rPr>
          <w:sz w:val="24"/>
          <w:szCs w:val="24"/>
        </w:rPr>
        <w:tab/>
        <w:t xml:space="preserve">technology (UWB); </w:t>
      </w:r>
      <w:r w:rsidRPr="009D1A35">
        <w:rPr>
          <w:sz w:val="24"/>
          <w:szCs w:val="24"/>
        </w:rPr>
        <w:t xml:space="preserve">Harmonised Standard covering the essential </w:t>
      </w:r>
      <w:r>
        <w:rPr>
          <w:sz w:val="24"/>
          <w:szCs w:val="24"/>
        </w:rPr>
        <w:t xml:space="preserve">requirements of </w:t>
      </w:r>
      <w:r w:rsidRPr="009D1A35">
        <w:rPr>
          <w:sz w:val="24"/>
          <w:szCs w:val="24"/>
        </w:rPr>
        <w:t>article 3</w:t>
      </w:r>
      <w:r>
        <w:rPr>
          <w:sz w:val="24"/>
          <w:szCs w:val="24"/>
        </w:rPr>
        <w:t xml:space="preserve">.2 </w:t>
      </w:r>
      <w:r>
        <w:rPr>
          <w:sz w:val="24"/>
          <w:szCs w:val="24"/>
        </w:rPr>
        <w:tab/>
        <w:t xml:space="preserve">of the Directive 2014/53/EU; </w:t>
      </w:r>
      <w:r w:rsidRPr="009D1A35">
        <w:rPr>
          <w:sz w:val="24"/>
          <w:szCs w:val="24"/>
        </w:rPr>
        <w:t>Part 4:</w:t>
      </w:r>
      <w:r>
        <w:rPr>
          <w:sz w:val="24"/>
          <w:szCs w:val="24"/>
        </w:rPr>
        <w:t xml:space="preserve"> Material Sensing devices using </w:t>
      </w:r>
      <w:r w:rsidRPr="009D1A35">
        <w:rPr>
          <w:sz w:val="24"/>
          <w:szCs w:val="24"/>
        </w:rPr>
        <w:t xml:space="preserve">UWB technology below </w:t>
      </w:r>
      <w:r>
        <w:rPr>
          <w:sz w:val="24"/>
          <w:szCs w:val="24"/>
        </w:rPr>
        <w:tab/>
      </w:r>
      <w:r w:rsidRPr="009D1A35">
        <w:rPr>
          <w:sz w:val="24"/>
          <w:szCs w:val="24"/>
        </w:rPr>
        <w:t>10,6 GHz</w:t>
      </w:r>
      <w:r>
        <w:rPr>
          <w:sz w:val="24"/>
          <w:szCs w:val="24"/>
        </w:rPr>
        <w:t xml:space="preserve">. </w:t>
      </w:r>
      <w:hyperlink r:id="rId26" w:history="1">
        <w:r w:rsidRPr="009D1A35">
          <w:rPr>
            <w:rStyle w:val="Hyperlink"/>
            <w:sz w:val="24"/>
            <w:szCs w:val="24"/>
          </w:rPr>
          <w:t>Available online</w:t>
        </w:r>
      </w:hyperlink>
      <w:r>
        <w:rPr>
          <w:sz w:val="24"/>
          <w:szCs w:val="24"/>
        </w:rPr>
        <w:t xml:space="preserve"> [accessed: 21 June 2023]</w:t>
      </w:r>
    </w:p>
    <w:p w14:paraId="12E4AD04" w14:textId="1BF55C8D" w:rsidR="00846A02" w:rsidRDefault="00846A02" w:rsidP="00846A02">
      <w:pPr>
        <w:tabs>
          <w:tab w:val="left" w:pos="540"/>
        </w:tabs>
        <w:jc w:val="both"/>
        <w:rPr>
          <w:sz w:val="24"/>
          <w:szCs w:val="24"/>
        </w:rPr>
      </w:pPr>
      <w:r>
        <w:rPr>
          <w:sz w:val="24"/>
          <w:szCs w:val="24"/>
        </w:rPr>
        <w:t>[18]</w:t>
      </w:r>
      <w:r>
        <w:rPr>
          <w:sz w:val="24"/>
          <w:szCs w:val="24"/>
        </w:rPr>
        <w:tab/>
        <w:t xml:space="preserve">Draft </w:t>
      </w:r>
      <w:r w:rsidRPr="00846A02">
        <w:rPr>
          <w:sz w:val="24"/>
          <w:szCs w:val="24"/>
        </w:rPr>
        <w:t>303 883 V1.1.0 (2016-02)</w:t>
      </w:r>
      <w:r>
        <w:rPr>
          <w:sz w:val="24"/>
          <w:szCs w:val="24"/>
        </w:rPr>
        <w:t xml:space="preserve">: </w:t>
      </w:r>
      <w:r w:rsidRPr="00846A02">
        <w:rPr>
          <w:sz w:val="24"/>
          <w:szCs w:val="24"/>
        </w:rPr>
        <w:t>Short Range Devices (SR</w:t>
      </w:r>
      <w:r>
        <w:rPr>
          <w:sz w:val="24"/>
          <w:szCs w:val="24"/>
        </w:rPr>
        <w:t xml:space="preserve">D) using Ultra Wide Band </w:t>
      </w:r>
      <w:r>
        <w:rPr>
          <w:sz w:val="24"/>
          <w:szCs w:val="24"/>
        </w:rPr>
        <w:tab/>
        <w:t xml:space="preserve">(UWB); </w:t>
      </w:r>
      <w:r w:rsidRPr="00846A02">
        <w:rPr>
          <w:sz w:val="24"/>
          <w:szCs w:val="24"/>
        </w:rPr>
        <w:t>Measurement Techniques</w:t>
      </w:r>
      <w:r>
        <w:rPr>
          <w:sz w:val="24"/>
          <w:szCs w:val="24"/>
        </w:rPr>
        <w:t xml:space="preserve">. </w:t>
      </w:r>
      <w:hyperlink r:id="rId27" w:history="1">
        <w:r w:rsidRPr="008B4ADE">
          <w:rPr>
            <w:rStyle w:val="Hyperlink"/>
            <w:sz w:val="24"/>
            <w:szCs w:val="24"/>
          </w:rPr>
          <w:t>Available online</w:t>
        </w:r>
      </w:hyperlink>
      <w:r>
        <w:rPr>
          <w:sz w:val="24"/>
          <w:szCs w:val="24"/>
        </w:rPr>
        <w:t xml:space="preserve"> [accessed: 21 June 2023]</w:t>
      </w:r>
    </w:p>
    <w:p w14:paraId="1CB59926" w14:textId="4119B749" w:rsidR="00386C69" w:rsidRDefault="00386C69" w:rsidP="00846A02">
      <w:pPr>
        <w:tabs>
          <w:tab w:val="left" w:pos="540"/>
        </w:tabs>
        <w:jc w:val="both"/>
        <w:rPr>
          <w:sz w:val="24"/>
          <w:szCs w:val="24"/>
        </w:rPr>
      </w:pPr>
      <w:r>
        <w:rPr>
          <w:sz w:val="24"/>
          <w:szCs w:val="24"/>
        </w:rPr>
        <w:t>[19]</w:t>
      </w:r>
      <w:r>
        <w:rPr>
          <w:sz w:val="24"/>
          <w:szCs w:val="24"/>
        </w:rPr>
        <w:tab/>
      </w:r>
      <w:r w:rsidRPr="00DA01A9">
        <w:rPr>
          <w:sz w:val="24"/>
          <w:szCs w:val="24"/>
        </w:rPr>
        <w:t>ETSI ERM TGUWB</w:t>
      </w:r>
      <w:r>
        <w:rPr>
          <w:sz w:val="24"/>
          <w:szCs w:val="24"/>
        </w:rPr>
        <w:t>.</w:t>
      </w:r>
      <w:r w:rsidRPr="00B306FC">
        <w:rPr>
          <w:sz w:val="24"/>
          <w:szCs w:val="24"/>
        </w:rPr>
        <w:t xml:space="preserve"> </w:t>
      </w:r>
      <w:hyperlink r:id="rId28" w:anchor="/" w:history="1">
        <w:r w:rsidRPr="00386C69">
          <w:rPr>
            <w:rStyle w:val="Hyperlink"/>
            <w:sz w:val="24"/>
            <w:szCs w:val="24"/>
          </w:rPr>
          <w:t>Available online</w:t>
        </w:r>
      </w:hyperlink>
      <w:r w:rsidRPr="00B306FC">
        <w:rPr>
          <w:sz w:val="24"/>
          <w:szCs w:val="24"/>
        </w:rPr>
        <w:t xml:space="preserve"> [accessed: </w:t>
      </w:r>
      <w:r>
        <w:rPr>
          <w:sz w:val="24"/>
          <w:szCs w:val="24"/>
        </w:rPr>
        <w:t xml:space="preserve">21 June </w:t>
      </w:r>
      <w:r w:rsidRPr="00B306FC">
        <w:rPr>
          <w:sz w:val="24"/>
          <w:szCs w:val="24"/>
        </w:rPr>
        <w:t>2023]</w:t>
      </w:r>
    </w:p>
    <w:p w14:paraId="3A4C5186" w14:textId="77777777" w:rsidR="00846A02" w:rsidRDefault="00846A02" w:rsidP="00846A02">
      <w:pPr>
        <w:tabs>
          <w:tab w:val="left" w:pos="540"/>
        </w:tabs>
        <w:jc w:val="both"/>
        <w:rPr>
          <w:sz w:val="24"/>
          <w:szCs w:val="24"/>
        </w:rPr>
      </w:pPr>
    </w:p>
    <w:p w14:paraId="06727FB7" w14:textId="77777777" w:rsidR="009D1A35" w:rsidRDefault="009D1A35" w:rsidP="00995254">
      <w:pPr>
        <w:tabs>
          <w:tab w:val="left" w:pos="540"/>
        </w:tabs>
        <w:jc w:val="both"/>
        <w:rPr>
          <w:sz w:val="24"/>
          <w:szCs w:val="24"/>
        </w:rPr>
      </w:pPr>
    </w:p>
    <w:p w14:paraId="467A7D81" w14:textId="77777777" w:rsidR="009D1A35" w:rsidRDefault="009D1A35" w:rsidP="00995254">
      <w:pPr>
        <w:tabs>
          <w:tab w:val="left" w:pos="540"/>
        </w:tabs>
        <w:jc w:val="both"/>
        <w:rPr>
          <w:sz w:val="24"/>
          <w:szCs w:val="24"/>
        </w:rPr>
      </w:pPr>
    </w:p>
    <w:sectPr w:rsidR="009D1A35">
      <w:headerReference w:type="default" r:id="rId29"/>
      <w:footerReference w:type="default" r:id="rId30"/>
      <w:pgSz w:w="12240" w:h="15840"/>
      <w:pgMar w:top="1080" w:right="1080" w:bottom="1080" w:left="1080" w:header="432" w:footer="432" w:gutter="720"/>
      <w:cols w:space="720"/>
      <w:formProt w:val="0"/>
      <w:docGrid w:linePitch="10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dward Au" w:date="2023-06-21T12:33:00Z" w:initials="EA">
    <w:p w14:paraId="3F8EDDE3" w14:textId="30990D57" w:rsidR="00E202C4" w:rsidRDefault="00E202C4">
      <w:pPr>
        <w:pStyle w:val="CommentText"/>
      </w:pPr>
      <w:r>
        <w:rPr>
          <w:rStyle w:val="CommentReference"/>
        </w:rPr>
        <w:annotationRef/>
      </w:r>
      <w:r>
        <w:t>What is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8EDD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EFA4B" w14:textId="77777777" w:rsidR="00FE200E" w:rsidRDefault="00FE200E">
      <w:r>
        <w:separator/>
      </w:r>
    </w:p>
  </w:endnote>
  <w:endnote w:type="continuationSeparator" w:id="0">
    <w:p w14:paraId="0B499A43" w14:textId="77777777" w:rsidR="00FE200E" w:rsidRDefault="00FE2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1299E453" w:rsidR="002E16F1" w:rsidRDefault="00BE048E">
    <w:pPr>
      <w:pStyle w:val="Footer"/>
      <w:tabs>
        <w:tab w:val="clear" w:pos="6480"/>
        <w:tab w:val="center" w:pos="4680"/>
        <w:tab w:val="right" w:pos="9360"/>
      </w:tabs>
      <w:rPr>
        <w:lang w:val="fr-CA"/>
      </w:rPr>
    </w:pPr>
    <w:r>
      <w:fldChar w:fldCharType="begin"/>
    </w:r>
    <w:r>
      <w:instrText xml:space="preserve"> SUBJECT </w:instrText>
    </w:r>
    <w:r>
      <w:fldChar w:fldCharType="separate"/>
    </w:r>
    <w:r w:rsidR="001C33F0">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90327A">
      <w:rPr>
        <w:noProof/>
      </w:rPr>
      <w:t>3</w:t>
    </w:r>
    <w:r w:rsidR="00BB50B1">
      <w:fldChar w:fldCharType="end"/>
    </w:r>
    <w:r w:rsidR="00BB50B1">
      <w:rPr>
        <w:lang w:val="fr-CA"/>
      </w:rPr>
      <w:tab/>
    </w:r>
    <w:r w:rsidR="00073F17">
      <w:rPr>
        <w:lang w:val="fr-CA"/>
      </w:rPr>
      <w:t xml:space="preserve">David Goodall </w:t>
    </w:r>
    <w:r w:rsidR="00BB50B1">
      <w:rPr>
        <w:lang w:val="fr-CA"/>
      </w:rPr>
      <w:t>(</w:t>
    </w:r>
    <w:r w:rsidR="00073F17">
      <w:rPr>
        <w:lang w:val="fr-CA"/>
      </w:rPr>
      <w:t>Morse Micro</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C8EBC" w14:textId="77777777" w:rsidR="00FE200E" w:rsidRDefault="00FE200E">
      <w:pPr>
        <w:rPr>
          <w:sz w:val="12"/>
        </w:rPr>
      </w:pPr>
      <w:r>
        <w:separator/>
      </w:r>
    </w:p>
  </w:footnote>
  <w:footnote w:type="continuationSeparator" w:id="0">
    <w:p w14:paraId="35E7ED2F" w14:textId="77777777" w:rsidR="00FE200E" w:rsidRDefault="00FE200E">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05E1B1F5" w:rsidR="002E16F1" w:rsidRDefault="009B10C0">
    <w:pPr>
      <w:pStyle w:val="Header"/>
      <w:tabs>
        <w:tab w:val="clear" w:pos="6480"/>
        <w:tab w:val="center" w:pos="4680"/>
        <w:tab w:val="right" w:pos="9360"/>
      </w:tabs>
    </w:pPr>
    <w:r>
      <w:t>June</w:t>
    </w:r>
    <w:r w:rsidR="00346385">
      <w:t xml:space="preserve"> </w:t>
    </w:r>
    <w:r w:rsidR="00BB50B1">
      <w:t xml:space="preserve">2023 </w:t>
    </w:r>
    <w:r w:rsidR="00BB50B1">
      <w:tab/>
    </w:r>
    <w:r w:rsidR="00BB50B1">
      <w:tab/>
      <w:t>doc.: IEEE 802.18-23/00</w:t>
    </w:r>
    <w:r w:rsidR="00073F17">
      <w:t>67</w:t>
    </w:r>
    <w:r w:rsidR="00BB50B1">
      <w:t>r</w:t>
    </w:r>
    <w:r w:rsidR="00D87374">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0C368D1"/>
    <w:multiLevelType w:val="hybridMultilevel"/>
    <w:tmpl w:val="CD385A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3C61FE"/>
    <w:multiLevelType w:val="hybridMultilevel"/>
    <w:tmpl w:val="0CB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FF6961"/>
    <w:multiLevelType w:val="hybridMultilevel"/>
    <w:tmpl w:val="095A3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4C31C9"/>
    <w:multiLevelType w:val="hybridMultilevel"/>
    <w:tmpl w:val="619E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8"/>
  </w:num>
  <w:num w:numId="3">
    <w:abstractNumId w:val="2"/>
  </w:num>
  <w:num w:numId="4">
    <w:abstractNumId w:val="1"/>
  </w:num>
  <w:num w:numId="5">
    <w:abstractNumId w:val="0"/>
  </w:num>
  <w:num w:numId="6">
    <w:abstractNumId w:val="5"/>
  </w:num>
  <w:num w:numId="7">
    <w:abstractNumId w:val="4"/>
  </w:num>
  <w:num w:numId="8">
    <w:abstractNumId w:val="6"/>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693"/>
    <w:rsid w:val="00015DBE"/>
    <w:rsid w:val="00027F68"/>
    <w:rsid w:val="00036C60"/>
    <w:rsid w:val="000520E1"/>
    <w:rsid w:val="0006055D"/>
    <w:rsid w:val="000619BA"/>
    <w:rsid w:val="00073F17"/>
    <w:rsid w:val="00080282"/>
    <w:rsid w:val="0008251C"/>
    <w:rsid w:val="0008622D"/>
    <w:rsid w:val="000A58C8"/>
    <w:rsid w:val="000C3A01"/>
    <w:rsid w:val="000D01ED"/>
    <w:rsid w:val="000D3127"/>
    <w:rsid w:val="000D734A"/>
    <w:rsid w:val="000E2AAC"/>
    <w:rsid w:val="001119EC"/>
    <w:rsid w:val="001347F7"/>
    <w:rsid w:val="00135BA5"/>
    <w:rsid w:val="001569DB"/>
    <w:rsid w:val="00167722"/>
    <w:rsid w:val="00172CB9"/>
    <w:rsid w:val="0017416B"/>
    <w:rsid w:val="00180DEF"/>
    <w:rsid w:val="001B03DD"/>
    <w:rsid w:val="001C33F0"/>
    <w:rsid w:val="001C7F1F"/>
    <w:rsid w:val="001D2142"/>
    <w:rsid w:val="001D242A"/>
    <w:rsid w:val="001F4565"/>
    <w:rsid w:val="0020364D"/>
    <w:rsid w:val="00216A76"/>
    <w:rsid w:val="00220E26"/>
    <w:rsid w:val="002417D5"/>
    <w:rsid w:val="00253796"/>
    <w:rsid w:val="00270A81"/>
    <w:rsid w:val="00282D08"/>
    <w:rsid w:val="00283E4B"/>
    <w:rsid w:val="002B4491"/>
    <w:rsid w:val="002D2BE3"/>
    <w:rsid w:val="002E16F1"/>
    <w:rsid w:val="002E549C"/>
    <w:rsid w:val="002F19CF"/>
    <w:rsid w:val="002F747D"/>
    <w:rsid w:val="003027EC"/>
    <w:rsid w:val="00304C10"/>
    <w:rsid w:val="00306B35"/>
    <w:rsid w:val="00314E0F"/>
    <w:rsid w:val="0032188D"/>
    <w:rsid w:val="00346385"/>
    <w:rsid w:val="003548B2"/>
    <w:rsid w:val="00365242"/>
    <w:rsid w:val="0037179F"/>
    <w:rsid w:val="0037430E"/>
    <w:rsid w:val="00380C51"/>
    <w:rsid w:val="00386C69"/>
    <w:rsid w:val="0039092E"/>
    <w:rsid w:val="00390B91"/>
    <w:rsid w:val="003A5CE3"/>
    <w:rsid w:val="003A6D67"/>
    <w:rsid w:val="003B5FA2"/>
    <w:rsid w:val="003D6A17"/>
    <w:rsid w:val="003F7193"/>
    <w:rsid w:val="00401140"/>
    <w:rsid w:val="004216E9"/>
    <w:rsid w:val="004229B8"/>
    <w:rsid w:val="00433662"/>
    <w:rsid w:val="00433AF9"/>
    <w:rsid w:val="0043468D"/>
    <w:rsid w:val="00445DF5"/>
    <w:rsid w:val="00467D79"/>
    <w:rsid w:val="00475BEB"/>
    <w:rsid w:val="00483438"/>
    <w:rsid w:val="00497F0F"/>
    <w:rsid w:val="004B0C3F"/>
    <w:rsid w:val="004B0F5F"/>
    <w:rsid w:val="004B43A8"/>
    <w:rsid w:val="004B70AF"/>
    <w:rsid w:val="004B7C33"/>
    <w:rsid w:val="004C2668"/>
    <w:rsid w:val="004D227C"/>
    <w:rsid w:val="004D6275"/>
    <w:rsid w:val="004D7AE8"/>
    <w:rsid w:val="00506AF6"/>
    <w:rsid w:val="005213FD"/>
    <w:rsid w:val="0054249A"/>
    <w:rsid w:val="0054506D"/>
    <w:rsid w:val="00545B17"/>
    <w:rsid w:val="005658A4"/>
    <w:rsid w:val="00577780"/>
    <w:rsid w:val="005A6B73"/>
    <w:rsid w:val="005C50A5"/>
    <w:rsid w:val="005C68E0"/>
    <w:rsid w:val="005D4150"/>
    <w:rsid w:val="005F61CC"/>
    <w:rsid w:val="0062012B"/>
    <w:rsid w:val="00635BBC"/>
    <w:rsid w:val="00636A33"/>
    <w:rsid w:val="006561FC"/>
    <w:rsid w:val="006667A0"/>
    <w:rsid w:val="00674FEC"/>
    <w:rsid w:val="006A068B"/>
    <w:rsid w:val="006B3879"/>
    <w:rsid w:val="006B3909"/>
    <w:rsid w:val="006D3CA1"/>
    <w:rsid w:val="006E216B"/>
    <w:rsid w:val="006E4237"/>
    <w:rsid w:val="006F5ADD"/>
    <w:rsid w:val="006F5D1A"/>
    <w:rsid w:val="0071502B"/>
    <w:rsid w:val="00726DE3"/>
    <w:rsid w:val="0074444F"/>
    <w:rsid w:val="00746223"/>
    <w:rsid w:val="00751465"/>
    <w:rsid w:val="0075650A"/>
    <w:rsid w:val="00761332"/>
    <w:rsid w:val="00766DE7"/>
    <w:rsid w:val="00771BDE"/>
    <w:rsid w:val="00776C23"/>
    <w:rsid w:val="00792034"/>
    <w:rsid w:val="007A034D"/>
    <w:rsid w:val="007A354F"/>
    <w:rsid w:val="007B6ACD"/>
    <w:rsid w:val="007B76A7"/>
    <w:rsid w:val="007C1BD0"/>
    <w:rsid w:val="007C21DE"/>
    <w:rsid w:val="007C317A"/>
    <w:rsid w:val="007C3CF7"/>
    <w:rsid w:val="007E1439"/>
    <w:rsid w:val="007E5828"/>
    <w:rsid w:val="007F220B"/>
    <w:rsid w:val="007F31EA"/>
    <w:rsid w:val="007F446F"/>
    <w:rsid w:val="00824412"/>
    <w:rsid w:val="00827E74"/>
    <w:rsid w:val="00832420"/>
    <w:rsid w:val="00832B24"/>
    <w:rsid w:val="00834FF1"/>
    <w:rsid w:val="0083698E"/>
    <w:rsid w:val="0084099F"/>
    <w:rsid w:val="008423E5"/>
    <w:rsid w:val="00846A02"/>
    <w:rsid w:val="00850E69"/>
    <w:rsid w:val="00854180"/>
    <w:rsid w:val="00855C52"/>
    <w:rsid w:val="008643CC"/>
    <w:rsid w:val="00865704"/>
    <w:rsid w:val="00865DD0"/>
    <w:rsid w:val="008938F0"/>
    <w:rsid w:val="008A4605"/>
    <w:rsid w:val="008B4ADE"/>
    <w:rsid w:val="008D349B"/>
    <w:rsid w:val="008F0E52"/>
    <w:rsid w:val="008F4D6F"/>
    <w:rsid w:val="0090327A"/>
    <w:rsid w:val="00904E1F"/>
    <w:rsid w:val="009114B6"/>
    <w:rsid w:val="009273F5"/>
    <w:rsid w:val="00936728"/>
    <w:rsid w:val="00945736"/>
    <w:rsid w:val="00945AF8"/>
    <w:rsid w:val="00952A0E"/>
    <w:rsid w:val="009530DA"/>
    <w:rsid w:val="009532AE"/>
    <w:rsid w:val="00981FBF"/>
    <w:rsid w:val="009900B3"/>
    <w:rsid w:val="00990670"/>
    <w:rsid w:val="009906E1"/>
    <w:rsid w:val="00995254"/>
    <w:rsid w:val="00997E17"/>
    <w:rsid w:val="009B10C0"/>
    <w:rsid w:val="009D1A35"/>
    <w:rsid w:val="009E0FA1"/>
    <w:rsid w:val="009E7DD8"/>
    <w:rsid w:val="009F530B"/>
    <w:rsid w:val="00A05FEE"/>
    <w:rsid w:val="00A1307B"/>
    <w:rsid w:val="00A16E31"/>
    <w:rsid w:val="00A46C8C"/>
    <w:rsid w:val="00A47D05"/>
    <w:rsid w:val="00A601CD"/>
    <w:rsid w:val="00A6033E"/>
    <w:rsid w:val="00A64191"/>
    <w:rsid w:val="00A84E45"/>
    <w:rsid w:val="00AA0791"/>
    <w:rsid w:val="00AA76F1"/>
    <w:rsid w:val="00AB02F3"/>
    <w:rsid w:val="00AB31F7"/>
    <w:rsid w:val="00AB3BBD"/>
    <w:rsid w:val="00AC378F"/>
    <w:rsid w:val="00AD241E"/>
    <w:rsid w:val="00AD26C9"/>
    <w:rsid w:val="00AD58FF"/>
    <w:rsid w:val="00AF59E9"/>
    <w:rsid w:val="00B306FC"/>
    <w:rsid w:val="00B36FBE"/>
    <w:rsid w:val="00B434BF"/>
    <w:rsid w:val="00B56745"/>
    <w:rsid w:val="00B64670"/>
    <w:rsid w:val="00B85499"/>
    <w:rsid w:val="00B955E2"/>
    <w:rsid w:val="00BB4B6B"/>
    <w:rsid w:val="00BB50B1"/>
    <w:rsid w:val="00BB6386"/>
    <w:rsid w:val="00BD0BAA"/>
    <w:rsid w:val="00BD66B5"/>
    <w:rsid w:val="00BD7EB4"/>
    <w:rsid w:val="00BE048E"/>
    <w:rsid w:val="00C01940"/>
    <w:rsid w:val="00C02B0B"/>
    <w:rsid w:val="00C25E82"/>
    <w:rsid w:val="00C34F4D"/>
    <w:rsid w:val="00C412AD"/>
    <w:rsid w:val="00C50BCC"/>
    <w:rsid w:val="00C530B5"/>
    <w:rsid w:val="00C53A79"/>
    <w:rsid w:val="00C7098A"/>
    <w:rsid w:val="00C75D48"/>
    <w:rsid w:val="00C83029"/>
    <w:rsid w:val="00CB4FCA"/>
    <w:rsid w:val="00CB73E4"/>
    <w:rsid w:val="00CC03C3"/>
    <w:rsid w:val="00CC3B8C"/>
    <w:rsid w:val="00CD1B34"/>
    <w:rsid w:val="00CD2A77"/>
    <w:rsid w:val="00CE30A4"/>
    <w:rsid w:val="00CE5547"/>
    <w:rsid w:val="00CF6FA0"/>
    <w:rsid w:val="00D1072E"/>
    <w:rsid w:val="00D27AA1"/>
    <w:rsid w:val="00D41AC6"/>
    <w:rsid w:val="00D43F67"/>
    <w:rsid w:val="00D463DF"/>
    <w:rsid w:val="00D82FD2"/>
    <w:rsid w:val="00D87374"/>
    <w:rsid w:val="00DA01A9"/>
    <w:rsid w:val="00DC0833"/>
    <w:rsid w:val="00DC54FD"/>
    <w:rsid w:val="00DC5A2F"/>
    <w:rsid w:val="00E00671"/>
    <w:rsid w:val="00E07482"/>
    <w:rsid w:val="00E11F7D"/>
    <w:rsid w:val="00E202C4"/>
    <w:rsid w:val="00E21C93"/>
    <w:rsid w:val="00E31F19"/>
    <w:rsid w:val="00E328D2"/>
    <w:rsid w:val="00E42063"/>
    <w:rsid w:val="00E5059E"/>
    <w:rsid w:val="00E55BE1"/>
    <w:rsid w:val="00E55EA3"/>
    <w:rsid w:val="00E565ED"/>
    <w:rsid w:val="00E62DC9"/>
    <w:rsid w:val="00E7191A"/>
    <w:rsid w:val="00E82936"/>
    <w:rsid w:val="00E961B4"/>
    <w:rsid w:val="00E97B0A"/>
    <w:rsid w:val="00EA774F"/>
    <w:rsid w:val="00EC1EE9"/>
    <w:rsid w:val="00EC46ED"/>
    <w:rsid w:val="00EC4BE1"/>
    <w:rsid w:val="00EE64F1"/>
    <w:rsid w:val="00EE772D"/>
    <w:rsid w:val="00EF36E9"/>
    <w:rsid w:val="00EF6D65"/>
    <w:rsid w:val="00F03E3D"/>
    <w:rsid w:val="00F072D6"/>
    <w:rsid w:val="00F1165B"/>
    <w:rsid w:val="00F12073"/>
    <w:rsid w:val="00F3570B"/>
    <w:rsid w:val="00F4621F"/>
    <w:rsid w:val="00F474F3"/>
    <w:rsid w:val="00F50085"/>
    <w:rsid w:val="00F57248"/>
    <w:rsid w:val="00F67F2B"/>
    <w:rsid w:val="00F84B09"/>
    <w:rsid w:val="00FC760F"/>
    <w:rsid w:val="00FE200E"/>
    <w:rsid w:val="00FF6A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UnresolvedMention">
    <w:name w:val="Unresolved Mention"/>
    <w:basedOn w:val="DefaultParagraphFont"/>
    <w:uiPriority w:val="99"/>
    <w:semiHidden/>
    <w:unhideWhenUsed/>
    <w:rsid w:val="00E56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31651">
      <w:bodyDiv w:val="1"/>
      <w:marLeft w:val="0"/>
      <w:marRight w:val="0"/>
      <w:marTop w:val="0"/>
      <w:marBottom w:val="0"/>
      <w:divBdr>
        <w:top w:val="none" w:sz="0" w:space="0" w:color="auto"/>
        <w:left w:val="none" w:sz="0" w:space="0" w:color="auto"/>
        <w:bottom w:val="none" w:sz="0" w:space="0" w:color="auto"/>
        <w:right w:val="none" w:sz="0" w:space="0" w:color="auto"/>
      </w:divBdr>
      <w:divsChild>
        <w:div w:id="1800296534">
          <w:marLeft w:val="547"/>
          <w:marRight w:val="0"/>
          <w:marTop w:val="120"/>
          <w:marBottom w:val="120"/>
          <w:divBdr>
            <w:top w:val="none" w:sz="0" w:space="0" w:color="auto"/>
            <w:left w:val="none" w:sz="0" w:space="0" w:color="auto"/>
            <w:bottom w:val="none" w:sz="0" w:space="0" w:color="auto"/>
            <w:right w:val="none" w:sz="0" w:space="0" w:color="auto"/>
          </w:divBdr>
        </w:div>
      </w:divsChild>
    </w:div>
    <w:div w:id="272251592">
      <w:bodyDiv w:val="1"/>
      <w:marLeft w:val="0"/>
      <w:marRight w:val="0"/>
      <w:marTop w:val="0"/>
      <w:marBottom w:val="0"/>
      <w:divBdr>
        <w:top w:val="none" w:sz="0" w:space="0" w:color="auto"/>
        <w:left w:val="none" w:sz="0" w:space="0" w:color="auto"/>
        <w:bottom w:val="none" w:sz="0" w:space="0" w:color="auto"/>
        <w:right w:val="none" w:sz="0" w:space="0" w:color="auto"/>
      </w:divBdr>
      <w:divsChild>
        <w:div w:id="1310667390">
          <w:marLeft w:val="360"/>
          <w:marRight w:val="187"/>
          <w:marTop w:val="120"/>
          <w:marBottom w:val="0"/>
          <w:divBdr>
            <w:top w:val="none" w:sz="0" w:space="0" w:color="auto"/>
            <w:left w:val="none" w:sz="0" w:space="0" w:color="auto"/>
            <w:bottom w:val="none" w:sz="0" w:space="0" w:color="auto"/>
            <w:right w:val="none" w:sz="0" w:space="0" w:color="auto"/>
          </w:divBdr>
        </w:div>
      </w:divsChild>
    </w:div>
    <w:div w:id="284385177">
      <w:bodyDiv w:val="1"/>
      <w:marLeft w:val="0"/>
      <w:marRight w:val="0"/>
      <w:marTop w:val="0"/>
      <w:marBottom w:val="0"/>
      <w:divBdr>
        <w:top w:val="none" w:sz="0" w:space="0" w:color="auto"/>
        <w:left w:val="none" w:sz="0" w:space="0" w:color="auto"/>
        <w:bottom w:val="none" w:sz="0" w:space="0" w:color="auto"/>
        <w:right w:val="none" w:sz="0" w:space="0" w:color="auto"/>
      </w:divBdr>
    </w:div>
    <w:div w:id="426343269">
      <w:bodyDiv w:val="1"/>
      <w:marLeft w:val="0"/>
      <w:marRight w:val="0"/>
      <w:marTop w:val="0"/>
      <w:marBottom w:val="0"/>
      <w:divBdr>
        <w:top w:val="none" w:sz="0" w:space="0" w:color="auto"/>
        <w:left w:val="none" w:sz="0" w:space="0" w:color="auto"/>
        <w:bottom w:val="none" w:sz="0" w:space="0" w:color="auto"/>
        <w:right w:val="none" w:sz="0" w:space="0" w:color="auto"/>
      </w:divBdr>
    </w:div>
    <w:div w:id="462698006">
      <w:bodyDiv w:val="1"/>
      <w:marLeft w:val="0"/>
      <w:marRight w:val="0"/>
      <w:marTop w:val="0"/>
      <w:marBottom w:val="0"/>
      <w:divBdr>
        <w:top w:val="none" w:sz="0" w:space="0" w:color="auto"/>
        <w:left w:val="none" w:sz="0" w:space="0" w:color="auto"/>
        <w:bottom w:val="none" w:sz="0" w:space="0" w:color="auto"/>
        <w:right w:val="none" w:sz="0" w:space="0" w:color="auto"/>
      </w:divBdr>
    </w:div>
    <w:div w:id="756285899">
      <w:bodyDiv w:val="1"/>
      <w:marLeft w:val="0"/>
      <w:marRight w:val="0"/>
      <w:marTop w:val="0"/>
      <w:marBottom w:val="0"/>
      <w:divBdr>
        <w:top w:val="none" w:sz="0" w:space="0" w:color="auto"/>
        <w:left w:val="none" w:sz="0" w:space="0" w:color="auto"/>
        <w:bottom w:val="none" w:sz="0" w:space="0" w:color="auto"/>
        <w:right w:val="none" w:sz="0" w:space="0" w:color="auto"/>
      </w:divBdr>
    </w:div>
    <w:div w:id="907155641">
      <w:bodyDiv w:val="1"/>
      <w:marLeft w:val="0"/>
      <w:marRight w:val="0"/>
      <w:marTop w:val="0"/>
      <w:marBottom w:val="0"/>
      <w:divBdr>
        <w:top w:val="none" w:sz="0" w:space="0" w:color="auto"/>
        <w:left w:val="none" w:sz="0" w:space="0" w:color="auto"/>
        <w:bottom w:val="none" w:sz="0" w:space="0" w:color="auto"/>
        <w:right w:val="none" w:sz="0" w:space="0" w:color="auto"/>
      </w:divBdr>
    </w:div>
    <w:div w:id="1251741693">
      <w:bodyDiv w:val="1"/>
      <w:marLeft w:val="0"/>
      <w:marRight w:val="0"/>
      <w:marTop w:val="0"/>
      <w:marBottom w:val="0"/>
      <w:divBdr>
        <w:top w:val="none" w:sz="0" w:space="0" w:color="auto"/>
        <w:left w:val="none" w:sz="0" w:space="0" w:color="auto"/>
        <w:bottom w:val="none" w:sz="0" w:space="0" w:color="auto"/>
        <w:right w:val="none" w:sz="0" w:space="0" w:color="auto"/>
      </w:divBdr>
      <w:divsChild>
        <w:div w:id="2044095631">
          <w:marLeft w:val="360"/>
          <w:marRight w:val="187"/>
          <w:marTop w:val="120"/>
          <w:marBottom w:val="0"/>
          <w:divBdr>
            <w:top w:val="none" w:sz="0" w:space="0" w:color="auto"/>
            <w:left w:val="none" w:sz="0" w:space="0" w:color="auto"/>
            <w:bottom w:val="none" w:sz="0" w:space="0" w:color="auto"/>
            <w:right w:val="none" w:sz="0" w:space="0" w:color="auto"/>
          </w:divBdr>
        </w:div>
      </w:divsChild>
    </w:div>
    <w:div w:id="1523590897">
      <w:bodyDiv w:val="1"/>
      <w:marLeft w:val="0"/>
      <w:marRight w:val="0"/>
      <w:marTop w:val="0"/>
      <w:marBottom w:val="0"/>
      <w:divBdr>
        <w:top w:val="none" w:sz="0" w:space="0" w:color="auto"/>
        <w:left w:val="none" w:sz="0" w:space="0" w:color="auto"/>
        <w:bottom w:val="none" w:sz="0" w:space="0" w:color="auto"/>
        <w:right w:val="none" w:sz="0" w:space="0" w:color="auto"/>
      </w:divBdr>
    </w:div>
    <w:div w:id="1822650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morsemicro.com" TargetMode="External"/><Relationship Id="rId13" Type="http://schemas.microsoft.com/office/2011/relationships/commentsExtended" Target="commentsExtended.xml"/><Relationship Id="rId18" Type="http://schemas.openxmlformats.org/officeDocument/2006/relationships/hyperlink" Target="https://www.ieee802.org/15/pub/TG4ab.html" TargetMode="External"/><Relationship Id="rId26" Type="http://schemas.openxmlformats.org/officeDocument/2006/relationships/hyperlink" Target="https://www.etsi.org/deliver/etsi_en/302000_302099/30206504/01.01.01_60/en_30206504v010101p.pdf" TargetMode="External"/><Relationship Id="rId3" Type="http://schemas.openxmlformats.org/officeDocument/2006/relationships/styles" Target="styles.xml"/><Relationship Id="rId21" Type="http://schemas.openxmlformats.org/officeDocument/2006/relationships/hyperlink" Target="http://data.europa.eu/eli/dec_impl/2018/1538/oj" TargetMode="Externa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wifinowglobal.com/news-and-blog/momentum-builds-19-5-billion-wi-fi-devices-will-be-in-use-this-year-wi-fi-alliance-says/" TargetMode="External"/><Relationship Id="rId25" Type="http://schemas.openxmlformats.org/officeDocument/2006/relationships/hyperlink" Target="https://www.etsi.org/standard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8/dcn/22/18-22-0009-01-0000-ieee-802-wireless-standards-table-of-frequency-ranges.xlsx" TargetMode="External"/><Relationship Id="rId20" Type="http://schemas.openxmlformats.org/officeDocument/2006/relationships/hyperlink" Target="http://data.europa.eu/eli/dec_impl/2017/1483/o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Rolfe@ieee.org" TargetMode="External"/><Relationship Id="rId24" Type="http://schemas.openxmlformats.org/officeDocument/2006/relationships/hyperlink" Target="https://docdb.cept.org/download/4215"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wi-fi.org/discover-wi-fi/value-of-wi-fi" TargetMode="External"/><Relationship Id="rId23" Type="http://schemas.openxmlformats.org/officeDocument/2006/relationships/hyperlink" Target="https://www.etsi.org/deliver/etsi_en/304200_304299/30422001/01.01.00_20/en_30422001v010100a.pdf" TargetMode="External"/><Relationship Id="rId28" Type="http://schemas.openxmlformats.org/officeDocument/2006/relationships/hyperlink" Target="https://portal.etsi.org/tb.aspx?tbid=729&amp;SubTB=729" TargetMode="External"/><Relationship Id="rId10" Type="http://schemas.openxmlformats.org/officeDocument/2006/relationships/hyperlink" Target="mailto:dries.neirynck@ultra-radio.com" TargetMode="External"/><Relationship Id="rId19" Type="http://schemas.openxmlformats.org/officeDocument/2006/relationships/hyperlink" Target="https://docdb.cept.org/document/84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ve.halasz@ieee.org" TargetMode="External"/><Relationship Id="rId14" Type="http://schemas.openxmlformats.org/officeDocument/2006/relationships/hyperlink" Target="mailto:p.nikolich@ieee.org" TargetMode="External"/><Relationship Id="rId22" Type="http://schemas.openxmlformats.org/officeDocument/2006/relationships/hyperlink" Target="https://www.etsi.org/deliver/etsi_en/304200_304299/30422001/01.01.00_20/en_30422001v010100a.pdf" TargetMode="External"/><Relationship Id="rId27" Type="http://schemas.openxmlformats.org/officeDocument/2006/relationships/hyperlink" Target="https://www.etsi.org/deliver/etsi_en/303800_303899/303883/01.01.00_20/en_303883v010100a.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4439E-30EF-4942-9B09-BBA15A7999E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92</TotalTime>
  <Pages>7</Pages>
  <Words>2717</Words>
  <Characters>15488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doc.: IEEE 802.18-23/0067r2</vt:lpstr>
    </vt:vector>
  </TitlesOfParts>
  <Company>Some Company</Company>
  <LinksUpToDate>false</LinksUpToDate>
  <CharactersWithSpaces>18169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802.18-23/0067r3</dc:title>
  <dc:subject>Submission</dc:subject>
  <dc:creator>Editor</dc:creator>
  <dc:description/>
  <cp:lastModifiedBy>Edward Au</cp:lastModifiedBy>
  <cp:revision>42</cp:revision>
  <cp:lastPrinted>2023-04-16T16:36:00Z</cp:lastPrinted>
  <dcterms:created xsi:type="dcterms:W3CDTF">2023-06-19T18:05:00Z</dcterms:created>
  <dcterms:modified xsi:type="dcterms:W3CDTF">2023-06-22T14:03:00Z</dcterms:modified>
  <dc:language>sv-SE</dc:language>
</cp:coreProperties>
</file>