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22241B" w:rsidR="002E16F1" w:rsidRDefault="007C1BD0" w:rsidP="00D43F67">
            <w:pPr>
              <w:pStyle w:val="T2"/>
              <w:widowControl w:val="0"/>
              <w:ind w:left="337" w:right="293"/>
              <w:rPr>
                <w:b w:val="0"/>
              </w:rPr>
            </w:pPr>
            <w:r w:rsidRPr="007C1BD0">
              <w:rPr>
                <w:b w:val="0"/>
              </w:rPr>
              <w:t xml:space="preserve">Proposed Response to </w:t>
            </w:r>
            <w:r w:rsidR="00D43F67">
              <w:rPr>
                <w:b w:val="0"/>
              </w:rPr>
              <w:t>China MIIT’s consultation “</w:t>
            </w:r>
            <w:r w:rsidR="00D43F67" w:rsidRPr="00D43F67">
              <w:rPr>
                <w:b w:val="0"/>
              </w:rPr>
              <w:t>Technical requirements and test methods for new type approval of wireless LAN equipment adopting IEEE 802.11be technical standards</w:t>
            </w:r>
            <w:r w:rsidR="00D43F67">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F09D933"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D43F67">
              <w:rPr>
                <w:b w:val="0"/>
                <w:sz w:val="20"/>
              </w:rPr>
              <w:t>1</w:t>
            </w:r>
            <w:r w:rsidR="00A76D5D">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17011C"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4CBD2A1"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July 1</w:t>
      </w:r>
      <w:r w:rsidRPr="007C1BD0">
        <w:rPr>
          <w:sz w:val="24"/>
          <w:szCs w:val="24"/>
        </w:rPr>
        <w:t>, 2023</w:t>
      </w:r>
    </w:p>
    <w:p w14:paraId="2E58D05D" w14:textId="77777777" w:rsidR="002E16F1" w:rsidRPr="007C1BD0" w:rsidRDefault="002E16F1">
      <w:pPr>
        <w:rPr>
          <w:color w:val="000000"/>
          <w:sz w:val="24"/>
          <w:szCs w:val="24"/>
        </w:rPr>
      </w:pPr>
    </w:p>
    <w:p w14:paraId="0700CB36" w14:textId="64C06939"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C7098A" w:rsidRPr="00C7098A">
        <w:rPr>
          <w:sz w:val="24"/>
          <w:szCs w:val="24"/>
        </w:rPr>
        <w:t>“Technical requirements and test methods for new type approval of wireless LAN equipment adopting IEEE 802.11be technical standards”.</w:t>
      </w:r>
    </w:p>
    <w:p w14:paraId="44809CFA" w14:textId="77777777" w:rsidR="007C1BD0" w:rsidRPr="007C1BD0" w:rsidRDefault="007C1BD0" w:rsidP="007C1BD0">
      <w:pPr>
        <w:pStyle w:val="PlainText"/>
        <w:rPr>
          <w:rFonts w:ascii="Times New Roman" w:hAnsi="Times New Roman"/>
          <w:bCs/>
          <w:sz w:val="24"/>
          <w:szCs w:val="24"/>
        </w:rPr>
      </w:pPr>
    </w:p>
    <w:p w14:paraId="1512EBCE" w14:textId="43731E76"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Dear Sir/Madam</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1CB152C4"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7098A">
        <w:rPr>
          <w:sz w:val="24"/>
          <w:szCs w:val="24"/>
        </w:rPr>
        <w:t>China Ministry of Industry and Information Technology (MIIT</w:t>
      </w:r>
      <w:r w:rsidR="00346385">
        <w:rPr>
          <w:sz w:val="24"/>
          <w:szCs w:val="24"/>
        </w:rPr>
        <w:t xml:space="preserve">) </w:t>
      </w:r>
      <w:r w:rsidRPr="007C1BD0">
        <w:rPr>
          <w:sz w:val="24"/>
          <w:szCs w:val="24"/>
        </w:rPr>
        <w:t xml:space="preserve">for issuing the consultation </w:t>
      </w:r>
      <w:r w:rsidR="00C7098A" w:rsidRPr="00C7098A">
        <w:rPr>
          <w:sz w:val="24"/>
          <w:szCs w:val="24"/>
        </w:rPr>
        <w:t>“Technical requirements and test methods for new type approval of wireless LAN equipment adopting IEEE 802.11be technical standards”</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Std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6 GHz bands, and products based on this standard are seeing significant adoption where regulatory rules permit deployment [2].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4BB9DE6" w14:textId="38B77DB1" w:rsidR="00C7098A" w:rsidRPr="00C7098A" w:rsidRDefault="007C1BD0" w:rsidP="00945736">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C7098A" w:rsidRPr="00C7098A">
        <w:rPr>
          <w:sz w:val="24"/>
          <w:szCs w:val="24"/>
        </w:rPr>
        <w:t xml:space="preserve">Please note that the P802.11be amendment currently supports </w:t>
      </w:r>
      <w:r w:rsidR="00C7098A" w:rsidRPr="00C7098A">
        <w:rPr>
          <w:sz w:val="24"/>
          <w:szCs w:val="24"/>
        </w:rPr>
        <w:lastRenderedPageBreak/>
        <w:t>carrier frequency operation between 1000 MHz and 7125 MHz with extension to 7250 MHz under consideration.</w:t>
      </w:r>
    </w:p>
    <w:p w14:paraId="2BA004FC" w14:textId="77777777" w:rsidR="00C7098A" w:rsidRDefault="00C7098A" w:rsidP="007C1BD0">
      <w:pPr>
        <w:jc w:val="both"/>
        <w:rPr>
          <w:sz w:val="24"/>
          <w:szCs w:val="24"/>
        </w:rPr>
      </w:pPr>
    </w:p>
    <w:p w14:paraId="5C362B69" w14:textId="53822608" w:rsidR="006B3909" w:rsidRDefault="00C7098A" w:rsidP="007C1BD0">
      <w:pPr>
        <w:jc w:val="both"/>
        <w:rPr>
          <w:sz w:val="24"/>
          <w:szCs w:val="24"/>
        </w:rPr>
      </w:pPr>
      <w:r w:rsidRPr="00282D08">
        <w:rPr>
          <w:sz w:val="24"/>
          <w:szCs w:val="24"/>
        </w:rPr>
        <w:t xml:space="preserve">IEEE 802 LMSC </w:t>
      </w:r>
      <w:r w:rsidR="00945736">
        <w:rPr>
          <w:sz w:val="24"/>
          <w:szCs w:val="24"/>
        </w:rPr>
        <w:t xml:space="preserve">commends MIIT’s effect </w:t>
      </w:r>
      <w:r w:rsidR="00832420">
        <w:rPr>
          <w:sz w:val="24"/>
          <w:szCs w:val="24"/>
        </w:rPr>
        <w:t xml:space="preserve">in proposing </w:t>
      </w:r>
      <w:r>
        <w:rPr>
          <w:sz w:val="24"/>
          <w:szCs w:val="24"/>
        </w:rPr>
        <w:t xml:space="preserve">technical requirements and test methods for new type approval of wireless LAN equipment adopting IEEE 802.11be technical standards </w:t>
      </w:r>
      <w:r w:rsidRPr="00282D08">
        <w:rPr>
          <w:sz w:val="24"/>
          <w:szCs w:val="24"/>
        </w:rPr>
        <w:t xml:space="preserve">but kindly requests </w:t>
      </w:r>
      <w:r>
        <w:rPr>
          <w:sz w:val="24"/>
          <w:szCs w:val="24"/>
        </w:rPr>
        <w:t xml:space="preserve">MIIT </w:t>
      </w:r>
      <w:r w:rsidRPr="00282D08">
        <w:rPr>
          <w:sz w:val="24"/>
          <w:szCs w:val="24"/>
        </w:rPr>
        <w:t>to consider</w:t>
      </w:r>
      <w:r>
        <w:rPr>
          <w:sz w:val="24"/>
          <w:szCs w:val="24"/>
        </w:rPr>
        <w:t xml:space="preserve"> </w:t>
      </w:r>
      <w:r w:rsidR="006B3909">
        <w:rPr>
          <w:sz w:val="24"/>
          <w:szCs w:val="24"/>
        </w:rPr>
        <w:t>the following three topics.</w:t>
      </w:r>
    </w:p>
    <w:p w14:paraId="2FAB2EAC" w14:textId="77777777" w:rsidR="006B3909" w:rsidRDefault="006B3909" w:rsidP="007C1BD0">
      <w:pPr>
        <w:jc w:val="both"/>
        <w:rPr>
          <w:sz w:val="24"/>
          <w:szCs w:val="24"/>
        </w:rPr>
      </w:pPr>
    </w:p>
    <w:p w14:paraId="06008244" w14:textId="0788B4B5" w:rsidR="003D6A17" w:rsidRDefault="006B3909" w:rsidP="007C1BD0">
      <w:pPr>
        <w:jc w:val="both"/>
        <w:rPr>
          <w:sz w:val="24"/>
          <w:szCs w:val="24"/>
        </w:rPr>
      </w:pPr>
      <w:r w:rsidRPr="006B3909">
        <w:rPr>
          <w:b/>
          <w:i/>
          <w:sz w:val="24"/>
          <w:szCs w:val="24"/>
        </w:rPr>
        <w:t xml:space="preserve">Allocate </w:t>
      </w:r>
      <w:r w:rsidR="00C7098A" w:rsidRPr="006B3909">
        <w:rPr>
          <w:b/>
          <w:i/>
          <w:sz w:val="24"/>
          <w:szCs w:val="24"/>
        </w:rPr>
        <w:t xml:space="preserve">more spectrum (e.g., 5470 MHz to 5725 MHz, part </w:t>
      </w:r>
      <w:r w:rsidR="00945736" w:rsidRPr="006B3909">
        <w:rPr>
          <w:b/>
          <w:i/>
          <w:sz w:val="24"/>
          <w:szCs w:val="24"/>
        </w:rPr>
        <w:t xml:space="preserve">of </w:t>
      </w:r>
      <w:r w:rsidR="00C7098A" w:rsidRPr="006B3909">
        <w:rPr>
          <w:b/>
          <w:i/>
          <w:sz w:val="24"/>
          <w:szCs w:val="24"/>
        </w:rPr>
        <w:t xml:space="preserve">or </w:t>
      </w:r>
      <w:r w:rsidR="00945736" w:rsidRPr="006B3909">
        <w:rPr>
          <w:b/>
          <w:i/>
          <w:sz w:val="24"/>
          <w:szCs w:val="24"/>
        </w:rPr>
        <w:t xml:space="preserve">the </w:t>
      </w:r>
      <w:r w:rsidR="00C7098A" w:rsidRPr="006B3909">
        <w:rPr>
          <w:b/>
          <w:i/>
          <w:sz w:val="24"/>
          <w:szCs w:val="24"/>
        </w:rPr>
        <w:t>entire 6 GHz band) for license-exempt use</w:t>
      </w:r>
      <w:r w:rsidR="003D6A17">
        <w:rPr>
          <w:sz w:val="24"/>
          <w:szCs w:val="24"/>
        </w:rPr>
        <w:t xml:space="preserve">  </w:t>
      </w:r>
    </w:p>
    <w:p w14:paraId="6613C61F" w14:textId="77777777" w:rsidR="003D6A17" w:rsidRDefault="003D6A17" w:rsidP="007C1BD0">
      <w:pPr>
        <w:jc w:val="both"/>
        <w:rPr>
          <w:sz w:val="24"/>
          <w:szCs w:val="24"/>
        </w:rPr>
      </w:pPr>
    </w:p>
    <w:p w14:paraId="2D9AA684" w14:textId="25FD2219" w:rsidR="003D6A17" w:rsidRDefault="003D6A17" w:rsidP="007C1BD0">
      <w:pPr>
        <w:jc w:val="both"/>
        <w:rPr>
          <w:sz w:val="24"/>
          <w:szCs w:val="24"/>
        </w:rPr>
      </w:pPr>
      <w:r w:rsidRPr="003D6A17">
        <w:rPr>
          <w:sz w:val="24"/>
          <w:szCs w:val="24"/>
        </w:rPr>
        <w:t xml:space="preserve">IEEE P802.11be’s global 6 GHz channelization is designed to accommodate multiple 160 MHz and 320 MHz channels throughout the 5925 MHz to 7125 MHz band, if available. </w:t>
      </w:r>
      <w:r>
        <w:rPr>
          <w:sz w:val="24"/>
          <w:szCs w:val="24"/>
        </w:rPr>
        <w:t xml:space="preserve"> </w:t>
      </w:r>
      <w:r w:rsidR="00C50BCC">
        <w:rPr>
          <w:sz w:val="24"/>
          <w:szCs w:val="24"/>
        </w:rPr>
        <w:t xml:space="preserve">Many countries and cities in the Asia Pacific regions, including </w:t>
      </w:r>
      <w:r>
        <w:rPr>
          <w:sz w:val="24"/>
          <w:szCs w:val="24"/>
        </w:rPr>
        <w:t>Singapore</w:t>
      </w:r>
      <w:r w:rsidR="00C50BCC">
        <w:rPr>
          <w:sz w:val="24"/>
          <w:szCs w:val="24"/>
        </w:rPr>
        <w:t>, Thailand, and Hong Kong S.A.R,</w:t>
      </w:r>
      <w:r>
        <w:rPr>
          <w:sz w:val="24"/>
          <w:szCs w:val="24"/>
        </w:rPr>
        <w:t xml:space="preserve"> have recently </w:t>
      </w:r>
      <w:r w:rsidRPr="003D6A17">
        <w:rPr>
          <w:sz w:val="24"/>
          <w:szCs w:val="24"/>
        </w:rPr>
        <w:t xml:space="preserve">authorized license-exempt operation in the 5925 MHz to </w:t>
      </w:r>
      <w:r>
        <w:rPr>
          <w:sz w:val="24"/>
          <w:szCs w:val="24"/>
        </w:rPr>
        <w:t>6425 MHz band, which allows multiple 160 MHz channels and one 320 MHz channel</w:t>
      </w:r>
      <w:r w:rsidR="00C50BCC">
        <w:rPr>
          <w:sz w:val="24"/>
          <w:szCs w:val="24"/>
        </w:rPr>
        <w:t>.</w:t>
      </w:r>
      <w:r>
        <w:rPr>
          <w:sz w:val="24"/>
          <w:szCs w:val="24"/>
        </w:rPr>
        <w:t xml:space="preserve"> </w:t>
      </w:r>
      <w:r w:rsidR="00D1072E">
        <w:rPr>
          <w:sz w:val="24"/>
          <w:szCs w:val="24"/>
        </w:rPr>
        <w:t>Some other</w:t>
      </w:r>
      <w:r w:rsidR="00D1072E" w:rsidRPr="00D1072E">
        <w:rPr>
          <w:sz w:val="24"/>
          <w:szCs w:val="24"/>
        </w:rPr>
        <w:t xml:space="preserve"> countries</w:t>
      </w:r>
      <w:r w:rsidR="00D1072E">
        <w:rPr>
          <w:sz w:val="24"/>
          <w:szCs w:val="24"/>
        </w:rPr>
        <w:t>,</w:t>
      </w:r>
      <w:r w:rsidR="00D1072E" w:rsidRPr="00D1072E">
        <w:rPr>
          <w:sz w:val="24"/>
          <w:szCs w:val="24"/>
        </w:rPr>
        <w:t xml:space="preserve"> including Saudi Arabia</w:t>
      </w:r>
      <w:r w:rsidR="00D1072E">
        <w:rPr>
          <w:sz w:val="24"/>
          <w:szCs w:val="24"/>
        </w:rPr>
        <w:t>,</w:t>
      </w:r>
      <w:r w:rsidR="00D1072E" w:rsidRPr="00D1072E">
        <w:rPr>
          <w:sz w:val="24"/>
          <w:szCs w:val="24"/>
        </w:rPr>
        <w:t xml:space="preserve"> have allocated the </w:t>
      </w:r>
      <w:r w:rsidR="006D3CA1">
        <w:rPr>
          <w:sz w:val="24"/>
          <w:szCs w:val="24"/>
        </w:rPr>
        <w:t xml:space="preserve">entire 6 GHz </w:t>
      </w:r>
      <w:r w:rsidR="00D1072E" w:rsidRPr="00D1072E">
        <w:rPr>
          <w:sz w:val="24"/>
          <w:szCs w:val="24"/>
        </w:rPr>
        <w:t>ba</w:t>
      </w:r>
      <w:r w:rsidR="00D1072E">
        <w:rPr>
          <w:sz w:val="24"/>
          <w:szCs w:val="24"/>
        </w:rPr>
        <w:t xml:space="preserve">nd for license-exempt operation, which allows </w:t>
      </w:r>
      <w:r w:rsidR="00792034">
        <w:rPr>
          <w:sz w:val="24"/>
          <w:szCs w:val="24"/>
        </w:rPr>
        <w:t xml:space="preserve">multiple 160 MHz channels and </w:t>
      </w:r>
      <w:r w:rsidR="00D1072E">
        <w:rPr>
          <w:sz w:val="24"/>
          <w:szCs w:val="24"/>
        </w:rPr>
        <w:t xml:space="preserve">three 320 MHz channels. </w:t>
      </w:r>
      <w:r>
        <w:rPr>
          <w:sz w:val="24"/>
          <w:szCs w:val="24"/>
        </w:rPr>
        <w:t>Availability of the 5470 MHz to 5725 MHz band, and/or part of or the</w:t>
      </w:r>
      <w:r w:rsidRPr="003D6A17">
        <w:rPr>
          <w:sz w:val="24"/>
          <w:szCs w:val="24"/>
        </w:rPr>
        <w:t xml:space="preserve"> entire 6 GHz band for license-exempt use will create economies of scale and produce a robust equipment market, benefitting </w:t>
      </w:r>
      <w:r>
        <w:rPr>
          <w:sz w:val="24"/>
          <w:szCs w:val="24"/>
        </w:rPr>
        <w:t>China</w:t>
      </w:r>
      <w:r w:rsidRPr="003D6A17">
        <w:rPr>
          <w:sz w:val="24"/>
          <w:szCs w:val="24"/>
        </w:rPr>
        <w:t>’s businesses, consumers, and economy, while providing societal benefits.</w:t>
      </w:r>
      <w:r w:rsidR="00F072D6" w:rsidRPr="00F072D6">
        <w:rPr>
          <w:sz w:val="24"/>
          <w:szCs w:val="24"/>
        </w:rPr>
        <w:t xml:space="preserve"> </w:t>
      </w:r>
    </w:p>
    <w:p w14:paraId="7B11DEE9" w14:textId="77A19BEF" w:rsidR="00CB73E4" w:rsidRDefault="00CB73E4" w:rsidP="007C1BD0">
      <w:pPr>
        <w:jc w:val="both"/>
        <w:rPr>
          <w:sz w:val="24"/>
          <w:szCs w:val="24"/>
        </w:rPr>
      </w:pPr>
    </w:p>
    <w:p w14:paraId="4971185D" w14:textId="240EF5FC" w:rsidR="006E4237" w:rsidRPr="007A034D" w:rsidRDefault="006B3909" w:rsidP="007A034D">
      <w:pPr>
        <w:rPr>
          <w:b/>
          <w:sz w:val="24"/>
          <w:szCs w:val="24"/>
        </w:rPr>
      </w:pPr>
      <w:r w:rsidRPr="006B3909">
        <w:rPr>
          <w:b/>
          <w:i/>
          <w:sz w:val="24"/>
          <w:szCs w:val="24"/>
        </w:rPr>
        <w:t>Recommend adoption of in-channel segments of the proposed MRU spectrum mask only</w:t>
      </w:r>
    </w:p>
    <w:p w14:paraId="12C0958F" w14:textId="77777777" w:rsidR="006E4237" w:rsidRDefault="006E4237" w:rsidP="006E4237">
      <w:pPr>
        <w:jc w:val="both"/>
        <w:rPr>
          <w:sz w:val="24"/>
          <w:szCs w:val="24"/>
        </w:rPr>
      </w:pPr>
    </w:p>
    <w:p w14:paraId="56CD6CF2" w14:textId="643211B0" w:rsidR="00AB31F7" w:rsidRDefault="007B6ACD" w:rsidP="007C1BD0">
      <w:pPr>
        <w:jc w:val="both"/>
        <w:rPr>
          <w:sz w:val="24"/>
          <w:szCs w:val="24"/>
        </w:rPr>
      </w:pPr>
      <w:r>
        <w:rPr>
          <w:sz w:val="24"/>
          <w:szCs w:val="24"/>
        </w:rPr>
        <w:t xml:space="preserve">Spectrum mask for MRU operation is </w:t>
      </w:r>
      <w:r w:rsidR="00D82FD2">
        <w:rPr>
          <w:sz w:val="24"/>
          <w:szCs w:val="24"/>
        </w:rPr>
        <w:t xml:space="preserve">specified </w:t>
      </w:r>
      <w:r w:rsidR="00DC0833">
        <w:rPr>
          <w:sz w:val="24"/>
          <w:szCs w:val="24"/>
        </w:rPr>
        <w:t xml:space="preserve">in </w:t>
      </w:r>
      <w:r w:rsidR="001569DB" w:rsidRPr="001569DB">
        <w:rPr>
          <w:sz w:val="24"/>
          <w:szCs w:val="24"/>
        </w:rPr>
        <w:t>IEEE P802.11be</w:t>
      </w:r>
      <w:r w:rsidR="001569DB">
        <w:rPr>
          <w:sz w:val="24"/>
          <w:szCs w:val="24"/>
        </w:rPr>
        <w:t xml:space="preserve"> draft specification</w:t>
      </w:r>
      <w:r w:rsidR="006B3909">
        <w:rPr>
          <w:sz w:val="24"/>
          <w:szCs w:val="24"/>
        </w:rPr>
        <w:t xml:space="preserve"> [7]</w:t>
      </w:r>
      <w:r w:rsidR="001569DB">
        <w:rPr>
          <w:sz w:val="24"/>
          <w:szCs w:val="24"/>
        </w:rPr>
        <w:t xml:space="preserve">. </w:t>
      </w:r>
      <w:r w:rsidR="006E4237">
        <w:rPr>
          <w:sz w:val="24"/>
          <w:szCs w:val="24"/>
        </w:rPr>
        <w:t xml:space="preserve">IEEE 802 LMSC </w:t>
      </w:r>
      <w:r w:rsidR="007A034D">
        <w:rPr>
          <w:sz w:val="24"/>
          <w:szCs w:val="24"/>
        </w:rPr>
        <w:t>welcomes</w:t>
      </w:r>
      <w:r w:rsidR="00433AF9">
        <w:rPr>
          <w:sz w:val="24"/>
          <w:szCs w:val="24"/>
        </w:rPr>
        <w:t xml:space="preserve"> </w:t>
      </w:r>
      <w:r w:rsidR="0071502B">
        <w:rPr>
          <w:sz w:val="24"/>
          <w:szCs w:val="24"/>
        </w:rPr>
        <w:t>MIIT</w:t>
      </w:r>
      <w:r w:rsidR="006B3909">
        <w:rPr>
          <w:sz w:val="24"/>
          <w:szCs w:val="24"/>
        </w:rPr>
        <w:t>’s proposed</w:t>
      </w:r>
      <w:r w:rsidR="0071502B">
        <w:rPr>
          <w:sz w:val="24"/>
          <w:szCs w:val="24"/>
        </w:rPr>
        <w:t xml:space="preserve"> adoption of similar</w:t>
      </w:r>
      <w:r w:rsidR="00433AF9">
        <w:rPr>
          <w:sz w:val="24"/>
          <w:szCs w:val="24"/>
        </w:rPr>
        <w:t xml:space="preserve"> spectrum mask for M</w:t>
      </w:r>
      <w:r w:rsidR="0039092E">
        <w:rPr>
          <w:sz w:val="24"/>
          <w:szCs w:val="24"/>
        </w:rPr>
        <w:t>RU operation a</w:t>
      </w:r>
      <w:r w:rsidR="0071502B">
        <w:rPr>
          <w:sz w:val="24"/>
          <w:szCs w:val="24"/>
        </w:rPr>
        <w:t>s described in the consultation</w:t>
      </w:r>
      <w:r w:rsidR="00CD2A77">
        <w:rPr>
          <w:sz w:val="24"/>
          <w:szCs w:val="24"/>
        </w:rPr>
        <w:t xml:space="preserve">. Having said that, IEEE 802 LMSC </w:t>
      </w:r>
      <w:r w:rsidR="00365242">
        <w:rPr>
          <w:sz w:val="24"/>
          <w:szCs w:val="24"/>
        </w:rPr>
        <w:t xml:space="preserve">would like to bring to the </w:t>
      </w:r>
      <w:r w:rsidR="007C21DE">
        <w:rPr>
          <w:sz w:val="24"/>
          <w:szCs w:val="24"/>
        </w:rPr>
        <w:t xml:space="preserve">MIIT </w:t>
      </w:r>
      <w:r w:rsidR="00365242">
        <w:rPr>
          <w:sz w:val="24"/>
          <w:szCs w:val="24"/>
        </w:rPr>
        <w:t>attention that</w:t>
      </w:r>
      <w:r w:rsidR="00CD2A77">
        <w:rPr>
          <w:sz w:val="24"/>
          <w:szCs w:val="24"/>
        </w:rPr>
        <w:t>,</w:t>
      </w:r>
      <w:r w:rsidR="00365242">
        <w:rPr>
          <w:sz w:val="24"/>
          <w:szCs w:val="24"/>
        </w:rPr>
        <w:t xml:space="preserve"> </w:t>
      </w:r>
      <w:r w:rsidR="007A034D">
        <w:rPr>
          <w:sz w:val="24"/>
          <w:szCs w:val="24"/>
        </w:rPr>
        <w:t>in the case of 5</w:t>
      </w:r>
      <w:r w:rsidR="006B3909">
        <w:rPr>
          <w:sz w:val="24"/>
          <w:szCs w:val="24"/>
        </w:rPr>
        <w:t xml:space="preserve"> </w:t>
      </w:r>
      <w:r w:rsidR="007A034D">
        <w:rPr>
          <w:sz w:val="24"/>
          <w:szCs w:val="24"/>
        </w:rPr>
        <w:t xml:space="preserve">GHz band, </w:t>
      </w:r>
      <w:r w:rsidR="00E21C93">
        <w:rPr>
          <w:sz w:val="24"/>
          <w:szCs w:val="24"/>
        </w:rPr>
        <w:t xml:space="preserve">only </w:t>
      </w:r>
      <w:r w:rsidR="003B5FA2">
        <w:rPr>
          <w:sz w:val="24"/>
          <w:szCs w:val="24"/>
        </w:rPr>
        <w:t>in</w:t>
      </w:r>
      <w:r w:rsidR="00E62DC9">
        <w:rPr>
          <w:sz w:val="24"/>
          <w:szCs w:val="24"/>
        </w:rPr>
        <w:t>-</w:t>
      </w:r>
      <w:r w:rsidR="003B5FA2">
        <w:rPr>
          <w:sz w:val="24"/>
          <w:szCs w:val="24"/>
        </w:rPr>
        <w:t xml:space="preserve">channel segments of </w:t>
      </w:r>
      <w:r w:rsidR="006B3909">
        <w:rPr>
          <w:sz w:val="24"/>
          <w:szCs w:val="24"/>
        </w:rPr>
        <w:t xml:space="preserve">the </w:t>
      </w:r>
      <w:r w:rsidR="003B5FA2">
        <w:rPr>
          <w:sz w:val="24"/>
          <w:szCs w:val="24"/>
        </w:rPr>
        <w:t xml:space="preserve">spectrum mask </w:t>
      </w:r>
      <w:r w:rsidR="006B3909">
        <w:rPr>
          <w:sz w:val="24"/>
          <w:szCs w:val="24"/>
        </w:rPr>
        <w:t>in the punctured sub</w:t>
      </w:r>
      <w:r w:rsidR="00E62DC9">
        <w:rPr>
          <w:sz w:val="24"/>
          <w:szCs w:val="24"/>
        </w:rPr>
        <w:t xml:space="preserve">channels </w:t>
      </w:r>
      <w:r w:rsidR="003B5FA2">
        <w:rPr>
          <w:sz w:val="24"/>
          <w:szCs w:val="24"/>
        </w:rPr>
        <w:t>are to be considered</w:t>
      </w:r>
      <w:r w:rsidR="0054506D">
        <w:rPr>
          <w:sz w:val="24"/>
          <w:szCs w:val="24"/>
        </w:rPr>
        <w:t xml:space="preserve"> and </w:t>
      </w:r>
      <w:r w:rsidR="006B3909">
        <w:rPr>
          <w:sz w:val="24"/>
          <w:szCs w:val="24"/>
        </w:rPr>
        <w:t>any out-of-</w:t>
      </w:r>
      <w:r w:rsidR="0054506D">
        <w:rPr>
          <w:sz w:val="24"/>
          <w:szCs w:val="24"/>
        </w:rPr>
        <w:t xml:space="preserve">channel segments of the baseline </w:t>
      </w:r>
      <w:r w:rsidR="005C68E0">
        <w:rPr>
          <w:sz w:val="24"/>
          <w:szCs w:val="24"/>
        </w:rPr>
        <w:t xml:space="preserve">or MRU </w:t>
      </w:r>
      <w:r w:rsidR="0054506D">
        <w:rPr>
          <w:sz w:val="24"/>
          <w:szCs w:val="24"/>
        </w:rPr>
        <w:t>spectrum ma</w:t>
      </w:r>
      <w:r w:rsidR="005C68E0">
        <w:rPr>
          <w:sz w:val="24"/>
          <w:szCs w:val="24"/>
        </w:rPr>
        <w:t xml:space="preserve">sk should not be </w:t>
      </w:r>
      <w:r w:rsidR="00C926FC">
        <w:rPr>
          <w:sz w:val="24"/>
          <w:szCs w:val="24"/>
        </w:rPr>
        <w:t>required</w:t>
      </w:r>
      <w:r w:rsidR="006B3909">
        <w:rPr>
          <w:sz w:val="24"/>
          <w:szCs w:val="24"/>
        </w:rPr>
        <w:t>. The main reason</w:t>
      </w:r>
      <w:r w:rsidR="005C68E0">
        <w:rPr>
          <w:sz w:val="24"/>
          <w:szCs w:val="24"/>
        </w:rPr>
        <w:t xml:space="preserve"> is that </w:t>
      </w:r>
      <w:r w:rsidR="00036C60">
        <w:rPr>
          <w:sz w:val="24"/>
          <w:szCs w:val="24"/>
        </w:rPr>
        <w:t>there are no</w:t>
      </w:r>
      <w:r w:rsidR="005C68E0">
        <w:rPr>
          <w:sz w:val="24"/>
          <w:szCs w:val="24"/>
        </w:rPr>
        <w:t xml:space="preserve"> </w:t>
      </w:r>
      <w:r w:rsidR="00036C60">
        <w:rPr>
          <w:sz w:val="24"/>
          <w:szCs w:val="24"/>
        </w:rPr>
        <w:t>incumbent protection requiring imposing channel</w:t>
      </w:r>
      <w:r w:rsidR="006B3909">
        <w:rPr>
          <w:sz w:val="24"/>
          <w:szCs w:val="24"/>
        </w:rPr>
        <w:t xml:space="preserve"> spectrum</w:t>
      </w:r>
      <w:r w:rsidR="00036C60">
        <w:rPr>
          <w:sz w:val="24"/>
          <w:szCs w:val="24"/>
        </w:rPr>
        <w:t xml:space="preserve"> mask within the 5</w:t>
      </w:r>
      <w:r w:rsidR="006B3909">
        <w:rPr>
          <w:sz w:val="24"/>
          <w:szCs w:val="24"/>
        </w:rPr>
        <w:t xml:space="preserve"> </w:t>
      </w:r>
      <w:r w:rsidR="00036C60">
        <w:rPr>
          <w:sz w:val="24"/>
          <w:szCs w:val="24"/>
        </w:rPr>
        <w:t>GHz bands.</w:t>
      </w:r>
      <w:r w:rsidR="007C21DE">
        <w:rPr>
          <w:sz w:val="24"/>
          <w:szCs w:val="24"/>
        </w:rPr>
        <w:t xml:space="preserve"> </w:t>
      </w:r>
    </w:p>
    <w:p w14:paraId="7A8E9928" w14:textId="77777777" w:rsidR="003A6D67" w:rsidRDefault="003A6D67" w:rsidP="007C1BD0">
      <w:pPr>
        <w:jc w:val="both"/>
        <w:rPr>
          <w:sz w:val="24"/>
          <w:szCs w:val="24"/>
        </w:rPr>
      </w:pPr>
    </w:p>
    <w:p w14:paraId="77BCCFAD" w14:textId="77777777" w:rsidR="00A22149" w:rsidRDefault="007C21DE" w:rsidP="007C1BD0">
      <w:pPr>
        <w:jc w:val="both"/>
        <w:rPr>
          <w:sz w:val="24"/>
          <w:szCs w:val="24"/>
        </w:rPr>
      </w:pPr>
      <w:r>
        <w:rPr>
          <w:sz w:val="24"/>
          <w:szCs w:val="24"/>
        </w:rPr>
        <w:t>In the case of 6</w:t>
      </w:r>
      <w:r w:rsidR="006B3909">
        <w:rPr>
          <w:sz w:val="24"/>
          <w:szCs w:val="24"/>
        </w:rPr>
        <w:t xml:space="preserve"> </w:t>
      </w:r>
      <w:r>
        <w:rPr>
          <w:sz w:val="24"/>
          <w:szCs w:val="24"/>
        </w:rPr>
        <w:t>GHz band</w:t>
      </w:r>
      <w:r w:rsidR="00B434BF">
        <w:rPr>
          <w:sz w:val="24"/>
          <w:szCs w:val="24"/>
        </w:rPr>
        <w:t xml:space="preserve">, the situation may be different as some regulatory domains are considering imposing </w:t>
      </w:r>
      <w:r w:rsidR="003548B2">
        <w:rPr>
          <w:sz w:val="24"/>
          <w:szCs w:val="24"/>
        </w:rPr>
        <w:t>channel spectrum mask within the 6</w:t>
      </w:r>
      <w:r w:rsidR="006B3909">
        <w:rPr>
          <w:sz w:val="24"/>
          <w:szCs w:val="24"/>
        </w:rPr>
        <w:t xml:space="preserve"> </w:t>
      </w:r>
      <w:r w:rsidR="003548B2">
        <w:rPr>
          <w:sz w:val="24"/>
          <w:szCs w:val="24"/>
        </w:rPr>
        <w:t xml:space="preserve">GHz band for </w:t>
      </w:r>
      <w:r w:rsidR="006B3909">
        <w:rPr>
          <w:sz w:val="24"/>
          <w:szCs w:val="24"/>
        </w:rPr>
        <w:t>license-exempt</w:t>
      </w:r>
      <w:r w:rsidR="003548B2">
        <w:rPr>
          <w:sz w:val="24"/>
          <w:szCs w:val="24"/>
        </w:rPr>
        <w:t xml:space="preserve"> operation</w:t>
      </w:r>
      <w:r w:rsidR="003A5CE3">
        <w:rPr>
          <w:sz w:val="24"/>
          <w:szCs w:val="24"/>
        </w:rPr>
        <w:t xml:space="preserve"> to protect </w:t>
      </w:r>
      <w:r w:rsidR="00BB4B6B">
        <w:rPr>
          <w:sz w:val="24"/>
          <w:szCs w:val="24"/>
        </w:rPr>
        <w:t>incumbent fixed services</w:t>
      </w:r>
      <w:r w:rsidR="003548B2">
        <w:rPr>
          <w:sz w:val="24"/>
          <w:szCs w:val="24"/>
        </w:rPr>
        <w:t xml:space="preserve">. </w:t>
      </w:r>
      <w:r w:rsidR="00AB31F7">
        <w:rPr>
          <w:sz w:val="24"/>
          <w:szCs w:val="24"/>
        </w:rPr>
        <w:t>In this case, the entire</w:t>
      </w:r>
      <w:r w:rsidR="006A068B">
        <w:rPr>
          <w:sz w:val="24"/>
          <w:szCs w:val="24"/>
        </w:rPr>
        <w:t xml:space="preserve"> </w:t>
      </w:r>
      <w:r w:rsidR="006B3909">
        <w:rPr>
          <w:sz w:val="24"/>
          <w:szCs w:val="24"/>
        </w:rPr>
        <w:t>s</w:t>
      </w:r>
      <w:r w:rsidR="006A068B">
        <w:rPr>
          <w:sz w:val="24"/>
          <w:szCs w:val="24"/>
        </w:rPr>
        <w:t xml:space="preserve">pectrum mask for MRU </w:t>
      </w:r>
      <w:r w:rsidR="006B3909">
        <w:rPr>
          <w:sz w:val="24"/>
          <w:szCs w:val="24"/>
        </w:rPr>
        <w:t xml:space="preserve">proposed by MIIT, which is similar to that of IEEE P802.11be’s ones, </w:t>
      </w:r>
      <w:r w:rsidR="006A068B">
        <w:rPr>
          <w:sz w:val="24"/>
          <w:szCs w:val="24"/>
        </w:rPr>
        <w:t xml:space="preserve">may be considered </w:t>
      </w:r>
      <w:r w:rsidR="003A5CE3">
        <w:rPr>
          <w:sz w:val="24"/>
          <w:szCs w:val="24"/>
        </w:rPr>
        <w:t xml:space="preserve">for punctured channels. </w:t>
      </w:r>
    </w:p>
    <w:p w14:paraId="2EC90E7A" w14:textId="77777777" w:rsidR="008247BC" w:rsidRDefault="008247BC" w:rsidP="007C1BD0">
      <w:pPr>
        <w:jc w:val="both"/>
        <w:rPr>
          <w:sz w:val="24"/>
          <w:szCs w:val="24"/>
        </w:rPr>
      </w:pPr>
    </w:p>
    <w:p w14:paraId="667C43B9" w14:textId="3C534338" w:rsidR="00BB4B6B" w:rsidRDefault="00C956DE" w:rsidP="007C1BD0">
      <w:pPr>
        <w:jc w:val="both"/>
        <w:rPr>
          <w:sz w:val="24"/>
          <w:szCs w:val="24"/>
        </w:rPr>
      </w:pPr>
      <w:r>
        <w:rPr>
          <w:sz w:val="24"/>
          <w:szCs w:val="24"/>
        </w:rPr>
        <w:t xml:space="preserve">IEEE </w:t>
      </w:r>
      <w:r w:rsidR="00AC13CB">
        <w:rPr>
          <w:sz w:val="24"/>
          <w:szCs w:val="24"/>
        </w:rPr>
        <w:t>802 LMSC would like to</w:t>
      </w:r>
      <w:r w:rsidR="00425D7C">
        <w:rPr>
          <w:sz w:val="24"/>
          <w:szCs w:val="24"/>
        </w:rPr>
        <w:t xml:space="preserve"> </w:t>
      </w:r>
      <w:r w:rsidR="00DB264F">
        <w:rPr>
          <w:sz w:val="24"/>
          <w:szCs w:val="24"/>
        </w:rPr>
        <w:t xml:space="preserve">mention </w:t>
      </w:r>
      <w:r w:rsidR="00AC13CB">
        <w:rPr>
          <w:sz w:val="24"/>
          <w:szCs w:val="24"/>
        </w:rPr>
        <w:t xml:space="preserve">that </w:t>
      </w:r>
      <w:r w:rsidR="00FC49A9">
        <w:rPr>
          <w:sz w:val="24"/>
          <w:szCs w:val="24"/>
        </w:rPr>
        <w:t xml:space="preserve">the IEEE P802.11be’s </w:t>
      </w:r>
      <w:r w:rsidR="00AC13CB">
        <w:rPr>
          <w:sz w:val="24"/>
          <w:szCs w:val="24"/>
        </w:rPr>
        <w:t>spectrum mask for MRU</w:t>
      </w:r>
      <w:r w:rsidR="00FC49A9">
        <w:rPr>
          <w:sz w:val="24"/>
          <w:szCs w:val="24"/>
        </w:rPr>
        <w:t xml:space="preserve"> is also consistent with </w:t>
      </w:r>
      <w:r w:rsidR="00A76D5D">
        <w:rPr>
          <w:sz w:val="24"/>
          <w:szCs w:val="24"/>
        </w:rPr>
        <w:t xml:space="preserve">that in </w:t>
      </w:r>
      <w:bookmarkStart w:id="0" w:name="_GoBack"/>
      <w:bookmarkEnd w:id="0"/>
      <w:r w:rsidR="00FC49A9">
        <w:rPr>
          <w:sz w:val="24"/>
          <w:szCs w:val="24"/>
        </w:rPr>
        <w:t xml:space="preserve">ETSI BRAN </w:t>
      </w:r>
      <w:r w:rsidR="00AB3653">
        <w:rPr>
          <w:sz w:val="24"/>
          <w:szCs w:val="24"/>
        </w:rPr>
        <w:t>EN 303 68</w:t>
      </w:r>
      <w:r w:rsidR="00FB6780">
        <w:rPr>
          <w:sz w:val="24"/>
          <w:szCs w:val="24"/>
        </w:rPr>
        <w:t>7</w:t>
      </w:r>
      <w:r w:rsidR="00C8008D">
        <w:rPr>
          <w:sz w:val="24"/>
          <w:szCs w:val="24"/>
        </w:rPr>
        <w:t xml:space="preserve"> </w:t>
      </w:r>
      <w:r w:rsidR="00436D0A">
        <w:rPr>
          <w:sz w:val="24"/>
          <w:szCs w:val="24"/>
        </w:rPr>
        <w:t>[8]</w:t>
      </w:r>
      <w:r w:rsidR="00AB3653">
        <w:rPr>
          <w:sz w:val="24"/>
          <w:szCs w:val="24"/>
        </w:rPr>
        <w:t>.</w:t>
      </w:r>
      <w:r w:rsidR="00FC49A9">
        <w:rPr>
          <w:sz w:val="24"/>
          <w:szCs w:val="24"/>
        </w:rPr>
        <w:t xml:space="preserve">  </w:t>
      </w:r>
      <w:r w:rsidR="00036C60">
        <w:rPr>
          <w:sz w:val="24"/>
          <w:szCs w:val="24"/>
        </w:rPr>
        <w:t xml:space="preserve"> </w:t>
      </w:r>
    </w:p>
    <w:p w14:paraId="339564C5" w14:textId="77777777" w:rsidR="008F0E52" w:rsidRDefault="008F0E52" w:rsidP="007C1BD0">
      <w:pPr>
        <w:jc w:val="both"/>
        <w:rPr>
          <w:sz w:val="24"/>
          <w:szCs w:val="24"/>
        </w:rPr>
      </w:pPr>
    </w:p>
    <w:p w14:paraId="3B2A3F3F" w14:textId="511F026A" w:rsidR="007B76A7" w:rsidRPr="007A034D" w:rsidRDefault="007B76A7" w:rsidP="007B76A7">
      <w:pPr>
        <w:rPr>
          <w:b/>
          <w:sz w:val="24"/>
          <w:szCs w:val="24"/>
        </w:rPr>
      </w:pPr>
      <w:r w:rsidRPr="006B3909">
        <w:rPr>
          <w:b/>
          <w:i/>
          <w:sz w:val="24"/>
          <w:szCs w:val="24"/>
        </w:rPr>
        <w:t xml:space="preserve">Recommend </w:t>
      </w:r>
      <w:r>
        <w:rPr>
          <w:b/>
          <w:i/>
          <w:sz w:val="24"/>
          <w:szCs w:val="24"/>
        </w:rPr>
        <w:t>removing the proposed EVM requirement</w:t>
      </w:r>
    </w:p>
    <w:p w14:paraId="06EF81B2" w14:textId="77777777" w:rsidR="007B76A7" w:rsidRDefault="007B76A7" w:rsidP="007C1BD0">
      <w:pPr>
        <w:jc w:val="both"/>
        <w:rPr>
          <w:sz w:val="24"/>
          <w:szCs w:val="24"/>
        </w:rPr>
      </w:pPr>
    </w:p>
    <w:p w14:paraId="46B895D1" w14:textId="2BC06D1A" w:rsidR="008F0E52" w:rsidRDefault="00952A0E" w:rsidP="007C1BD0">
      <w:pPr>
        <w:jc w:val="both"/>
        <w:rPr>
          <w:sz w:val="24"/>
          <w:szCs w:val="24"/>
        </w:rPr>
      </w:pPr>
      <w:r>
        <w:rPr>
          <w:sz w:val="24"/>
          <w:szCs w:val="24"/>
        </w:rPr>
        <w:t xml:space="preserve">IEEE 802 LMSC </w:t>
      </w:r>
      <w:r w:rsidR="00834FF1">
        <w:rPr>
          <w:sz w:val="24"/>
          <w:szCs w:val="24"/>
        </w:rPr>
        <w:t>recommend</w:t>
      </w:r>
      <w:r w:rsidR="00F1165B">
        <w:rPr>
          <w:sz w:val="24"/>
          <w:szCs w:val="24"/>
        </w:rPr>
        <w:t>s not</w:t>
      </w:r>
      <w:r w:rsidR="00577780">
        <w:rPr>
          <w:sz w:val="24"/>
          <w:szCs w:val="24"/>
        </w:rPr>
        <w:t xml:space="preserve"> </w:t>
      </w:r>
      <w:r w:rsidR="00834FF1">
        <w:rPr>
          <w:sz w:val="24"/>
          <w:szCs w:val="24"/>
        </w:rPr>
        <w:t xml:space="preserve">requiring </w:t>
      </w:r>
      <w:r w:rsidR="00F1165B">
        <w:rPr>
          <w:sz w:val="24"/>
          <w:szCs w:val="24"/>
        </w:rPr>
        <w:t>any</w:t>
      </w:r>
      <w:r w:rsidR="00834FF1">
        <w:rPr>
          <w:sz w:val="24"/>
          <w:szCs w:val="24"/>
        </w:rPr>
        <w:t xml:space="preserve"> regul</w:t>
      </w:r>
      <w:r w:rsidR="00577780">
        <w:rPr>
          <w:sz w:val="24"/>
          <w:szCs w:val="24"/>
        </w:rPr>
        <w:t>atory restri</w:t>
      </w:r>
      <w:r w:rsidR="007B76A7">
        <w:rPr>
          <w:sz w:val="24"/>
          <w:szCs w:val="24"/>
        </w:rPr>
        <w:t>ction on the EVM requirement for 4096-QAM modulation</w:t>
      </w:r>
      <w:r w:rsidR="00577780">
        <w:rPr>
          <w:sz w:val="24"/>
          <w:szCs w:val="24"/>
        </w:rPr>
        <w:t xml:space="preserve"> </w:t>
      </w:r>
      <w:r w:rsidR="00AA0791">
        <w:rPr>
          <w:sz w:val="24"/>
          <w:szCs w:val="24"/>
        </w:rPr>
        <w:t>as we believe that requirement</w:t>
      </w:r>
      <w:r w:rsidR="0037265B">
        <w:rPr>
          <w:sz w:val="24"/>
          <w:szCs w:val="24"/>
        </w:rPr>
        <w:t>s</w:t>
      </w:r>
      <w:r w:rsidR="007D669C">
        <w:rPr>
          <w:sz w:val="24"/>
          <w:szCs w:val="24"/>
        </w:rPr>
        <w:t>,</w:t>
      </w:r>
      <w:r w:rsidR="0037265B">
        <w:rPr>
          <w:sz w:val="24"/>
          <w:szCs w:val="24"/>
        </w:rPr>
        <w:t xml:space="preserve"> such as </w:t>
      </w:r>
      <w:r w:rsidR="007D669C">
        <w:rPr>
          <w:sz w:val="24"/>
          <w:szCs w:val="24"/>
        </w:rPr>
        <w:t>this,</w:t>
      </w:r>
      <w:r w:rsidR="00AA0791">
        <w:rPr>
          <w:sz w:val="24"/>
          <w:szCs w:val="24"/>
        </w:rPr>
        <w:t xml:space="preserve"> on performance of </w:t>
      </w:r>
      <w:r w:rsidR="00751465">
        <w:rPr>
          <w:sz w:val="24"/>
          <w:szCs w:val="24"/>
        </w:rPr>
        <w:t xml:space="preserve">transmit signal is best to be addressed by </w:t>
      </w:r>
      <w:r w:rsidR="00C8008D">
        <w:rPr>
          <w:sz w:val="24"/>
          <w:szCs w:val="24"/>
        </w:rPr>
        <w:t xml:space="preserve">industry </w:t>
      </w:r>
      <w:r w:rsidR="00E95DDA">
        <w:rPr>
          <w:sz w:val="24"/>
          <w:szCs w:val="24"/>
        </w:rPr>
        <w:t>specifications</w:t>
      </w:r>
      <w:r w:rsidR="00080282">
        <w:rPr>
          <w:sz w:val="24"/>
          <w:szCs w:val="24"/>
        </w:rPr>
        <w:t>.</w:t>
      </w:r>
    </w:p>
    <w:p w14:paraId="5BE0BBF8" w14:textId="77777777" w:rsidR="00F072D6" w:rsidRDefault="00F072D6" w:rsidP="007C1BD0">
      <w:pPr>
        <w:jc w:val="both"/>
        <w:rPr>
          <w:sz w:val="24"/>
          <w:szCs w:val="24"/>
        </w:rPr>
      </w:pPr>
    </w:p>
    <w:p w14:paraId="28D9886B" w14:textId="77777777" w:rsidR="00A76D5D" w:rsidRDefault="00A76D5D">
      <w:pPr>
        <w:rPr>
          <w:b/>
          <w:sz w:val="24"/>
          <w:szCs w:val="24"/>
        </w:rPr>
      </w:pPr>
      <w:r>
        <w:rPr>
          <w:b/>
          <w:sz w:val="24"/>
          <w:szCs w:val="24"/>
        </w:rPr>
        <w:br w:type="page"/>
      </w:r>
    </w:p>
    <w:p w14:paraId="1A0313D9" w14:textId="1026500C" w:rsidR="007C1BD0" w:rsidRPr="007C1BD0" w:rsidRDefault="007C1BD0" w:rsidP="007C1BD0">
      <w:pPr>
        <w:rPr>
          <w:b/>
          <w:sz w:val="24"/>
          <w:szCs w:val="24"/>
        </w:rPr>
      </w:pPr>
      <w:r w:rsidRPr="007C1BD0">
        <w:rPr>
          <w:b/>
          <w:sz w:val="24"/>
          <w:szCs w:val="24"/>
        </w:rPr>
        <w:lastRenderedPageBreak/>
        <w:t>Conclusion</w:t>
      </w:r>
    </w:p>
    <w:p w14:paraId="031D1AE4" w14:textId="77777777" w:rsidR="007C1BD0" w:rsidRPr="007C1BD0" w:rsidRDefault="007C1BD0" w:rsidP="007C1BD0">
      <w:pPr>
        <w:rPr>
          <w:sz w:val="24"/>
          <w:szCs w:val="24"/>
        </w:rPr>
      </w:pPr>
    </w:p>
    <w:p w14:paraId="0E9D5301" w14:textId="058F2A5A" w:rsidR="007C1BD0" w:rsidRPr="007C1BD0" w:rsidRDefault="007C1BD0" w:rsidP="007C1BD0">
      <w:pPr>
        <w:jc w:val="both"/>
        <w:rPr>
          <w:color w:val="000000"/>
          <w:sz w:val="24"/>
          <w:szCs w:val="24"/>
        </w:rPr>
      </w:pPr>
      <w:r w:rsidRPr="007C1BD0">
        <w:rPr>
          <w:sz w:val="24"/>
          <w:szCs w:val="24"/>
        </w:rPr>
        <w:t xml:space="preserve">IEEE 802 LMSC thanks the </w:t>
      </w:r>
      <w:r w:rsidR="00C50BCC">
        <w:rPr>
          <w:sz w:val="24"/>
          <w:szCs w:val="24"/>
        </w:rPr>
        <w:t>MIIT</w:t>
      </w:r>
      <w:r w:rsidRPr="007C1BD0">
        <w:rPr>
          <w:sz w:val="24"/>
          <w:szCs w:val="24"/>
        </w:rPr>
        <w:t xml:space="preserve"> for the opportunity to provide this submission and kindly requests </w:t>
      </w:r>
      <w:r w:rsidR="00945AF8">
        <w:rPr>
          <w:sz w:val="24"/>
          <w:szCs w:val="24"/>
        </w:rPr>
        <w:t>M</w:t>
      </w:r>
      <w:r w:rsidR="00C50BCC">
        <w:rPr>
          <w:sz w:val="24"/>
          <w:szCs w:val="24"/>
        </w:rPr>
        <w:t>IIT</w:t>
      </w:r>
      <w:r w:rsidRPr="007C1BD0">
        <w:rPr>
          <w:sz w:val="24"/>
          <w:szCs w:val="24"/>
        </w:rPr>
        <w:t xml:space="preserve"> to </w:t>
      </w:r>
      <w:r w:rsidR="00EE64F1">
        <w:rPr>
          <w:sz w:val="24"/>
          <w:szCs w:val="24"/>
        </w:rPr>
        <w:t>consider</w:t>
      </w:r>
      <w:r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doi: 10.1109/IEEESTD.2021.9442429. </w:t>
      </w:r>
    </w:p>
    <w:p w14:paraId="69E7DF32" w14:textId="22505DD5"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sidR="0054249A">
        <w:rPr>
          <w:sz w:val="24"/>
          <w:szCs w:val="24"/>
        </w:rPr>
        <w:t>13 June</w:t>
      </w:r>
      <w:r w:rsidRPr="007C1BD0">
        <w:rPr>
          <w:sz w:val="24"/>
          <w:szCs w:val="24"/>
        </w:rPr>
        <w:t xml:space="preserve"> 2023].</w:t>
      </w:r>
    </w:p>
    <w:p w14:paraId="19B8EF40" w14:textId="56F45A8A"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Pr>
          <w:sz w:val="24"/>
          <w:szCs w:val="24"/>
        </w:rPr>
        <w:t>1</w:t>
      </w:r>
      <w:r w:rsidR="0054249A">
        <w:rPr>
          <w:sz w:val="24"/>
          <w:szCs w:val="24"/>
        </w:rPr>
        <w:t>3 June</w:t>
      </w:r>
      <w:r>
        <w:rPr>
          <w:sz w:val="24"/>
          <w:szCs w:val="24"/>
        </w:rPr>
        <w:t xml:space="preserve">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600CBED7"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Pr>
          <w:sz w:val="24"/>
          <w:szCs w:val="24"/>
        </w:rPr>
        <w:t xml:space="preserve"> [accessed: 1</w:t>
      </w:r>
      <w:r w:rsidR="0054249A">
        <w:rPr>
          <w:sz w:val="24"/>
          <w:szCs w:val="24"/>
        </w:rPr>
        <w:t>3 June</w:t>
      </w:r>
      <w:r w:rsidRPr="00C83170">
        <w:rPr>
          <w:sz w:val="24"/>
          <w:szCs w:val="24"/>
        </w:rPr>
        <w:t xml:space="preserve"> 2023]</w:t>
      </w:r>
    </w:p>
    <w:p w14:paraId="5E4F15AC" w14:textId="4AF2B131" w:rsidR="00283E4B" w:rsidRPr="007C1BD0" w:rsidRDefault="00283E4B" w:rsidP="0054249A">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Pr>
          <w:sz w:val="24"/>
          <w:szCs w:val="24"/>
        </w:rPr>
        <w:t>1</w:t>
      </w:r>
      <w:r w:rsidR="0054249A">
        <w:rPr>
          <w:sz w:val="24"/>
          <w:szCs w:val="24"/>
        </w:rPr>
        <w:t>3 June</w:t>
      </w:r>
      <w:r>
        <w:rPr>
          <w:sz w:val="24"/>
          <w:szCs w:val="24"/>
        </w:rPr>
        <w:t xml:space="preserve"> </w:t>
      </w:r>
      <w:r w:rsidRPr="007C1BD0">
        <w:rPr>
          <w:sz w:val="24"/>
          <w:szCs w:val="24"/>
        </w:rPr>
        <w:t>2023]</w:t>
      </w:r>
    </w:p>
    <w:p w14:paraId="3ABE2DA9" w14:textId="77777777" w:rsidR="00C8008D" w:rsidRDefault="00726DE3" w:rsidP="0054249A">
      <w:pPr>
        <w:tabs>
          <w:tab w:val="left" w:pos="540"/>
        </w:tabs>
        <w:jc w:val="both"/>
        <w:rPr>
          <w:sz w:val="24"/>
          <w:szCs w:val="24"/>
        </w:rPr>
      </w:pPr>
      <w:r>
        <w:rPr>
          <w:sz w:val="24"/>
          <w:szCs w:val="24"/>
        </w:rPr>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Pr>
          <w:sz w:val="24"/>
          <w:szCs w:val="24"/>
        </w:rPr>
        <w:tab/>
      </w:r>
      <w:r w:rsidRPr="0032188D">
        <w:rPr>
          <w:sz w:val="24"/>
          <w:szCs w:val="24"/>
        </w:rPr>
        <w:t>IEEE P802.11be/D3.0, January 2023 , vol., no., pp.1-999, 1 March 2023.</w:t>
      </w:r>
    </w:p>
    <w:p w14:paraId="6A0CF2C5" w14:textId="05B5D531" w:rsidR="00726DE3" w:rsidRDefault="00EB1A28" w:rsidP="00A76D5D">
      <w:pPr>
        <w:tabs>
          <w:tab w:val="left" w:pos="540"/>
        </w:tabs>
        <w:ind w:left="540" w:hanging="540"/>
        <w:jc w:val="both"/>
        <w:rPr>
          <w:sz w:val="24"/>
          <w:szCs w:val="24"/>
        </w:rPr>
      </w:pPr>
      <w:r>
        <w:rPr>
          <w:sz w:val="24"/>
          <w:szCs w:val="24"/>
        </w:rPr>
        <w:t>[8]</w:t>
      </w:r>
      <w:r>
        <w:rPr>
          <w:sz w:val="24"/>
          <w:szCs w:val="24"/>
        </w:rPr>
        <w:tab/>
      </w:r>
      <w:r w:rsidR="00617203">
        <w:rPr>
          <w:sz w:val="24"/>
          <w:szCs w:val="24"/>
        </w:rPr>
        <w:t xml:space="preserve">ETSI BRAN: </w:t>
      </w:r>
      <w:r w:rsidR="007477EC" w:rsidRPr="007477EC">
        <w:rPr>
          <w:sz w:val="24"/>
          <w:szCs w:val="24"/>
        </w:rPr>
        <w:t>6 GHz WAS/RLAN;</w:t>
      </w:r>
      <w:r w:rsidR="007477EC">
        <w:rPr>
          <w:sz w:val="24"/>
          <w:szCs w:val="24"/>
        </w:rPr>
        <w:t xml:space="preserve"> </w:t>
      </w:r>
      <w:r w:rsidR="007477EC" w:rsidRPr="007477EC">
        <w:rPr>
          <w:sz w:val="24"/>
          <w:szCs w:val="24"/>
        </w:rPr>
        <w:t>Harmonised Standard for access to radio spectrum</w:t>
      </w:r>
      <w:r w:rsidR="007477EC">
        <w:rPr>
          <w:sz w:val="24"/>
          <w:szCs w:val="24"/>
        </w:rPr>
        <w:t xml:space="preserve">, </w:t>
      </w:r>
      <w:r w:rsidR="007B5930" w:rsidRPr="00A76D5D">
        <w:rPr>
          <w:sz w:val="24"/>
          <w:szCs w:val="24"/>
        </w:rPr>
        <w:t>ETSI</w:t>
      </w:r>
      <w:r w:rsidR="00A76D5D">
        <w:rPr>
          <w:sz w:val="24"/>
          <w:szCs w:val="24"/>
        </w:rPr>
        <w:t xml:space="preserve"> </w:t>
      </w:r>
      <w:r w:rsidR="007B5930" w:rsidRPr="00A76D5D">
        <w:rPr>
          <w:sz w:val="24"/>
          <w:szCs w:val="24"/>
        </w:rPr>
        <w:t>BRAN EN 303 687 v1.1.0</w:t>
      </w:r>
      <w:r w:rsidR="004C7662">
        <w:rPr>
          <w:sz w:val="24"/>
          <w:szCs w:val="24"/>
        </w:rPr>
        <w:t xml:space="preserve"> </w:t>
      </w:r>
      <w:r w:rsidR="004C7662" w:rsidRPr="004C7662">
        <w:rPr>
          <w:sz w:val="24"/>
          <w:szCs w:val="24"/>
        </w:rPr>
        <w:t>(2023-03)</w:t>
      </w:r>
      <w:r w:rsidR="00A76D5D">
        <w:rPr>
          <w:sz w:val="24"/>
          <w:szCs w:val="24"/>
        </w:rPr>
        <w:t xml:space="preserve">. </w:t>
      </w:r>
    </w:p>
    <w:sectPr w:rsidR="00726DE3">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7C30" w14:textId="77777777" w:rsidR="0017011C" w:rsidRDefault="0017011C">
      <w:r>
        <w:separator/>
      </w:r>
    </w:p>
  </w:endnote>
  <w:endnote w:type="continuationSeparator" w:id="0">
    <w:p w14:paraId="6A7A6063" w14:textId="77777777" w:rsidR="0017011C" w:rsidRDefault="0017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CE30A4">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A76D5D">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3EC07" w14:textId="77777777" w:rsidR="0017011C" w:rsidRDefault="0017011C">
      <w:pPr>
        <w:rPr>
          <w:sz w:val="12"/>
        </w:rPr>
      </w:pPr>
      <w:r>
        <w:separator/>
      </w:r>
    </w:p>
  </w:footnote>
  <w:footnote w:type="continuationSeparator" w:id="0">
    <w:p w14:paraId="599C0B81" w14:textId="77777777" w:rsidR="0017011C" w:rsidRDefault="0017011C">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62743A9"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4D227C">
      <w:t>6</w:t>
    </w:r>
    <w:r w:rsidR="00B36FBE">
      <w:t>6</w:t>
    </w:r>
    <w:r w:rsidR="00BB50B1">
      <w:t>r</w:t>
    </w:r>
    <w:r w:rsidR="00A76D5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5DBE"/>
    <w:rsid w:val="00027F68"/>
    <w:rsid w:val="00036C60"/>
    <w:rsid w:val="000520E1"/>
    <w:rsid w:val="000619BA"/>
    <w:rsid w:val="00080282"/>
    <w:rsid w:val="0008251C"/>
    <w:rsid w:val="0008622D"/>
    <w:rsid w:val="000A58C8"/>
    <w:rsid w:val="000C3A01"/>
    <w:rsid w:val="000D01ED"/>
    <w:rsid w:val="000D734A"/>
    <w:rsid w:val="000E2AAC"/>
    <w:rsid w:val="001119EC"/>
    <w:rsid w:val="001347F7"/>
    <w:rsid w:val="00135BA5"/>
    <w:rsid w:val="001569DB"/>
    <w:rsid w:val="00167722"/>
    <w:rsid w:val="0017011C"/>
    <w:rsid w:val="00172CB9"/>
    <w:rsid w:val="0017416B"/>
    <w:rsid w:val="00180DEF"/>
    <w:rsid w:val="001B03DD"/>
    <w:rsid w:val="001C33F0"/>
    <w:rsid w:val="001D2142"/>
    <w:rsid w:val="001D242A"/>
    <w:rsid w:val="0020364D"/>
    <w:rsid w:val="00220E26"/>
    <w:rsid w:val="002417D5"/>
    <w:rsid w:val="00253796"/>
    <w:rsid w:val="00282D08"/>
    <w:rsid w:val="00283E4B"/>
    <w:rsid w:val="002B4491"/>
    <w:rsid w:val="002E16F1"/>
    <w:rsid w:val="002F19CF"/>
    <w:rsid w:val="002F747D"/>
    <w:rsid w:val="003027EC"/>
    <w:rsid w:val="00302EBF"/>
    <w:rsid w:val="00304C10"/>
    <w:rsid w:val="00314E0F"/>
    <w:rsid w:val="0032188D"/>
    <w:rsid w:val="00346385"/>
    <w:rsid w:val="003548B2"/>
    <w:rsid w:val="00365242"/>
    <w:rsid w:val="0037265B"/>
    <w:rsid w:val="0039092E"/>
    <w:rsid w:val="003A5CE3"/>
    <w:rsid w:val="003A6D67"/>
    <w:rsid w:val="003B5FA2"/>
    <w:rsid w:val="003D6A17"/>
    <w:rsid w:val="003F7193"/>
    <w:rsid w:val="00401140"/>
    <w:rsid w:val="00425D7C"/>
    <w:rsid w:val="00433662"/>
    <w:rsid w:val="00433AF9"/>
    <w:rsid w:val="0043468D"/>
    <w:rsid w:val="00436D0A"/>
    <w:rsid w:val="00467D79"/>
    <w:rsid w:val="00475BEB"/>
    <w:rsid w:val="00483438"/>
    <w:rsid w:val="004B0C3F"/>
    <w:rsid w:val="004B0F5F"/>
    <w:rsid w:val="004B7C33"/>
    <w:rsid w:val="004C2668"/>
    <w:rsid w:val="004C7662"/>
    <w:rsid w:val="004D227C"/>
    <w:rsid w:val="004D6275"/>
    <w:rsid w:val="004D7AE8"/>
    <w:rsid w:val="004F1D04"/>
    <w:rsid w:val="005213FD"/>
    <w:rsid w:val="0054249A"/>
    <w:rsid w:val="0054506D"/>
    <w:rsid w:val="00545B17"/>
    <w:rsid w:val="005658A4"/>
    <w:rsid w:val="00577780"/>
    <w:rsid w:val="005A6B73"/>
    <w:rsid w:val="005C68E0"/>
    <w:rsid w:val="00617203"/>
    <w:rsid w:val="00636A33"/>
    <w:rsid w:val="006561FC"/>
    <w:rsid w:val="006667A0"/>
    <w:rsid w:val="00674FEC"/>
    <w:rsid w:val="006A068B"/>
    <w:rsid w:val="006B3879"/>
    <w:rsid w:val="006B3909"/>
    <w:rsid w:val="006D3CA1"/>
    <w:rsid w:val="006E216B"/>
    <w:rsid w:val="006E4237"/>
    <w:rsid w:val="006F5D1A"/>
    <w:rsid w:val="0071502B"/>
    <w:rsid w:val="00726DE3"/>
    <w:rsid w:val="0074444F"/>
    <w:rsid w:val="007477EC"/>
    <w:rsid w:val="00751465"/>
    <w:rsid w:val="0075650A"/>
    <w:rsid w:val="00761332"/>
    <w:rsid w:val="00766DE7"/>
    <w:rsid w:val="00792034"/>
    <w:rsid w:val="007A034D"/>
    <w:rsid w:val="007A354F"/>
    <w:rsid w:val="007B5930"/>
    <w:rsid w:val="007B6ACD"/>
    <w:rsid w:val="007B76A7"/>
    <w:rsid w:val="007C1BD0"/>
    <w:rsid w:val="007C21DE"/>
    <w:rsid w:val="007C539C"/>
    <w:rsid w:val="007D669C"/>
    <w:rsid w:val="007E1439"/>
    <w:rsid w:val="007E5828"/>
    <w:rsid w:val="007F220B"/>
    <w:rsid w:val="007F31EA"/>
    <w:rsid w:val="00824412"/>
    <w:rsid w:val="008247BC"/>
    <w:rsid w:val="00827E74"/>
    <w:rsid w:val="00832420"/>
    <w:rsid w:val="00832B24"/>
    <w:rsid w:val="00834FF1"/>
    <w:rsid w:val="008423E5"/>
    <w:rsid w:val="00850E69"/>
    <w:rsid w:val="00854180"/>
    <w:rsid w:val="00855C52"/>
    <w:rsid w:val="008643CC"/>
    <w:rsid w:val="00865704"/>
    <w:rsid w:val="008A4605"/>
    <w:rsid w:val="008D349B"/>
    <w:rsid w:val="008F0E52"/>
    <w:rsid w:val="008F4D6F"/>
    <w:rsid w:val="009114B6"/>
    <w:rsid w:val="00936728"/>
    <w:rsid w:val="00945736"/>
    <w:rsid w:val="00945AF8"/>
    <w:rsid w:val="00952A0E"/>
    <w:rsid w:val="009530DA"/>
    <w:rsid w:val="00981FBF"/>
    <w:rsid w:val="009900B3"/>
    <w:rsid w:val="00990670"/>
    <w:rsid w:val="009906E1"/>
    <w:rsid w:val="00997E17"/>
    <w:rsid w:val="009B10C0"/>
    <w:rsid w:val="009E0FA1"/>
    <w:rsid w:val="00A1307B"/>
    <w:rsid w:val="00A16E31"/>
    <w:rsid w:val="00A22149"/>
    <w:rsid w:val="00A46C8C"/>
    <w:rsid w:val="00A47D05"/>
    <w:rsid w:val="00A601CD"/>
    <w:rsid w:val="00A6033E"/>
    <w:rsid w:val="00A64191"/>
    <w:rsid w:val="00A76D5D"/>
    <w:rsid w:val="00A84E45"/>
    <w:rsid w:val="00AA0791"/>
    <w:rsid w:val="00AA76F1"/>
    <w:rsid w:val="00AB02F3"/>
    <w:rsid w:val="00AB31F7"/>
    <w:rsid w:val="00AB3653"/>
    <w:rsid w:val="00AB3BBD"/>
    <w:rsid w:val="00AC13CB"/>
    <w:rsid w:val="00AD241E"/>
    <w:rsid w:val="00AF59E9"/>
    <w:rsid w:val="00B36FBE"/>
    <w:rsid w:val="00B434BF"/>
    <w:rsid w:val="00B56745"/>
    <w:rsid w:val="00B85499"/>
    <w:rsid w:val="00B955E2"/>
    <w:rsid w:val="00BB4B6B"/>
    <w:rsid w:val="00BB50B1"/>
    <w:rsid w:val="00BB6386"/>
    <w:rsid w:val="00BD0BAA"/>
    <w:rsid w:val="00BD66B5"/>
    <w:rsid w:val="00C01940"/>
    <w:rsid w:val="00C02B0B"/>
    <w:rsid w:val="00C25E82"/>
    <w:rsid w:val="00C34F4D"/>
    <w:rsid w:val="00C412AD"/>
    <w:rsid w:val="00C50BCC"/>
    <w:rsid w:val="00C530B5"/>
    <w:rsid w:val="00C7098A"/>
    <w:rsid w:val="00C75D48"/>
    <w:rsid w:val="00C8008D"/>
    <w:rsid w:val="00C83029"/>
    <w:rsid w:val="00C926FC"/>
    <w:rsid w:val="00C956DE"/>
    <w:rsid w:val="00CB4FCA"/>
    <w:rsid w:val="00CB73E4"/>
    <w:rsid w:val="00CC03C3"/>
    <w:rsid w:val="00CD1B34"/>
    <w:rsid w:val="00CD2A77"/>
    <w:rsid w:val="00CE30A4"/>
    <w:rsid w:val="00CF6FA0"/>
    <w:rsid w:val="00D1072E"/>
    <w:rsid w:val="00D27AA1"/>
    <w:rsid w:val="00D43F67"/>
    <w:rsid w:val="00D463DF"/>
    <w:rsid w:val="00D82FD2"/>
    <w:rsid w:val="00DB264F"/>
    <w:rsid w:val="00DC0833"/>
    <w:rsid w:val="00DC54FD"/>
    <w:rsid w:val="00DC5A2F"/>
    <w:rsid w:val="00E00671"/>
    <w:rsid w:val="00E07482"/>
    <w:rsid w:val="00E11F7D"/>
    <w:rsid w:val="00E21C93"/>
    <w:rsid w:val="00E328D2"/>
    <w:rsid w:val="00E42063"/>
    <w:rsid w:val="00E5059E"/>
    <w:rsid w:val="00E55BE1"/>
    <w:rsid w:val="00E55EA3"/>
    <w:rsid w:val="00E602E2"/>
    <w:rsid w:val="00E62DC9"/>
    <w:rsid w:val="00E7191A"/>
    <w:rsid w:val="00E82936"/>
    <w:rsid w:val="00E95DDA"/>
    <w:rsid w:val="00E961B4"/>
    <w:rsid w:val="00E97B0A"/>
    <w:rsid w:val="00EA774F"/>
    <w:rsid w:val="00EB1A28"/>
    <w:rsid w:val="00EC1EE9"/>
    <w:rsid w:val="00EC46ED"/>
    <w:rsid w:val="00EC5B52"/>
    <w:rsid w:val="00EE64F1"/>
    <w:rsid w:val="00EF36E9"/>
    <w:rsid w:val="00EF6D65"/>
    <w:rsid w:val="00F072D6"/>
    <w:rsid w:val="00F1165B"/>
    <w:rsid w:val="00F12073"/>
    <w:rsid w:val="00F3570B"/>
    <w:rsid w:val="00F4621F"/>
    <w:rsid w:val="00F474F3"/>
    <w:rsid w:val="00F50085"/>
    <w:rsid w:val="00F57248"/>
    <w:rsid w:val="00F84B09"/>
    <w:rsid w:val="00FB6780"/>
    <w:rsid w:val="00FC49A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AB3653"/>
    <w:rPr>
      <w:vertAlign w:val="superscript"/>
    </w:rPr>
  </w:style>
  <w:style w:type="character" w:customStyle="1" w:styleId="UnresolvedMention">
    <w:name w:val="Unresolved Mention"/>
    <w:basedOn w:val="DefaultParagraphFont"/>
    <w:uiPriority w:val="99"/>
    <w:semiHidden/>
    <w:unhideWhenUsed/>
    <w:rsid w:val="00EC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fi.org/news-events/newsroom/wi-fi-6e-momentum-underscores-need-for-entire-6-ghz-band"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2085-E8C8-4FF6-AE37-9C3C87E54CD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26</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802.18-23/0066r1</vt:lpstr>
    </vt:vector>
  </TitlesOfParts>
  <Company>Some Company</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802.18-23/0066r2</dc:title>
  <dc:subject>Submission</dc:subject>
  <dc:creator>Editor</dc:creator>
  <dc:description/>
  <cp:lastModifiedBy>Edward Au</cp:lastModifiedBy>
  <cp:revision>27</cp:revision>
  <cp:lastPrinted>2023-04-16T16:36:00Z</cp:lastPrinted>
  <dcterms:created xsi:type="dcterms:W3CDTF">2023-06-14T18:21:00Z</dcterms:created>
  <dcterms:modified xsi:type="dcterms:W3CDTF">2023-06-14T19:14:00Z</dcterms:modified>
  <dc:language>sv-SE</dc:language>
</cp:coreProperties>
</file>