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20 April 2023</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w:t>
            </w:r>
            <w:r>
              <w:rPr>
                <w:b w:val="false"/>
                <w:sz w:val="20"/>
              </w:rPr>
              <w:t>6</w:t>
            </w:r>
            <w:r>
              <w:rPr>
                <w:b w:val="false"/>
                <w:sz w:val="20"/>
              </w:rPr>
              <w:t xml:space="preserve"> April 2023</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Self</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0D1ED369">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Radio Regulatory Technical Advisory Group (RR-TAG) for the weekly teleconference call on 20 April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0D1ED369">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Radio Regulatory Technical Advisory Group (RR-TAG) for the weekly teleconference call on 20 April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T1"/>
        <w:spacing w:before="0" w:after="120"/>
        <w:rPr>
          <w:b w:val="false"/>
          <w:b w:val="false"/>
          <w:bCs/>
          <w:sz w:val="24"/>
          <w:szCs w:val="24"/>
        </w:rPr>
      </w:pPr>
      <w:r>
        <w:rPr>
          <w:b w:val="false"/>
          <w:bCs/>
          <w:sz w:val="24"/>
          <w:szCs w:val="24"/>
        </w:rPr>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(Self)</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t xml:space="preserve">IEEE 802.18, RR-TAG website:  </w:t>
      </w:r>
      <w:hyperlink r:id="rId3">
        <w:r>
          <w:rPr>
            <w:rStyle w:val="Internetlnk"/>
          </w:rPr>
          <w:t>https://www.ieee802.org/18/</w:t>
        </w:r>
      </w:hyperlink>
      <w:r>
        <w:rPr/>
        <w:t xml:space="preserve"> .</w:t>
      </w:r>
      <w:r>
        <w:br w:type="page"/>
      </w:r>
    </w:p>
    <w:p>
      <w:pPr>
        <w:pStyle w:val="Normal"/>
        <w:rPr>
          <w:sz w:val="24"/>
          <w:szCs w:val="24"/>
        </w:rPr>
      </w:pPr>
      <w:r>
        <w:rPr>
          <w:sz w:val="24"/>
          <w:szCs w:val="24"/>
        </w:rPr>
        <w:t>These are minutes of the IEEE 802.18 RR-TAG teleconference on Thursday 20 Apr 2023, 15:00 ET.</w:t>
        <w:br/>
      </w:r>
    </w:p>
    <w:p>
      <w:pPr>
        <w:pStyle w:val="Normal"/>
        <w:numPr>
          <w:ilvl w:val="0"/>
          <w:numId w:val="1"/>
        </w:numPr>
        <w:spacing w:before="0" w:after="0"/>
        <w:contextualSpacing/>
        <w:rPr>
          <w:sz w:val="24"/>
          <w:szCs w:val="24"/>
        </w:rPr>
      </w:pPr>
      <w:r>
        <w:rPr>
          <w:sz w:val="24"/>
          <w:szCs w:val="24"/>
        </w:rPr>
        <w:t>Chair calls the meeting to order at 15:00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4">
        <w:r>
          <w:rPr>
            <w:rStyle w:val="InternetLink"/>
            <w:sz w:val="24"/>
            <w:szCs w:val="24"/>
          </w:rPr>
          <w:t>18-23/0049r1</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bCs/>
          <w:sz w:val="24"/>
          <w:szCs w:val="24"/>
        </w:rPr>
      </w:pPr>
      <w:r>
        <w:rPr>
          <w:bCs/>
          <w:sz w:val="24"/>
          <w:szCs w:val="24"/>
        </w:rPr>
        <w:t>Group officers and voting membership as of 12 April 2023</w:t>
      </w:r>
    </w:p>
    <w:p>
      <w:pPr>
        <w:pStyle w:val="Normal"/>
        <w:numPr>
          <w:ilvl w:val="2"/>
          <w:numId w:val="1"/>
        </w:numPr>
        <w:spacing w:before="0" w:after="0"/>
        <w:contextualSpacing/>
        <w:rPr>
          <w:sz w:val="24"/>
          <w:szCs w:val="24"/>
        </w:rPr>
      </w:pPr>
      <w:r>
        <w:rPr>
          <w:sz w:val="24"/>
          <w:szCs w:val="24"/>
        </w:rPr>
        <w:t xml:space="preserve">  </w:t>
      </w:r>
      <w:r>
        <w:rPr>
          <w:sz w:val="24"/>
          <w:szCs w:val="24"/>
        </w:rPr>
        <w:t xml:space="preserve">Voters:  50 (8 on LMSC) </w:t>
      </w:r>
    </w:p>
    <w:p>
      <w:pPr>
        <w:pStyle w:val="Normal"/>
        <w:numPr>
          <w:ilvl w:val="2"/>
          <w:numId w:val="1"/>
        </w:numPr>
        <w:spacing w:before="0" w:after="0"/>
        <w:contextualSpacing/>
        <w:rPr>
          <w:sz w:val="24"/>
          <w:szCs w:val="24"/>
        </w:rPr>
      </w:pPr>
      <w:r>
        <w:rPr>
          <w:sz w:val="24"/>
          <w:szCs w:val="24"/>
        </w:rPr>
        <w:t xml:space="preserve">  </w:t>
      </w:r>
      <w:r>
        <w:rPr>
          <w:sz w:val="24"/>
          <w:szCs w:val="24"/>
        </w:rPr>
        <w:t>Nearly Voters: 4</w:t>
      </w:r>
    </w:p>
    <w:p>
      <w:pPr>
        <w:pStyle w:val="Normal"/>
        <w:numPr>
          <w:ilvl w:val="2"/>
          <w:numId w:val="1"/>
        </w:numPr>
        <w:spacing w:before="0" w:after="0"/>
        <w:contextualSpacing/>
        <w:rPr>
          <w:sz w:val="24"/>
          <w:szCs w:val="24"/>
        </w:rPr>
      </w:pPr>
      <w:r>
        <w:rPr>
          <w:sz w:val="24"/>
          <w:szCs w:val="24"/>
        </w:rPr>
        <w:t xml:space="preserve">  </w:t>
      </w:r>
      <w:r>
        <w:rPr>
          <w:sz w:val="24"/>
          <w:szCs w:val="24"/>
        </w:rPr>
        <w:t>Aspirant members:  13</w:t>
      </w:r>
    </w:p>
    <w:p>
      <w:pPr>
        <w:pStyle w:val="Normal"/>
        <w:numPr>
          <w:ilvl w:val="2"/>
          <w:numId w:val="1"/>
        </w:numPr>
        <w:spacing w:before="0" w:after="0"/>
        <w:contextualSpacing/>
        <w:rPr/>
      </w:pPr>
      <w:r>
        <w:rPr>
          <w:sz w:val="24"/>
          <w:szCs w:val="24"/>
        </w:rPr>
        <w:t xml:space="preserve">  </w:t>
      </w:r>
      <w:hyperlink r:id="rId5">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6">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8">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sz w:val="24"/>
          <w:szCs w:val="24"/>
        </w:rPr>
      </w:pPr>
      <w:r>
        <w:rPr>
          <w:sz w:val="24"/>
          <w:szCs w:val="24"/>
        </w:rPr>
        <w:t>Chair presents the agenda (slide #9). No questions or comments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t>Vijay Auluck</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 xml:space="preserve">Chair presented draft meeting minutes from 13 April 2023 RR-TAG weekly teleconference. </w:t>
        <w:br/>
      </w:r>
      <w:r>
        <w:rPr>
          <w:b/>
          <w:bCs/>
          <w:sz w:val="24"/>
          <w:szCs w:val="24"/>
        </w:rPr>
        <w:br/>
        <w:t>Motion #2 (internal):</w:t>
      </w:r>
      <w:r>
        <w:rPr>
          <w:sz w:val="24"/>
          <w:szCs w:val="24"/>
        </w:rPr>
        <w:t xml:space="preserve"> </w:t>
      </w:r>
      <w:r>
        <w:rPr>
          <w:spacing w:val="-10"/>
          <w:sz w:val="24"/>
          <w:szCs w:val="24"/>
        </w:rPr>
        <w:t xml:space="preserve">To approve the weekly meeting minutes of the 13 April 2023 RR-TAG call as shown in the document </w:t>
      </w:r>
      <w:hyperlink r:id="rId9">
        <w:r>
          <w:rPr>
            <w:rStyle w:val="InternetLink"/>
            <w:color w:val="3333CC"/>
            <w:spacing w:val="-10"/>
            <w:sz w:val="24"/>
            <w:szCs w:val="24"/>
          </w:rPr>
          <w:t>18-23/0048r0</w:t>
        </w:r>
      </w:hyperlink>
      <w:r>
        <w:rPr>
          <w:spacing w:val="-10"/>
          <w:sz w:val="24"/>
          <w:szCs w:val="24"/>
        </w:rPr>
        <w:t>, with editorial privilege for the 802.18 Chair.</w:t>
      </w:r>
    </w:p>
    <w:p>
      <w:pPr>
        <w:pStyle w:val="Normal"/>
        <w:spacing w:before="0" w:after="0"/>
        <w:ind w:left="1440" w:hanging="0"/>
        <w:contextualSpacing/>
        <w:rPr>
          <w:sz w:val="24"/>
          <w:szCs w:val="24"/>
        </w:rPr>
      </w:pPr>
      <w:r>
        <w:rPr>
          <w:sz w:val="24"/>
          <w:szCs w:val="24"/>
        </w:rPr>
        <w:t xml:space="preserve">Moved by: </w:t>
        <w:tab/>
        <w:t>Al Petrick</w:t>
      </w:r>
    </w:p>
    <w:p>
      <w:pPr>
        <w:pStyle w:val="Normal"/>
        <w:spacing w:before="0" w:after="0"/>
        <w:ind w:left="1440" w:hanging="0"/>
        <w:contextualSpacing/>
        <w:rPr>
          <w:sz w:val="24"/>
          <w:szCs w:val="24"/>
        </w:rPr>
      </w:pPr>
      <w:r>
        <w:rPr>
          <w:sz w:val="24"/>
          <w:szCs w:val="24"/>
        </w:rPr>
        <w:t>Seconded by:  Amelia Andersdotter</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sz w:val="24"/>
          <w:szCs w:val="24"/>
        </w:rPr>
      </w:pPr>
      <w:r>
        <w:rPr>
          <w:sz w:val="24"/>
          <w:szCs w:val="24"/>
        </w:rPr>
        <w:t>Vote:  Approved with unanimous consent</w:t>
      </w:r>
      <w:r>
        <w:rPr/>
        <w:br/>
      </w:r>
    </w:p>
    <w:p>
      <w:pPr>
        <w:pStyle w:val="ListParagraph"/>
        <w:numPr>
          <w:ilvl w:val="0"/>
          <w:numId w:val="1"/>
        </w:numPr>
        <w:spacing w:before="0" w:after="0"/>
        <w:contextualSpacing/>
        <w:rPr/>
      </w:pPr>
      <w:r>
        <w:rPr>
          <w:b/>
          <w:bCs/>
          <w:sz w:val="24"/>
          <w:szCs w:val="24"/>
        </w:rPr>
        <w:t xml:space="preserve">Status of ongoing consultations, </w:t>
      </w:r>
      <w:r>
        <w:rPr>
          <w:sz w:val="24"/>
          <w:szCs w:val="24"/>
        </w:rPr>
        <w:t>(</w:t>
      </w:r>
      <w:hyperlink r:id="rId10">
        <w:r>
          <w:rPr>
            <w:rStyle w:val="InternetLink"/>
            <w:sz w:val="24"/>
            <w:szCs w:val="24"/>
          </w:rPr>
          <w:t>18-22/0035r68</w:t>
        </w:r>
      </w:hyperlink>
      <w:bookmarkStart w:id="0" w:name="_GoBack"/>
      <w:bookmarkEnd w:id="0"/>
      <w:r>
        <w:rPr>
          <w:sz w:val="24"/>
          <w:szCs w:val="24"/>
        </w:rPr>
        <w:t>), Edward Au (Chair)</w:t>
        <w:br/>
        <w:br/>
        <w:t>Chair presents ongoing consultations and upcoming deadlines to the group. No discussion.</w:t>
        <w:br/>
      </w:r>
    </w:p>
    <w:p>
      <w:pPr>
        <w:pStyle w:val="ListParagraph"/>
        <w:numPr>
          <w:ilvl w:val="0"/>
          <w:numId w:val="1"/>
        </w:numPr>
        <w:spacing w:before="0" w:after="0"/>
        <w:contextualSpacing/>
        <w:rPr/>
      </w:pPr>
      <w:r>
        <w:rPr>
          <w:b/>
          <w:bCs/>
          <w:sz w:val="24"/>
          <w:szCs w:val="24"/>
        </w:rPr>
        <w:t>General discussion topics</w:t>
        <w:br/>
      </w:r>
    </w:p>
    <w:p>
      <w:pPr>
        <w:pStyle w:val="ListParagraph"/>
        <w:numPr>
          <w:ilvl w:val="1"/>
          <w:numId w:val="1"/>
        </w:numPr>
        <w:spacing w:before="0" w:after="0"/>
        <w:contextualSpacing/>
        <w:rPr/>
      </w:pPr>
      <w:r>
        <w:rPr>
          <w:b/>
          <w:bCs/>
          <w:sz w:val="24"/>
          <w:szCs w:val="24"/>
        </w:rPr>
        <w:t>Europe</w:t>
        <w:br/>
        <w:br/>
      </w:r>
      <w:r>
        <w:rPr>
          <w:sz w:val="24"/>
          <w:szCs w:val="24"/>
        </w:rPr>
        <w:t>No new updates since last meeting.</w:t>
      </w:r>
      <w:r>
        <w:rPr>
          <w:b/>
          <w:bCs/>
          <w:sz w:val="24"/>
          <w:szCs w:val="24"/>
        </w:rPr>
        <w:br/>
      </w:r>
    </w:p>
    <w:p>
      <w:pPr>
        <w:pStyle w:val="ListParagraph"/>
        <w:numPr>
          <w:ilvl w:val="1"/>
          <w:numId w:val="1"/>
        </w:numPr>
        <w:spacing w:before="0" w:after="0"/>
        <w:contextualSpacing/>
        <w:rPr/>
      </w:pPr>
      <w:r>
        <w:rPr>
          <w:b/>
          <w:bCs/>
          <w:sz w:val="24"/>
          <w:szCs w:val="24"/>
        </w:rPr>
        <w:t>Americas</w:t>
        <w:br/>
        <w:br/>
      </w:r>
      <w:r>
        <w:rPr>
          <w:sz w:val="24"/>
          <w:szCs w:val="24"/>
        </w:rPr>
        <w:t xml:space="preserve">FCC has adopted a policy statement on management principles for transmitters and receivers. IEEE 802.18 previously considered a FCC NOI on improved receiver performance in 2022 but did not develop a response. </w:t>
        <w:br/>
        <w:br/>
        <w:t>Chair presents the policy statement.</w:t>
        <w:br/>
        <w:br/>
        <w:t xml:space="preserve">Contributor points out that receiver requirements, if they are proposed, are likely to be similar to what is already happening in Europe. Mitigation factors such as transmission power limits could be considered. </w:t>
        <w:br/>
        <w:br/>
        <w:t>It is common for all of IEEE 802 wireless technologies to favor unlicensed technologies over licensed. Unlicensed operation has natural constraints in terms of "good neighbor" behavior in devices. Densification of spectrum allocations is the target, dealing with legacy receivers. Future allocations are likely to target spectrum sharing, with services not just staying in adjacent bands but also collocating in a band.</w:t>
        <w:br/>
        <w:br/>
        <w:t xml:space="preserve">Chair presents public notice on FCC seeking comments on new recommendations. The time-frame is too short for IEEE 802.18 to contribute. </w:t>
      </w:r>
      <w:r>
        <w:rPr>
          <w:b/>
          <w:bCs/>
          <w:sz w:val="24"/>
          <w:szCs w:val="24"/>
        </w:rPr>
        <w:br/>
      </w:r>
    </w:p>
    <w:p>
      <w:pPr>
        <w:pStyle w:val="ListParagraph"/>
        <w:numPr>
          <w:ilvl w:val="1"/>
          <w:numId w:val="1"/>
        </w:numPr>
        <w:spacing w:before="0" w:after="0"/>
        <w:contextualSpacing/>
        <w:rPr/>
      </w:pPr>
      <w:r>
        <w:rPr>
          <w:b/>
          <w:bCs/>
          <w:sz w:val="24"/>
          <w:szCs w:val="24"/>
        </w:rPr>
        <w:t>Asia/Pacific</w:t>
        <w:br/>
        <w:br/>
      </w:r>
      <w:r>
        <w:rPr>
          <w:sz w:val="24"/>
          <w:szCs w:val="24"/>
        </w:rPr>
        <w:t>No further updates.</w:t>
      </w:r>
      <w:r>
        <w:rPr>
          <w:b/>
          <w:bCs/>
          <w:sz w:val="24"/>
          <w:szCs w:val="24"/>
        </w:rPr>
        <w:br/>
      </w:r>
    </w:p>
    <w:p>
      <w:pPr>
        <w:pStyle w:val="ListParagraph"/>
        <w:numPr>
          <w:ilvl w:val="0"/>
          <w:numId w:val="1"/>
        </w:numPr>
        <w:spacing w:before="0" w:after="0"/>
        <w:contextualSpacing/>
        <w:rPr/>
      </w:pPr>
      <w:r>
        <w:rPr>
          <w:b/>
          <w:bCs/>
          <w:sz w:val="24"/>
          <w:szCs w:val="24"/>
        </w:rPr>
        <w:t>Reminder of future meetings</w:t>
      </w:r>
      <w:r>
        <w:rPr>
          <w:sz w:val="24"/>
          <w:szCs w:val="24"/>
        </w:rPr>
        <w:br/>
        <w:br/>
        <w:t xml:space="preserve">The ISUS ad-hoc call on 21 April 2023 is canceled.  </w:t>
        <w:br/>
        <w:br/>
        <w:t>The weekly teleconference call is scheduled for 27 April 2023.</w:t>
      </w:r>
    </w:p>
    <w:p>
      <w:pPr>
        <w:pStyle w:val="ListParagraph"/>
        <w:spacing w:before="0" w:after="0"/>
        <w:ind w:left="360" w:hanging="0"/>
        <w:contextualSpacing/>
        <w:rPr>
          <w:b/>
          <w:b/>
          <w:sz w:val="24"/>
          <w:szCs w:val="24"/>
        </w:rPr>
      </w:pPr>
      <w:r>
        <w:rPr>
          <w:b/>
          <w:sz w:val="24"/>
          <w:szCs w:val="24"/>
        </w:rPr>
      </w:r>
    </w:p>
    <w:p>
      <w:pPr>
        <w:pStyle w:val="ListParagraph"/>
        <w:spacing w:before="0" w:after="0"/>
        <w:ind w:left="360" w:hanging="0"/>
        <w:contextualSpacing/>
        <w:rPr/>
      </w:pPr>
      <w:r>
        <w:rPr>
          <w:sz w:val="24"/>
          <w:szCs w:val="24"/>
        </w:rPr>
        <w:t>Reminder of registration for the IEEE 802 Wireless Interim meeting in May 2023.</w:t>
        <w:br/>
        <w:br/>
        <w:t>Reminder of registration for the IEEE 802 Plenary meeting in July 2023.</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contextualSpacing/>
        <w:rPr>
          <w:sz w:val="24"/>
          <w:szCs w:val="24"/>
        </w:rPr>
      </w:pPr>
      <w:r>
        <w:rPr>
          <w:sz w:val="24"/>
          <w:szCs w:val="24"/>
        </w:rPr>
        <w:br/>
        <w:t>Chair called for AOB. None heard.</w:t>
        <w:br/>
      </w:r>
    </w:p>
    <w:p>
      <w:pPr>
        <w:pStyle w:val="Normal"/>
        <w:numPr>
          <w:ilvl w:val="0"/>
          <w:numId w:val="1"/>
        </w:numPr>
        <w:spacing w:before="0" w:after="0"/>
        <w:contextualSpacing/>
        <w:rPr>
          <w:b/>
          <w:b/>
          <w:sz w:val="24"/>
          <w:szCs w:val="24"/>
        </w:rPr>
      </w:pPr>
      <w:r>
        <w:rPr>
          <w:b/>
          <w:sz w:val="24"/>
          <w:szCs w:val="24"/>
        </w:rPr>
        <w:t>Final administrative items</w:t>
      </w:r>
    </w:p>
    <w:p>
      <w:pPr>
        <w:pStyle w:val="Normal"/>
        <w:spacing w:before="0" w:after="0"/>
        <w:ind w:left="720" w:hanging="0"/>
        <w:contextualSpacing/>
        <w:rPr>
          <w:color w:val="000000"/>
          <w:sz w:val="24"/>
          <w:szCs w:val="24"/>
        </w:rPr>
      </w:pPr>
      <w:r>
        <w:rPr>
          <w:color w:val="000000"/>
          <w:sz w:val="24"/>
          <w:szCs w:val="24"/>
        </w:rPr>
        <w:t xml:space="preserve">19 attendees, 18 voters (including the chair) [Report by Stuart Kerry]. </w:t>
      </w:r>
    </w:p>
    <w:p>
      <w:pPr>
        <w:pStyle w:val="Normal"/>
        <w:numPr>
          <w:ilvl w:val="1"/>
          <w:numId w:val="1"/>
        </w:numPr>
        <w:spacing w:before="0" w:after="0"/>
        <w:contextualSpacing/>
        <w:rPr>
          <w:color w:val="000000"/>
          <w:sz w:val="24"/>
          <w:szCs w:val="24"/>
        </w:rPr>
      </w:pPr>
      <w:r>
        <w:rPr>
          <w:color w:val="000000"/>
          <w:sz w:val="24"/>
          <w:szCs w:val="24"/>
        </w:rPr>
        <w:t xml:space="preserve">Next 802.18 weekly teleconference is scheduled for 27 Apr 2023, 15:00 ET. Next 802.18 Wireless Interim session is scheduled for week: 15 May to 19 May 2023.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https://mentor.ieee.org/802.18/dcn/16/18-16-0038-31-0000-teleconference-call-in-info.pptx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IEEE 802 Wireless Interim meeting is 15-19 May 2023 in Orlando, Florida, US.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22 September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1">
        <w:r>
          <w:rPr>
            <w:rStyle w:val="Internetlnk"/>
            <w:sz w:val="24"/>
            <w:szCs w:val="24"/>
          </w:rPr>
          <w:t>https://ieee802.org/16/cal-temp.html</w:t>
        </w:r>
      </w:hyperlink>
      <w:r>
        <w:rPr>
          <w:sz w:val="24"/>
          <w:szCs w:val="24"/>
        </w:rPr>
        <w:t xml:space="preserve"> or only 802.18:  </w:t>
      </w:r>
      <w:hyperlink r:id="rId12">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15:58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br/>
      </w:r>
    </w:p>
    <w:p>
      <w:pPr>
        <w:pStyle w:val="ListParagraph"/>
        <w:ind w:left="0" w:hanging="0"/>
        <w:rPr>
          <w:rFonts w:eastAsia="Times New Roman"/>
          <w:b/>
          <w:b/>
          <w:bCs/>
          <w:sz w:val="24"/>
          <w:szCs w:val="24"/>
        </w:rPr>
      </w:pPr>
      <w:r>
        <w:rPr>
          <w:rFonts w:eastAsia="Times New Roman"/>
          <w:b/>
          <w:bCs/>
          <w:sz w:val="24"/>
          <w:szCs w:val="24"/>
        </w:rPr>
      </w:r>
    </w:p>
    <w:tbl>
      <w:tblPr>
        <w:tblW w:w="10085"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242"/>
        <w:gridCol w:w="2192"/>
        <w:gridCol w:w="2065"/>
        <w:gridCol w:w="4950"/>
        <w:gridCol w:w="636"/>
      </w:tblGrid>
      <w:tr>
        <w:trPr/>
        <w:tc>
          <w:tcPr>
            <w:tcW w:w="9449"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Voting Attendees:</w:t>
            </w:r>
          </w:p>
        </w:tc>
        <w:tc>
          <w:tcPr>
            <w:tcW w:w="636"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20-Apr</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Andersdotter</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Amelia</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Self</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2</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Au</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Edward (Kwok Shum)</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Huawei Technologies Co., Ltd</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3</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Auluck</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Vijay</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Self</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4</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Boldy</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David</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Broadcom Corporation</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5</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Fang</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Yonggang</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MediaTek</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6</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Halasz</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Dave</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Morse Micro</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7</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Holcomb</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Jay</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Self</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8</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Kain</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Carl</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USDOT, Noblis, Inc.</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9</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Kennedy</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Richard</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Bluetooth SIG</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10</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Kerry</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Stuart</w:t>
            </w:r>
          </w:p>
        </w:tc>
        <w:tc>
          <w:tcPr>
            <w:tcW w:w="4950" w:type="dxa"/>
            <w:tcBorders/>
            <w:vAlign w:val="center"/>
          </w:tcPr>
          <w:p>
            <w:pPr>
              <w:pStyle w:val="TableContents"/>
              <w:widowControl w:val="false"/>
              <w:rPr/>
            </w:pPr>
            <w:r>
              <w:rPr>
                <w:rFonts w:ascii="Arial;sans-serif" w:hAnsi="Arial;sans-serif"/>
                <w:sz w:val="20"/>
              </w:rPr>
              <w:t>OK</w:t>
            </w:r>
            <w:r>
              <w:rPr/>
              <w:t>‐</w:t>
            </w:r>
            <w:r>
              <w:rPr>
                <w:rFonts w:ascii="Arial;sans-serif" w:hAnsi="Arial;sans-serif"/>
                <w:sz w:val="20"/>
              </w:rPr>
              <w:t>Brit, Self</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11</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Levy</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Joseph</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InterDigital, Inc.</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12</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Nikolich</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Paul</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Self</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13</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Petrick</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Al</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Skyworks Solutions Inc.</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14</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Pirhonen</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Riku</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NXP Semiconductors</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15</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Scott</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Andy</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NCTA – The Internet &amp; Television Association</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16</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Wang</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Lei</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FutureWei Technologies, Inc.</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17</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Ward</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Lisa</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Rohde &amp; Schwarz</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18</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Yaghoobi</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Hassan</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Intel Corporation</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r>
        <w:trPr/>
        <w:tc>
          <w:tcPr>
            <w:tcW w:w="242" w:type="dxa"/>
            <w:tcBorders/>
            <w:vAlign w:val="center"/>
          </w:tcPr>
          <w:p>
            <w:pPr>
              <w:pStyle w:val="TableContents"/>
              <w:widowControl w:val="false"/>
              <w:rPr>
                <w:sz w:val="4"/>
                <w:szCs w:val="4"/>
              </w:rPr>
            </w:pPr>
            <w:r>
              <w:rPr>
                <w:sz w:val="4"/>
                <w:szCs w:val="4"/>
              </w:rPr>
            </w:r>
          </w:p>
        </w:tc>
        <w:tc>
          <w:tcPr>
            <w:tcW w:w="2192" w:type="dxa"/>
            <w:tcBorders/>
            <w:vAlign w:val="center"/>
          </w:tcPr>
          <w:p>
            <w:pPr>
              <w:pStyle w:val="TableContents"/>
              <w:widowControl w:val="false"/>
              <w:rPr>
                <w:sz w:val="4"/>
                <w:szCs w:val="4"/>
              </w:rPr>
            </w:pPr>
            <w:r>
              <w:rPr>
                <w:sz w:val="4"/>
                <w:szCs w:val="4"/>
              </w:rPr>
            </w:r>
          </w:p>
        </w:tc>
        <w:tc>
          <w:tcPr>
            <w:tcW w:w="2065" w:type="dxa"/>
            <w:tcBorders/>
            <w:vAlign w:val="center"/>
          </w:tcPr>
          <w:p>
            <w:pPr>
              <w:pStyle w:val="TableContents"/>
              <w:widowControl w:val="false"/>
              <w:rPr>
                <w:sz w:val="4"/>
                <w:szCs w:val="4"/>
              </w:rPr>
            </w:pPr>
            <w:r>
              <w:rPr>
                <w:sz w:val="4"/>
                <w:szCs w:val="4"/>
              </w:rPr>
            </w:r>
          </w:p>
        </w:tc>
        <w:tc>
          <w:tcPr>
            <w:tcW w:w="4950" w:type="dxa"/>
            <w:tcBorders/>
            <w:vAlign w:val="center"/>
          </w:tcPr>
          <w:p>
            <w:pPr>
              <w:pStyle w:val="TableContents"/>
              <w:widowControl w:val="false"/>
              <w:rPr>
                <w:sz w:val="4"/>
                <w:szCs w:val="4"/>
              </w:rPr>
            </w:pPr>
            <w:r>
              <w:rPr>
                <w:sz w:val="4"/>
                <w:szCs w:val="4"/>
              </w:rPr>
            </w:r>
          </w:p>
        </w:tc>
        <w:tc>
          <w:tcPr>
            <w:tcW w:w="636" w:type="dxa"/>
            <w:tcBorders/>
            <w:vAlign w:val="center"/>
          </w:tcPr>
          <w:p>
            <w:pPr>
              <w:pStyle w:val="TableContents"/>
              <w:widowControl w:val="false"/>
              <w:rPr>
                <w:sz w:val="4"/>
                <w:szCs w:val="4"/>
              </w:rPr>
            </w:pPr>
            <w:r>
              <w:rPr>
                <w:sz w:val="4"/>
                <w:szCs w:val="4"/>
              </w:rPr>
            </w:r>
          </w:p>
        </w:tc>
      </w:tr>
      <w:tr>
        <w:trPr/>
        <w:tc>
          <w:tcPr>
            <w:tcW w:w="9449" w:type="dxa"/>
            <w:gridSpan w:val="4"/>
            <w:tcBorders/>
            <w:vAlign w:val="center"/>
          </w:tcPr>
          <w:p>
            <w:pPr>
              <w:pStyle w:val="TableContents"/>
              <w:widowControl w:val="false"/>
              <w:rPr>
                <w:rFonts w:ascii="Arial;sans-serif" w:hAnsi="Arial;sans-serif"/>
                <w:b/>
                <w:b/>
                <w:sz w:val="20"/>
              </w:rPr>
            </w:pPr>
            <w:r>
              <w:rPr>
                <w:rFonts w:ascii="Arial;sans-serif" w:hAnsi="Arial;sans-serif"/>
                <w:b/>
                <w:sz w:val="20"/>
              </w:rPr>
              <w:t>Non-Voting Attendees:</w:t>
            </w:r>
          </w:p>
        </w:tc>
        <w:tc>
          <w:tcPr>
            <w:tcW w:w="636" w:type="dxa"/>
            <w:tcBorders/>
            <w:vAlign w:val="center"/>
          </w:tcPr>
          <w:p>
            <w:pPr>
              <w:pStyle w:val="TableContents"/>
              <w:widowControl w:val="false"/>
              <w:jc w:val="center"/>
              <w:rPr>
                <w:rFonts w:ascii="Arial;sans-serif" w:hAnsi="Arial;sans-serif"/>
                <w:b/>
                <w:b/>
                <w:sz w:val="20"/>
              </w:rPr>
            </w:pPr>
            <w:r>
              <w:rPr>
                <w:rFonts w:ascii="Arial;sans-serif" w:hAnsi="Arial;sans-serif"/>
                <w:b/>
                <w:sz w:val="20"/>
              </w:rPr>
              <w:t>20-Apr</w:t>
            </w:r>
          </w:p>
        </w:tc>
      </w:tr>
      <w:tr>
        <w:trPr/>
        <w:tc>
          <w:tcPr>
            <w:tcW w:w="242" w:type="dxa"/>
            <w:tcBorders/>
            <w:vAlign w:val="center"/>
          </w:tcPr>
          <w:p>
            <w:pPr>
              <w:pStyle w:val="TableContents"/>
              <w:widowControl w:val="false"/>
              <w:jc w:val="center"/>
              <w:rPr>
                <w:rFonts w:ascii="Arial;sans-serif" w:hAnsi="Arial;sans-serif"/>
                <w:sz w:val="20"/>
              </w:rPr>
            </w:pPr>
            <w:r>
              <w:rPr>
                <w:rFonts w:ascii="Arial;sans-serif" w:hAnsi="Arial;sans-serif"/>
                <w:sz w:val="20"/>
              </w:rPr>
              <w:t>1</w:t>
            </w:r>
          </w:p>
        </w:tc>
        <w:tc>
          <w:tcPr>
            <w:tcW w:w="2192" w:type="dxa"/>
            <w:tcBorders/>
            <w:vAlign w:val="center"/>
          </w:tcPr>
          <w:p>
            <w:pPr>
              <w:pStyle w:val="TableContents"/>
              <w:widowControl w:val="false"/>
              <w:rPr>
                <w:rFonts w:ascii="Arial;sans-serif" w:hAnsi="Arial;sans-serif"/>
                <w:b/>
                <w:b/>
                <w:sz w:val="20"/>
              </w:rPr>
            </w:pPr>
            <w:r>
              <w:rPr>
                <w:rFonts w:ascii="Arial;sans-serif" w:hAnsi="Arial;sans-serif"/>
                <w:b/>
                <w:sz w:val="20"/>
              </w:rPr>
              <w:t>Rolfe</w:t>
            </w:r>
          </w:p>
        </w:tc>
        <w:tc>
          <w:tcPr>
            <w:tcW w:w="2065" w:type="dxa"/>
            <w:tcBorders/>
            <w:vAlign w:val="center"/>
          </w:tcPr>
          <w:p>
            <w:pPr>
              <w:pStyle w:val="TableContents"/>
              <w:widowControl w:val="false"/>
              <w:rPr>
                <w:rFonts w:ascii="Arial;sans-serif" w:hAnsi="Arial;sans-serif"/>
                <w:sz w:val="20"/>
              </w:rPr>
            </w:pPr>
            <w:r>
              <w:rPr>
                <w:rFonts w:ascii="Arial;sans-serif" w:hAnsi="Arial;sans-serif"/>
                <w:sz w:val="20"/>
              </w:rPr>
              <w:t>Benjamin</w:t>
            </w:r>
          </w:p>
        </w:tc>
        <w:tc>
          <w:tcPr>
            <w:tcW w:w="4950" w:type="dxa"/>
            <w:tcBorders/>
            <w:vAlign w:val="center"/>
          </w:tcPr>
          <w:p>
            <w:pPr>
              <w:pStyle w:val="TableContents"/>
              <w:widowControl w:val="false"/>
              <w:rPr>
                <w:rFonts w:ascii="Arial;sans-serif" w:hAnsi="Arial;sans-serif"/>
                <w:sz w:val="20"/>
              </w:rPr>
            </w:pPr>
            <w:r>
              <w:rPr>
                <w:rFonts w:ascii="Arial;sans-serif" w:hAnsi="Arial;sans-serif"/>
                <w:sz w:val="20"/>
              </w:rPr>
              <w:t>Blind Creek Associates</w:t>
            </w:r>
          </w:p>
        </w:tc>
        <w:tc>
          <w:tcPr>
            <w:tcW w:w="636" w:type="dxa"/>
            <w:tcBorders/>
            <w:vAlign w:val="center"/>
          </w:tcPr>
          <w:p>
            <w:pPr>
              <w:pStyle w:val="TableContents"/>
              <w:widowControl w:val="false"/>
              <w:jc w:val="center"/>
              <w:rPr>
                <w:rFonts w:ascii="Arial;sans-serif" w:hAnsi="Arial;sans-serif"/>
                <w:b/>
                <w:b/>
                <w:sz w:val="18"/>
              </w:rPr>
            </w:pPr>
            <w:r>
              <w:rPr>
                <w:rFonts w:ascii="Arial;sans-serif" w:hAnsi="Arial;sans-serif"/>
                <w:b/>
                <w:sz w:val="18"/>
              </w:rPr>
              <w:t>x</w:t>
            </w:r>
          </w:p>
        </w:tc>
      </w:tr>
    </w:tbl>
    <w:p>
      <w:pPr>
        <w:pStyle w:val="ListParagraph"/>
        <w:ind w:left="0" w:hanging="0"/>
        <w:rPr/>
      </w:pPr>
      <w:r>
        <w:rPr/>
      </w:r>
    </w:p>
    <w:sectPr>
      <w:headerReference w:type="default" r:id="rId13"/>
      <w:footerReference w:type="default" r:id="rId14"/>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4</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Apr 2023</w:t>
      <w:tab/>
      <w:tab/>
      <w:t>doc.: IEEE 802.18-23-0050r0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trackRevisions/>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1" w:customStyle="1">
    <w:name w:val="Line Number1"/>
    <w:qFormat/>
    <w:rPr/>
  </w:style>
  <w:style w:type="character" w:styleId="UnresolvedMention" w:customStyle="1">
    <w:name w:val="Unresolved Mention"/>
    <w:basedOn w:val="DefaultParagraphFont"/>
    <w:uiPriority w:val="99"/>
    <w:semiHidden/>
    <w:unhideWhenUsed/>
    <w:qFormat/>
    <w:rsid w:val="004e6fe7"/>
    <w:rPr>
      <w:color w:val="605E5C"/>
      <w:shd w:fill="E1DFDD" w:val="clear"/>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Linenumber">
    <w:name w:val="line number"/>
    <w:qFormat/>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paragraph" w:styleId="DefaultDrawingStyle" w:customStyle="1">
    <w:name w:val="Default Drawing Style"/>
    <w:qFormat/>
    <w:pPr>
      <w:widowControl/>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numbering" w:styleId="NoList" w:default="1">
    <w:name w:val="No List"/>
    <w:uiPriority w:val="99"/>
    <w:semiHidden/>
    <w:unhideWhenUsed/>
    <w:qFormat/>
  </w:style>
  <w:style w:type="numbering" w:styleId="Numbering123" w:customStyle="1">
    <w:name w:val="Numbering 12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3/18-23-0049-01-0000-rr-tag-agenda-20-april-2023.pptx" TargetMode="External"/><Relationship Id="rId5" Type="http://schemas.openxmlformats.org/officeDocument/2006/relationships/hyperlink" Target="https://www.ieee802.org/18/RRTAG_Voters.pdf" TargetMode="External"/><Relationship Id="rId6" Type="http://schemas.openxmlformats.org/officeDocument/2006/relationships/hyperlink" Target="https://mentor.ieee.org/802-ec/dcn/21/ec-21-0207-23-0PNP-ieee-802-lmsc-working-group-policies-and-procedures.pdf" TargetMode="External"/><Relationship Id="rId7" Type="http://schemas.openxmlformats.org/officeDocument/2006/relationships/hyperlink" Target="http://www.ieee802.org/devdocs.shtml" TargetMode="External"/><Relationship Id="rId8" Type="http://schemas.openxmlformats.org/officeDocument/2006/relationships/hyperlink" Target="https://standards.ieee.org/about/policies/opman/" TargetMode="External"/><Relationship Id="rId9" Type="http://schemas.openxmlformats.org/officeDocument/2006/relationships/hyperlink" Target="https://mentor.ieee.org/802.18/dcn/23/18-23-0048-00-0000-weekly-teleconference-minutes-13-april-2023.docx" TargetMode="External"/><Relationship Id="rId10" Type="http://schemas.openxmlformats.org/officeDocument/2006/relationships/hyperlink" Target="https://mentor.ieee.org/802.18/dcn/22/18-22-0035-68-0000-status-of-ongoing-consultations-and-tag-documents-for-approval.docx" TargetMode="External"/><Relationship Id="rId11" Type="http://schemas.openxmlformats.org/officeDocument/2006/relationships/hyperlink" Target="https://ieee802.org/16/cal-temp.html" TargetMode="External"/><Relationship Id="rId12" Type="http://schemas.openxmlformats.org/officeDocument/2006/relationships/hyperlink" Target="https://calendar.google.com/calendar/embed?src=c2gedttabtbj4bps23j4847004@group.calendar.google.com&amp;ctz=America%2FNew_Yor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69EF-E8E0-405F-AE8E-9CD0A674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52545</TotalTime>
  <Application>LibreOffice/7.4.6.2$Linux_X86_64 LibreOffice_project/40$Build-2</Application>
  <AppVersion>15.0000</AppVersion>
  <Pages>4</Pages>
  <Words>894</Words>
  <Characters>4979</Characters>
  <CharactersWithSpaces>5739</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2022-11-10T19:11:00Z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2023-04-26T22:44:18Z</dcterms:modified>
  <cp:revision>75</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