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262"/>
        <w:gridCol w:w="1151"/>
        <w:gridCol w:w="1283"/>
        <w:gridCol w:w="2538"/>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 Minutes</w:t>
            </w:r>
          </w:p>
          <w:p>
            <w:pPr>
              <w:pStyle w:val="T2"/>
              <w:widowControl w:val="false"/>
              <w:spacing w:before="0" w:after="120"/>
              <w:rPr/>
            </w:pPr>
            <w:r>
              <w:rPr/>
              <w:t>March Mixed-Mode 802 Plenary Session 2023</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9</w:t>
            </w:r>
            <w:r>
              <w:rPr>
                <w:b w:val="false"/>
                <w:sz w:val="20"/>
              </w:rPr>
              <w:t xml:space="preserve"> April 2023</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15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28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r>
        <w:trPr/>
        <w:tc>
          <w:tcPr>
            <w:tcW w:w="234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635" distB="0" distL="0" distR="0" simplePos="0" locked="0" layoutInCell="0" allowOverlap="1" relativeHeight="2" wp14:anchorId="36376EBE">
                <wp:simplePos x="0" y="0"/>
                <wp:positionH relativeFrom="column">
                  <wp:posOffset>165735</wp:posOffset>
                </wp:positionH>
                <wp:positionV relativeFrom="paragraph">
                  <wp:posOffset>27305</wp:posOffset>
                </wp:positionV>
                <wp:extent cx="6090920" cy="2853055"/>
                <wp:effectExtent l="0" t="635" r="0" b="0"/>
                <wp:wrapNone/>
                <wp:docPr id="1" name="Bild1"/>
                <a:graphic xmlns:a="http://schemas.openxmlformats.org/drawingml/2006/main">
                  <a:graphicData uri="http://schemas.microsoft.com/office/word/2010/wordprocessingShape">
                    <wps:wsp>
                      <wps:cNvSpPr/>
                      <wps:spPr>
                        <a:xfrm>
                          <a:off x="0" y="0"/>
                          <a:ext cx="6090840" cy="285300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pPr>
                            <w:r>
                              <w:rPr>
                                <w:color w:val="000000"/>
                              </w:rPr>
                              <w:t>r0: original version.</w:t>
                            </w:r>
                          </w:p>
                          <w:p>
                            <w:pPr>
                              <w:pStyle w:val="Raminnehll"/>
                              <w:rPr/>
                            </w:pPr>
                            <w:r>
                              <w:rPr>
                                <w:color w:val="000000"/>
                              </w:rPr>
                              <w:t>r1: updated attendee list after audit.</w:t>
                            </w:r>
                          </w:p>
                          <w:p>
                            <w:pPr>
                              <w:pStyle w:val="Raminnehll"/>
                              <w:rPr/>
                            </w:pPr>
                            <w:r>
                              <w:rPr>
                                <w:color w:val="000000"/>
                              </w:rPr>
                              <w:t>r2: re-issue of audited attendee list.</w:t>
                            </w:r>
                          </w:p>
                        </w:txbxContent>
                      </wps:txbx>
                      <wps:bodyPr anchor="t">
                        <a:noAutofit/>
                      </wps:bodyPr>
                    </wps:wsp>
                  </a:graphicData>
                </a:graphic>
              </wp:anchor>
            </w:drawing>
          </mc:Choice>
          <mc:Fallback>
            <w:pict>
              <v:rect id="shape_0" ID="Bild1" path="m0,0l-2147483645,0l-2147483645,-2147483646l0,-2147483646xe" fillcolor="white" stroked="f" o:allowincell="f" style="position:absolute;margin-left:13.05pt;margin-top:2.15pt;width:479.55pt;height:224.6pt;mso-wrap-style:square;v-text-anchor:top" wp14:anchorId="36376EBE">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This document constitutes the minutes of the IEEE 802.18 Technical Advisory Group from the March IEEE 802 March Mixed Mode 802 Plenary Session 2023, with on-site participants in Atlanta, Georgia, USA and remote participants through Webex. "Local time" in this document means "local time" in Atlanta, Georgia, USA (UTC-4).</w:t>
                      </w:r>
                    </w:p>
                    <w:p>
                      <w:pPr>
                        <w:pStyle w:val="Raminnehll"/>
                        <w:jc w:val="both"/>
                        <w:rPr>
                          <w:color w:val="000000"/>
                        </w:rPr>
                      </w:pPr>
                      <w:r>
                        <w:rPr>
                          <w:color w:val="000000"/>
                        </w:rPr>
                      </w:r>
                    </w:p>
                    <w:p>
                      <w:pPr>
                        <w:pStyle w:val="Raminnehll"/>
                        <w:jc w:val="both"/>
                        <w:rPr/>
                      </w:pPr>
                      <w:r>
                        <w:rPr>
                          <w:b/>
                          <w:bCs/>
                          <w:color w:val="000000"/>
                        </w:rPr>
                        <w:t>C:</w:t>
                      </w:r>
                      <w:r>
                        <w:rPr>
                          <w:color w:val="000000"/>
                        </w:rPr>
                        <w:t xml:space="preserve"> means question or comment from participant.</w:t>
                      </w:r>
                    </w:p>
                    <w:p>
                      <w:pPr>
                        <w:pStyle w:val="Raminnehll"/>
                        <w:rPr/>
                      </w:pPr>
                      <w:r>
                        <w:rPr>
                          <w:b/>
                          <w:bCs/>
                          <w:color w:val="000000"/>
                        </w:rPr>
                        <w:t>Chair:</w:t>
                      </w:r>
                      <w:r>
                        <w:rPr>
                          <w:color w:val="000000"/>
                        </w:rPr>
                        <w:t xml:space="preserve"> means statement by the chair as chair.</w:t>
                        <w:br/>
                      </w:r>
                      <w:r>
                        <w:rPr>
                          <w:color w:val="000000"/>
                          <w:shd w:fill="FFFF00" w:val="clear"/>
                        </w:rPr>
                        <w:t>Highlight</w:t>
                      </w:r>
                      <w:r>
                        <w:rPr>
                          <w:color w:val="000000"/>
                        </w:rPr>
                        <w:t xml:space="preserve"> means action point.</w:t>
                      </w:r>
                    </w:p>
                    <w:p>
                      <w:pPr>
                        <w:pStyle w:val="Raminnehll"/>
                        <w:rPr>
                          <w:color w:val="000000"/>
                        </w:rPr>
                      </w:pPr>
                      <w:r>
                        <w:rPr>
                          <w:color w:val="000000"/>
                        </w:rPr>
                      </w:r>
                    </w:p>
                    <w:p>
                      <w:pPr>
                        <w:pStyle w:val="Raminnehll"/>
                        <w:rPr/>
                      </w:pPr>
                      <w:r>
                        <w:rPr>
                          <w:color w:val="000000"/>
                        </w:rPr>
                        <w:t>r0: original version.</w:t>
                      </w:r>
                    </w:p>
                    <w:p>
                      <w:pPr>
                        <w:pStyle w:val="Raminnehll"/>
                        <w:rPr/>
                      </w:pPr>
                      <w:r>
                        <w:rPr>
                          <w:color w:val="000000"/>
                        </w:rPr>
                        <w:t>r1: updated attendee list after audit.</w:t>
                      </w:r>
                    </w:p>
                    <w:p>
                      <w:pPr>
                        <w:pStyle w:val="Raminnehll"/>
                        <w:rPr/>
                      </w:pPr>
                      <w:r>
                        <w:rPr>
                          <w:color w:val="000000"/>
                        </w:rPr>
                        <w:t>r2: re-issue of audited attendee list.</w:t>
                      </w:r>
                    </w:p>
                  </w:txbxContent>
                </v:textbox>
                <w10:wrap type="none"/>
              </v:rect>
            </w:pict>
          </mc:Fallback>
        </mc:AlternateContent>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(Comcast)</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bCs/>
          <w:sz w:val="24"/>
          <w:szCs w:val="24"/>
        </w:rPr>
      </w:pPr>
      <w:r>
        <w:rPr>
          <w:bCs/>
          <w:sz w:val="24"/>
          <w:szCs w:val="24"/>
        </w:rPr>
      </w:r>
      <w:r>
        <w:br w:type="page"/>
      </w:r>
    </w:p>
    <w:p>
      <w:pPr>
        <w:pStyle w:val="T1"/>
        <w:spacing w:before="0" w:after="120"/>
        <w:rPr>
          <w:b w:val="false"/>
          <w:b w:val="false"/>
          <w:bCs/>
          <w:sz w:val="24"/>
          <w:szCs w:val="24"/>
        </w:rPr>
      </w:pPr>
      <w:r>
        <w:rPr>
          <w:b w:val="false"/>
          <w:bCs/>
          <w:sz w:val="24"/>
          <w:szCs w:val="24"/>
        </w:rPr>
        <w:t>Chair:  Edward Au (Huawei)</w:t>
      </w:r>
    </w:p>
    <w:p>
      <w:pPr>
        <w:pStyle w:val="T1"/>
        <w:spacing w:before="0" w:after="120"/>
        <w:rPr/>
      </w:pPr>
      <w:r>
        <w:rPr>
          <w:b w:val="false"/>
          <w:bCs/>
          <w:color w:val="000000"/>
          <w:sz w:val="24"/>
          <w:szCs w:val="24"/>
        </w:rPr>
        <w:t xml:space="preserve">Co-Vice-chairs:  </w:t>
      </w:r>
      <w:r>
        <w:rPr>
          <w:rStyle w:val="Internetlnk"/>
          <w:b w:val="false"/>
          <w:bCs/>
          <w:color w:val="000000"/>
          <w:sz w:val="24"/>
          <w:szCs w:val="24"/>
          <w:u w:val="none"/>
        </w:rPr>
        <w:t>Stuart Kerry (OK-Brit/Self)</w:t>
      </w:r>
      <w:r>
        <w:rPr>
          <w:b w:val="false"/>
          <w:bCs/>
          <w:color w:val="000000"/>
          <w:sz w:val="24"/>
          <w:szCs w:val="24"/>
        </w:rPr>
        <w:t xml:space="preserve"> and </w:t>
      </w:r>
      <w:r>
        <w:rPr>
          <w:rStyle w:val="Internetlnk"/>
          <w:b w:val="false"/>
          <w:bCs/>
          <w:color w:val="000000"/>
          <w:sz w:val="24"/>
          <w:szCs w:val="24"/>
          <w:u w:val="none"/>
        </w:rPr>
        <w:t xml:space="preserve">Al Petrick (Skyworks Solutions) </w:t>
      </w:r>
    </w:p>
    <w:p>
      <w:pPr>
        <w:pStyle w:val="T1"/>
        <w:spacing w:before="0" w:after="120"/>
        <w:rPr>
          <w:b w:val="false"/>
          <w:b w:val="false"/>
          <w:color w:val="000000"/>
          <w:sz w:val="24"/>
          <w:szCs w:val="24"/>
        </w:rPr>
      </w:pPr>
      <w:r>
        <w:rPr>
          <w:rStyle w:val="Internetlnk"/>
          <w:b w:val="false"/>
          <w:color w:val="000000"/>
          <w:sz w:val="24"/>
          <w:szCs w:val="24"/>
          <w:u w:val="none"/>
        </w:rPr>
        <w:t>Secretary: Amelia Andersdotter (Sky Group/Comcast)</w:t>
      </w:r>
    </w:p>
    <w:p>
      <w:pPr>
        <w:pStyle w:val="T1"/>
        <w:spacing w:before="0" w:after="120"/>
        <w:rPr>
          <w:b w:val="false"/>
          <w:b w:val="false"/>
          <w:sz w:val="24"/>
          <w:szCs w:val="24"/>
        </w:rPr>
      </w:pPr>
      <w:r>
        <w:rPr>
          <w:b w:val="false"/>
          <w:sz w:val="24"/>
          <w:szCs w:val="24"/>
        </w:rPr>
        <w:t>IEEE SA Program Manager:  Jodi Hassz (IEEE SA)</w:t>
      </w:r>
    </w:p>
    <w:p>
      <w:pPr>
        <w:pStyle w:val="Normal"/>
        <w:jc w:val="center"/>
        <w:rPr/>
      </w:pPr>
      <w:r>
        <w:rPr>
          <w:sz w:val="24"/>
          <w:szCs w:val="24"/>
        </w:rPr>
        <w:t xml:space="preserve">IEEE 802.18, RR-TAG website:  </w:t>
      </w:r>
      <w:hyperlink r:id="rId3">
        <w:r>
          <w:rPr>
            <w:rStyle w:val="Internetlnk"/>
            <w:sz w:val="24"/>
            <w:szCs w:val="24"/>
          </w:rPr>
          <w:t>https://www.ieee802.org/18/</w:t>
        </w:r>
      </w:hyperlink>
      <w:r>
        <w:rPr>
          <w:sz w:val="24"/>
          <w:szCs w:val="24"/>
        </w:rPr>
        <w:t xml:space="preserve"> .</w:t>
      </w:r>
    </w:p>
    <w:p>
      <w:pPr>
        <w:pStyle w:val="Normal"/>
        <w:jc w:val="center"/>
        <w:rPr>
          <w:sz w:val="24"/>
          <w:szCs w:val="24"/>
        </w:rPr>
      </w:pPr>
      <w:r>
        <w:rPr>
          <w:sz w:val="24"/>
          <w:szCs w:val="24"/>
        </w:rPr>
      </w:r>
    </w:p>
    <w:p>
      <w:pPr>
        <w:pStyle w:val="Normal"/>
        <w:rPr/>
      </w:pPr>
      <w:r>
        <w:rPr>
          <w:b/>
          <w:bCs/>
          <w:sz w:val="30"/>
          <w:szCs w:val="30"/>
          <w:u w:val="single"/>
        </w:rPr>
        <w:t>Opening meeting</w:t>
      </w:r>
      <w:r>
        <w:rPr>
          <w:sz w:val="24"/>
          <w:szCs w:val="24"/>
        </w:rPr>
        <w:br/>
      </w:r>
    </w:p>
    <w:p>
      <w:pPr>
        <w:pStyle w:val="Normal"/>
        <w:numPr>
          <w:ilvl w:val="0"/>
          <w:numId w:val="1"/>
        </w:numPr>
        <w:spacing w:before="0" w:after="0"/>
        <w:contextualSpacing/>
        <w:rPr/>
      </w:pPr>
      <w:r>
        <w:rPr/>
        <w:t>Opening formalities</w:t>
        <w:br/>
      </w:r>
    </w:p>
    <w:p>
      <w:pPr>
        <w:pStyle w:val="ListParagraph"/>
        <w:numPr>
          <w:ilvl w:val="0"/>
          <w:numId w:val="8"/>
        </w:numPr>
        <w:spacing w:before="0" w:after="0"/>
        <w:contextualSpacing/>
        <w:rPr/>
      </w:pPr>
      <w:r>
        <w:rPr>
          <w:sz w:val="24"/>
          <w:szCs w:val="24"/>
        </w:rPr>
        <w:t>Chair calls the meeting to order at 10:31 local time. Quorum is asserted.</w:t>
        <w:br/>
        <w:br/>
        <w:t xml:space="preserve">Agenda slide deck </w:t>
      </w:r>
      <w:hyperlink r:id="rId4">
        <w:r>
          <w:rPr>
            <w:rStyle w:val="InternetLink"/>
            <w:sz w:val="24"/>
            <w:szCs w:val="21"/>
          </w:rPr>
          <w:t>18/23-0020r3</w:t>
        </w:r>
      </w:hyperlink>
      <w:r>
        <w:rPr>
          <w:sz w:val="24"/>
          <w:szCs w:val="21"/>
        </w:rPr>
        <w:t xml:space="preserve"> with supplementary materials in </w:t>
      </w:r>
      <w:hyperlink r:id="rId5">
        <w:r>
          <w:rPr>
            <w:rStyle w:val="InternetLink"/>
            <w:sz w:val="24"/>
            <w:szCs w:val="21"/>
          </w:rPr>
          <w:t>18/23-0021r4</w:t>
        </w:r>
      </w:hyperlink>
    </w:p>
    <w:p>
      <w:pPr>
        <w:pStyle w:val="Normal"/>
        <w:spacing w:before="0" w:after="0"/>
        <w:ind w:left="360" w:hanging="0"/>
        <w:contextualSpacing/>
        <w:rPr>
          <w:sz w:val="24"/>
          <w:szCs w:val="21"/>
        </w:rPr>
      </w:pPr>
      <w:r>
        <w:rPr>
          <w:sz w:val="24"/>
          <w:szCs w:val="21"/>
        </w:rPr>
      </w:r>
    </w:p>
    <w:p>
      <w:pPr>
        <w:pStyle w:val="ListParagraph"/>
        <w:numPr>
          <w:ilvl w:val="0"/>
          <w:numId w:val="7"/>
        </w:numPr>
        <w:spacing w:before="0" w:after="0"/>
        <w:contextualSpacing/>
        <w:rPr>
          <w:sz w:val="24"/>
          <w:szCs w:val="21"/>
        </w:rPr>
      </w:pPr>
      <w:r>
        <w:rPr>
          <w:sz w:val="24"/>
          <w:szCs w:val="24"/>
        </w:rPr>
        <w:t>Group officers are presented.</w:t>
        <w:br/>
      </w:r>
    </w:p>
    <w:p>
      <w:pPr>
        <w:pStyle w:val="ListParagraph"/>
        <w:numPr>
          <w:ilvl w:val="0"/>
          <w:numId w:val="7"/>
        </w:numPr>
        <w:spacing w:before="0" w:after="0"/>
        <w:contextualSpacing/>
        <w:rPr>
          <w:sz w:val="24"/>
          <w:szCs w:val="21"/>
        </w:rPr>
      </w:pPr>
      <w:r>
        <w:rPr>
          <w:bCs/>
          <w:sz w:val="24"/>
          <w:szCs w:val="24"/>
        </w:rPr>
        <w:t>This meeting is part of the IEEE 802 mixed mode plenary session in Atlanta, Georgia, USA organized between 12 March and 17 March 2023.</w:t>
      </w:r>
    </w:p>
    <w:p>
      <w:pPr>
        <w:pStyle w:val="ListParagraph"/>
        <w:numPr>
          <w:ilvl w:val="0"/>
          <w:numId w:val="4"/>
        </w:numPr>
        <w:spacing w:before="0" w:after="0"/>
        <w:contextualSpacing/>
        <w:rPr>
          <w:sz w:val="24"/>
          <w:szCs w:val="21"/>
        </w:rPr>
      </w:pPr>
      <w:r>
        <w:rPr>
          <w:sz w:val="24"/>
          <w:szCs w:val="24"/>
        </w:rPr>
        <w:t xml:space="preserve">You </w:t>
      </w:r>
      <w:r>
        <w:rPr>
          <w:b/>
          <w:bCs/>
          <w:sz w:val="24"/>
          <w:szCs w:val="24"/>
        </w:rPr>
        <w:t>must</w:t>
      </w:r>
      <w:r>
        <w:rPr>
          <w:sz w:val="24"/>
          <w:szCs w:val="24"/>
        </w:rPr>
        <w:t xml:space="preserve"> pay the registration fee in order to attend</w:t>
      </w:r>
    </w:p>
    <w:p>
      <w:pPr>
        <w:pStyle w:val="ListParagraph"/>
        <w:numPr>
          <w:ilvl w:val="0"/>
          <w:numId w:val="4"/>
        </w:numPr>
        <w:spacing w:before="0" w:after="0"/>
        <w:contextualSpacing/>
        <w:rPr>
          <w:color w:val="000080"/>
          <w:sz w:val="24"/>
          <w:szCs w:val="24"/>
          <w:u w:val="single"/>
        </w:rPr>
      </w:pPr>
      <w:r>
        <w:rPr>
          <w:sz w:val="24"/>
          <w:szCs w:val="24"/>
        </w:rPr>
        <w:t xml:space="preserve">If you have not already done so, you can register w/Face to Face Events – Registration website at:  </w:t>
      </w:r>
      <w:hyperlink r:id="rId6" w:tgtFrame="_blank">
        <w:r>
          <w:rPr>
            <w:rStyle w:val="InternetLink"/>
            <w:b/>
            <w:sz w:val="24"/>
            <w:szCs w:val="24"/>
          </w:rPr>
          <w:t>https://cvent.me/AwPbAx</w:t>
        </w:r>
      </w:hyperlink>
    </w:p>
    <w:p>
      <w:pPr>
        <w:pStyle w:val="ListParagraph"/>
        <w:spacing w:before="0" w:after="0"/>
        <w:ind w:left="1440" w:hanging="0"/>
        <w:contextualSpacing/>
        <w:rPr>
          <w:sz w:val="24"/>
          <w:szCs w:val="21"/>
        </w:rPr>
      </w:pPr>
      <w:r>
        <w:rPr>
          <w:sz w:val="24"/>
          <w:szCs w:val="21"/>
        </w:rPr>
      </w:r>
    </w:p>
    <w:p>
      <w:pPr>
        <w:pStyle w:val="ListParagraph"/>
        <w:numPr>
          <w:ilvl w:val="0"/>
          <w:numId w:val="4"/>
        </w:numPr>
        <w:spacing w:before="0" w:after="0"/>
        <w:contextualSpacing/>
        <w:rPr>
          <w:sz w:val="24"/>
          <w:szCs w:val="21"/>
        </w:rPr>
      </w:pPr>
      <w:r>
        <w:rPr>
          <w:sz w:val="24"/>
          <w:szCs w:val="24"/>
        </w:rPr>
        <w:t>If you do not intend to register for this session you must leave this meeting and, if you have logged attendance on IMAT, please email the 802.18 chair or a vice chair to have your attendance canceled</w:t>
      </w:r>
    </w:p>
    <w:p>
      <w:pPr>
        <w:pStyle w:val="ListParagraph"/>
        <w:numPr>
          <w:ilvl w:val="0"/>
          <w:numId w:val="4"/>
        </w:numPr>
        <w:spacing w:before="0" w:after="0"/>
        <w:contextualSpacing/>
        <w:rPr>
          <w:sz w:val="24"/>
          <w:szCs w:val="21"/>
        </w:rPr>
      </w:pPr>
      <w:r>
        <w:rPr>
          <w:sz w:val="24"/>
          <w:szCs w:val="24"/>
        </w:rPr>
        <w:t xml:space="preserve">At conclusion of each of the 802.18 calls, the Webex log and IMAT will be reviewed.  </w:t>
      </w:r>
    </w:p>
    <w:p>
      <w:pPr>
        <w:pStyle w:val="ListParagraph"/>
        <w:numPr>
          <w:ilvl w:val="0"/>
          <w:numId w:val="4"/>
        </w:numPr>
        <w:spacing w:before="0" w:after="0"/>
        <w:contextualSpacing/>
        <w:rPr>
          <w:sz w:val="24"/>
          <w:szCs w:val="21"/>
        </w:rPr>
      </w:pPr>
      <w:r>
        <w:rPr>
          <w:bCs/>
          <w:sz w:val="24"/>
          <w:szCs w:val="24"/>
        </w:rPr>
        <w:t xml:space="preserve">No payment, become dead beat and lose voting rights in all groups, after 60-day grace. </w:t>
        <w:br/>
      </w:r>
    </w:p>
    <w:p>
      <w:pPr>
        <w:pStyle w:val="ListParagraph"/>
        <w:numPr>
          <w:ilvl w:val="0"/>
          <w:numId w:val="9"/>
        </w:numPr>
        <w:spacing w:before="0" w:after="0"/>
        <w:contextualSpacing/>
        <w:rPr>
          <w:sz w:val="24"/>
          <w:szCs w:val="21"/>
        </w:rPr>
      </w:pPr>
      <w:r>
        <w:rPr>
          <w:sz w:val="24"/>
          <w:szCs w:val="24"/>
        </w:rPr>
        <w:t xml:space="preserve">Chair presents the agenda. </w:t>
        <w:br/>
        <w:br/>
        <w:t>Request to have place in the first session of IEEE 802.18 meeting all items related to 802.15. Chair responds 802.15 items are scheduled for first session already.</w:t>
        <w:br/>
        <w:br/>
        <w:t>No other comments or questions on the agenda.</w:t>
        <w:br/>
      </w:r>
    </w:p>
    <w:p>
      <w:pPr>
        <w:pStyle w:val="Normal"/>
        <w:numPr>
          <w:ilvl w:val="2"/>
          <w:numId w:val="1"/>
        </w:numPr>
        <w:tabs>
          <w:tab w:val="left" w:pos="720" w:leader="none"/>
        </w:tabs>
        <w:spacing w:before="0" w:after="0"/>
        <w:contextualSpacing/>
        <w:rPr/>
      </w:pPr>
      <w:r>
        <w:rPr>
          <w:b/>
          <w:bCs/>
          <w:sz w:val="24"/>
          <w:szCs w:val="24"/>
        </w:rPr>
        <w:t xml:space="preserve">Motion #1 (internal): </w:t>
      </w:r>
      <w:r>
        <w:rPr>
          <w:sz w:val="24"/>
          <w:szCs w:val="24"/>
        </w:rPr>
        <w:t>To approve the agenda as shown in the “RR-TAG Opening” tab of the document 18/23-0020r3</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Benjamin Rolfe</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pPr>
      <w:r>
        <w:rPr/>
      </w:r>
    </w:p>
    <w:p>
      <w:pPr>
        <w:pStyle w:val="ListParagraph"/>
        <w:numPr>
          <w:ilvl w:val="0"/>
          <w:numId w:val="10"/>
        </w:numPr>
        <w:spacing w:before="0" w:after="0"/>
        <w:contextualSpacing/>
        <w:rPr>
          <w:sz w:val="24"/>
          <w:szCs w:val="24"/>
        </w:rPr>
      </w:pPr>
      <w:r>
        <w:rPr>
          <w:sz w:val="24"/>
          <w:szCs w:val="21"/>
        </w:rPr>
        <w:t>Voter list update.</w:t>
      </w:r>
      <w:r>
        <w:rPr/>
        <w:br/>
        <w:br/>
      </w:r>
      <w:r>
        <w:rPr>
          <w:bCs/>
          <w:sz w:val="24"/>
          <w:szCs w:val="24"/>
        </w:rPr>
        <w:t>Group officers and voting membership (as of 14 March 2023)</w:t>
      </w:r>
    </w:p>
    <w:p>
      <w:pPr>
        <w:pStyle w:val="Normal"/>
        <w:spacing w:before="0" w:after="0"/>
        <w:ind w:left="1080" w:hanging="0"/>
        <w:contextualSpacing/>
        <w:rPr>
          <w:sz w:val="24"/>
          <w:szCs w:val="21"/>
        </w:rPr>
      </w:pPr>
      <w:r>
        <w:rPr>
          <w:sz w:val="24"/>
          <w:szCs w:val="21"/>
        </w:rPr>
        <w:t xml:space="preserve">Voters: 53 (8 on LMSC) </w:t>
      </w:r>
    </w:p>
    <w:p>
      <w:pPr>
        <w:pStyle w:val="Normal"/>
        <w:spacing w:before="0" w:after="0"/>
        <w:ind w:left="1080" w:hanging="0"/>
        <w:contextualSpacing/>
        <w:rPr>
          <w:sz w:val="24"/>
          <w:szCs w:val="21"/>
        </w:rPr>
      </w:pPr>
      <w:r>
        <w:rPr>
          <w:sz w:val="24"/>
          <w:szCs w:val="21"/>
        </w:rPr>
        <w:t>Nearly Voters:  0</w:t>
      </w:r>
    </w:p>
    <w:p>
      <w:pPr>
        <w:pStyle w:val="Normal"/>
        <w:spacing w:before="0" w:after="0"/>
        <w:ind w:left="1080" w:hanging="0"/>
        <w:contextualSpacing/>
        <w:rPr>
          <w:sz w:val="24"/>
          <w:szCs w:val="21"/>
        </w:rPr>
      </w:pPr>
      <w:r>
        <w:rPr>
          <w:sz w:val="24"/>
          <w:szCs w:val="21"/>
        </w:rPr>
        <w:t>Aspirant members: 12</w:t>
      </w:r>
    </w:p>
    <w:p>
      <w:pPr>
        <w:pStyle w:val="Normal"/>
        <w:spacing w:before="0" w:after="0"/>
        <w:ind w:left="1080" w:hanging="0"/>
        <w:contextualSpacing/>
        <w:rPr>
          <w:sz w:val="24"/>
          <w:szCs w:val="21"/>
        </w:rPr>
      </w:pPr>
      <w:hyperlink r:id="rId7">
        <w:r>
          <w:rPr>
            <w:rStyle w:val="Internetlnk"/>
            <w:sz w:val="24"/>
            <w:szCs w:val="21"/>
          </w:rPr>
          <w:t>802.18 Voters List</w:t>
        </w:r>
      </w:hyperlink>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Policies and procedures</w:t>
      </w:r>
      <w:r>
        <w:rPr>
          <w:sz w:val="24"/>
          <w:szCs w:val="24"/>
        </w:rPr>
        <w:br/>
      </w:r>
    </w:p>
    <w:p>
      <w:pPr>
        <w:pStyle w:val="Normal"/>
        <w:numPr>
          <w:ilvl w:val="1"/>
          <w:numId w:val="2"/>
        </w:numPr>
        <w:spacing w:before="0" w:after="0"/>
        <w:contextualSpacing/>
        <w:rPr/>
      </w:pPr>
      <w:r>
        <w:rPr>
          <w:sz w:val="24"/>
          <w:szCs w:val="24"/>
        </w:rPr>
        <w:t>RR-TAG Policies &amp; Procedures [</w:t>
      </w:r>
      <w:hyperlink r:id="rId8">
        <w:r>
          <w:rPr>
            <w:rStyle w:val="Internetlnk"/>
            <w:sz w:val="24"/>
            <w:szCs w:val="24"/>
            <w:lang w:val="nl-NL"/>
          </w:rPr>
          <w:t>8</w:t>
        </w:r>
      </w:hyperlink>
      <w:hyperlink r:id="rId9">
        <w:r>
          <w:rPr>
            <w:rStyle w:val="Internetlnk"/>
            <w:szCs w:val="22"/>
            <w:lang w:val="nl-NL"/>
          </w:rPr>
          <w:t>02 LMSC WG P&amp;P</w:t>
        </w:r>
      </w:hyperlink>
      <w:r>
        <w:rPr>
          <w:szCs w:val="22"/>
          <w:lang w:val="nl-NL"/>
        </w:rPr>
        <w:t>]</w:t>
      </w:r>
    </w:p>
    <w:p>
      <w:pPr>
        <w:pStyle w:val="Normal"/>
        <w:spacing w:before="60" w:after="60"/>
        <w:ind w:left="1440" w:hanging="0"/>
        <w:contextualSpacing/>
        <w:rPr/>
      </w:pPr>
      <w:r>
        <w:rPr>
          <w:bCs/>
          <w:sz w:val="24"/>
          <w:szCs w:val="24"/>
        </w:rPr>
        <w:t>IEEE 802 meeting and participant’s guidelines and requirements [</w:t>
      </w:r>
      <w:hyperlink r:id="rId10">
        <w:r>
          <w:rPr>
            <w:rStyle w:val="Internetlnk"/>
            <w:bCs/>
            <w:sz w:val="24"/>
            <w:szCs w:val="24"/>
          </w:rPr>
          <w:t>link</w:t>
        </w:r>
      </w:hyperlink>
      <w:r>
        <w:rPr>
          <w:bCs/>
          <w:sz w:val="24"/>
          <w:szCs w:val="24"/>
        </w:rPr>
        <w:t>]</w:t>
      </w:r>
    </w:p>
    <w:p>
      <w:pPr>
        <w:pStyle w:val="Normal"/>
        <w:spacing w:before="60" w:after="60"/>
        <w:ind w:left="1440" w:hanging="0"/>
        <w:contextualSpacing/>
        <w:rPr/>
      </w:pPr>
      <w:r>
        <w:rPr>
          <w:bCs/>
          <w:sz w:val="24"/>
          <w:szCs w:val="24"/>
        </w:rPr>
        <w:t>IEEE policies and procedures [</w:t>
      </w:r>
      <w:hyperlink r:id="rId11">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Reciprocal credit with IEEE 802.11 Working Group (WG) is granted for only the two meeting slots scheduled for IEEE 802.18 as per agreement between the 802.11 and 802.18 chairs.</w:t>
      </w:r>
    </w:p>
    <w:p>
      <w:pPr>
        <w:pStyle w:val="Normal"/>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attendance</w:t>
      </w:r>
    </w:p>
    <w:p>
      <w:pPr>
        <w:pStyle w:val="Normal"/>
        <w:spacing w:before="0" w:after="0"/>
        <w:ind w:left="1440" w:hanging="0"/>
        <w:contextualSpacing/>
        <w:rPr>
          <w:bCs/>
          <w:sz w:val="24"/>
          <w:szCs w:val="24"/>
        </w:rPr>
      </w:pPr>
      <w:r>
        <w:rPr>
          <w:bCs/>
          <w:sz w:val="24"/>
          <w:szCs w:val="24"/>
        </w:rPr>
        <w:t>Online meeting procedures reminder</w:t>
      </w:r>
    </w:p>
    <w:p>
      <w:pPr>
        <w:pStyle w:val="Normal"/>
        <w:spacing w:before="0" w:after="0"/>
        <w:ind w:left="1440" w:hanging="0"/>
        <w:contextualSpacing/>
        <w:rPr>
          <w:bCs/>
          <w:sz w:val="24"/>
          <w:szCs w:val="24"/>
        </w:rPr>
      </w:pPr>
      <w:r>
        <w:rPr>
          <w:bCs/>
          <w:sz w:val="24"/>
          <w:szCs w:val="24"/>
        </w:rPr>
        <w:t>Walk-through of session schedule.</w:t>
        <w:br/>
        <w:t xml:space="preserve"> </w:t>
      </w:r>
    </w:p>
    <w:p>
      <w:pPr>
        <w:pStyle w:val="Normal"/>
        <w:spacing w:before="0" w:after="0"/>
        <w:contextualSpacing/>
        <w:rPr>
          <w:bCs/>
          <w:sz w:val="24"/>
          <w:szCs w:val="24"/>
        </w:rPr>
      </w:pPr>
      <w:r>
        <w:rPr>
          <w:bCs/>
          <w:sz w:val="24"/>
          <w:szCs w:val="24"/>
        </w:rPr>
        <w:t xml:space="preserve">Chair asks group if there are any questions relating to the IEEE policies. No response, no comments on WebEx Chat window.  </w:t>
      </w:r>
    </w:p>
    <w:p>
      <w:pPr>
        <w:pStyle w:val="Normal"/>
        <w:spacing w:before="0" w:after="0"/>
        <w:contextualSpacing/>
        <w:rPr>
          <w:sz w:val="24"/>
          <w:szCs w:val="24"/>
        </w:rPr>
      </w:pPr>
      <w:r>
        <w:rPr>
          <w:sz w:val="24"/>
          <w:szCs w:val="24"/>
        </w:rPr>
      </w:r>
    </w:p>
    <w:p>
      <w:pPr>
        <w:pStyle w:val="Normal"/>
        <w:numPr>
          <w:ilvl w:val="0"/>
          <w:numId w:val="1"/>
        </w:numPr>
        <w:spacing w:before="0" w:after="0"/>
        <w:contextualSpacing/>
        <w:rPr>
          <w:sz w:val="24"/>
          <w:szCs w:val="24"/>
        </w:rPr>
      </w:pPr>
      <w:r>
        <w:rPr>
          <w:b/>
          <w:bCs/>
          <w:sz w:val="24"/>
          <w:szCs w:val="24"/>
        </w:rPr>
        <w:t>General business</w:t>
      </w:r>
      <w:r>
        <w:rPr>
          <w:sz w:val="24"/>
          <w:szCs w:val="24"/>
        </w:rPr>
        <w:br/>
      </w:r>
    </w:p>
    <w:p>
      <w:pPr>
        <w:pStyle w:val="Normal"/>
        <w:numPr>
          <w:ilvl w:val="1"/>
          <w:numId w:val="1"/>
        </w:numPr>
        <w:spacing w:before="0" w:after="0"/>
        <w:contextualSpacing/>
        <w:rPr>
          <w:sz w:val="24"/>
          <w:szCs w:val="24"/>
        </w:rPr>
      </w:pPr>
      <w:r>
        <w:rPr>
          <w:b/>
          <w:bCs/>
          <w:sz w:val="24"/>
          <w:szCs w:val="24"/>
        </w:rPr>
        <w:t>Minutes</w:t>
      </w:r>
      <w:r>
        <w:rPr/>
        <w:br/>
      </w:r>
    </w:p>
    <w:p>
      <w:pPr>
        <w:pStyle w:val="ListParagraph"/>
        <w:numPr>
          <w:ilvl w:val="0"/>
          <w:numId w:val="5"/>
        </w:numPr>
        <w:tabs>
          <w:tab w:val="clear" w:pos="720"/>
          <w:tab w:val="left" w:pos="363" w:leader="none"/>
        </w:tabs>
        <w:suppressAutoHyphens w:val="false"/>
        <w:spacing w:before="0" w:after="0"/>
        <w:contextualSpacing/>
        <w:textAlignment w:val="baseline"/>
        <w:rPr>
          <w:rFonts w:eastAsia="Times New Roman"/>
          <w:color w:val="000000"/>
          <w:sz w:val="24"/>
          <w:lang w:val="en-GB" w:eastAsia="en-GB"/>
        </w:rPr>
      </w:pPr>
      <w:r>
        <w:rPr>
          <w:sz w:val="24"/>
          <w:szCs w:val="24"/>
        </w:rPr>
        <w:t>Chair presented the meeting minutes from RR-TAG 2023 January Mixed Mode Wireless Interim session. No questions or comment.</w:t>
        <w:br/>
      </w:r>
      <w:r>
        <w:rPr>
          <w:b/>
          <w:bCs/>
          <w:sz w:val="24"/>
          <w:szCs w:val="24"/>
        </w:rPr>
        <w:br/>
        <w:t>Motion #2 (internal):</w:t>
      </w:r>
      <w:r>
        <w:rPr>
          <w:sz w:val="24"/>
          <w:szCs w:val="24"/>
        </w:rPr>
        <w:t xml:space="preserve"> </w:t>
      </w:r>
      <w:r>
        <w:rPr>
          <w:rFonts w:eastAsia="MS Gothic" w:cs="Arial"/>
          <w:color w:val="000000"/>
          <w:spacing w:val="-1"/>
          <w:sz w:val="24"/>
          <w:szCs w:val="24"/>
          <w:lang w:eastAsia="en-GB"/>
        </w:rPr>
        <w:t xml:space="preserve">To approve the meeting minutes of the RR-TAG 2023 January wireless interim session as shown in the document </w:t>
      </w:r>
      <w:hyperlink r:id="rId12">
        <w:r>
          <w:rPr>
            <w:rStyle w:val="InternetLink"/>
            <w:rFonts w:eastAsia="MS Gothic" w:cs="Arial"/>
            <w:color w:val="000000"/>
            <w:spacing w:val="-1"/>
            <w:sz w:val="24"/>
            <w:szCs w:val="24"/>
            <w:lang w:eastAsia="en-GB"/>
          </w:rPr>
          <w:t>18-23/0010r0</w:t>
        </w:r>
      </w:hyperlink>
      <w:r>
        <w:rPr>
          <w:rFonts w:eastAsia="MS Gothic" w:cs="Arial"/>
          <w:color w:val="000000"/>
          <w:spacing w:val="-1"/>
          <w:sz w:val="24"/>
          <w:szCs w:val="24"/>
          <w:lang w:eastAsia="en-GB"/>
        </w:rPr>
        <w:t xml:space="preserve">, with editorial privilege for the 802.18 Chair. </w:t>
      </w:r>
    </w:p>
    <w:p>
      <w:pPr>
        <w:pStyle w:val="Normal"/>
        <w:spacing w:before="0" w:after="0"/>
        <w:ind w:left="1440" w:hanging="0"/>
        <w:contextualSpacing/>
        <w:rPr>
          <w:sz w:val="24"/>
          <w:szCs w:val="24"/>
        </w:rPr>
      </w:pPr>
      <w:r>
        <w:rPr>
          <w:sz w:val="24"/>
          <w:szCs w:val="24"/>
        </w:rPr>
        <w:t xml:space="preserve">Moved by: </w:t>
        <w:tab/>
        <w:t>Al Petrick</w:t>
      </w:r>
    </w:p>
    <w:p>
      <w:pPr>
        <w:pStyle w:val="Normal"/>
        <w:spacing w:before="0" w:after="0"/>
        <w:ind w:left="1440" w:hanging="0"/>
        <w:contextualSpacing/>
        <w:rPr>
          <w:sz w:val="24"/>
          <w:szCs w:val="24"/>
        </w:rPr>
      </w:pPr>
      <w:r>
        <w:rPr>
          <w:sz w:val="24"/>
          <w:szCs w:val="24"/>
        </w:rPr>
        <w:t xml:space="preserve">Seconded by: </w:t>
        <w:tab/>
        <w:t>kiwin Palm</w:t>
      </w:r>
    </w:p>
    <w:p>
      <w:pPr>
        <w:pStyle w:val="Normal"/>
        <w:tabs>
          <w:tab w:val="left" w:pos="720" w:leader="none"/>
          <w:tab w:val="left" w:pos="1440" w:leader="none"/>
          <w:tab w:val="left" w:pos="2160" w:leader="none"/>
          <w:tab w:val="left" w:pos="2880" w:leader="none"/>
          <w:tab w:val="left" w:pos="8333" w:leader="none"/>
        </w:tabs>
        <w:spacing w:before="0" w:after="0"/>
        <w:ind w:left="1440" w:hanging="0"/>
        <w:contextualSpacing/>
        <w:rPr>
          <w:sz w:val="24"/>
          <w:szCs w:val="24"/>
        </w:rPr>
      </w:pPr>
      <w:r>
        <w:rPr>
          <w:sz w:val="24"/>
          <w:szCs w:val="24"/>
        </w:rPr>
        <w:t xml:space="preserve">Discussion?  </w:t>
        <w:tab/>
        <w:t>None.</w:t>
        <w:tab/>
      </w:r>
    </w:p>
    <w:p>
      <w:pPr>
        <w:pStyle w:val="Normal"/>
        <w:spacing w:before="0" w:after="0"/>
        <w:ind w:left="1440" w:hanging="0"/>
        <w:contextualSpacing/>
        <w:rPr>
          <w:sz w:val="24"/>
          <w:szCs w:val="24"/>
        </w:rPr>
      </w:pPr>
      <w:r>
        <w:rPr>
          <w:sz w:val="24"/>
          <w:szCs w:val="24"/>
        </w:rPr>
        <w:t>Vote:  Approved with unanimous consent.</w:t>
      </w:r>
    </w:p>
    <w:p>
      <w:pPr>
        <w:pStyle w:val="Normal"/>
        <w:spacing w:before="0" w:after="0"/>
        <w:ind w:left="1440" w:hanging="0"/>
        <w:contextualSpacing/>
        <w:rPr>
          <w:sz w:val="24"/>
          <w:szCs w:val="24"/>
        </w:rPr>
      </w:pPr>
      <w:r>
        <w:rPr>
          <w:sz w:val="24"/>
          <w:szCs w:val="24"/>
        </w:rPr>
      </w:r>
    </w:p>
    <w:p>
      <w:pPr>
        <w:pStyle w:val="ListParagraph"/>
        <w:numPr>
          <w:ilvl w:val="0"/>
          <w:numId w:val="6"/>
        </w:numPr>
        <w:spacing w:before="0" w:after="0"/>
        <w:contextualSpacing/>
        <w:rPr>
          <w:sz w:val="24"/>
          <w:szCs w:val="24"/>
          <w:lang w:val="en-GB"/>
        </w:rPr>
      </w:pPr>
      <w:r>
        <w:rPr>
          <w:sz w:val="24"/>
          <w:szCs w:val="24"/>
        </w:rPr>
        <w:t>Chair presented the meeting minutes from the RR-TAG Frequency Table Ad-hoc from 27 September 2022. No questions or comments.</w:t>
        <w:br/>
        <w:br/>
      </w:r>
      <w:r>
        <w:rPr>
          <w:b/>
          <w:bCs/>
          <w:sz w:val="24"/>
          <w:szCs w:val="24"/>
        </w:rPr>
        <w:t>Motion #3 (internal):</w:t>
      </w:r>
      <w:r>
        <w:rPr>
          <w:sz w:val="24"/>
          <w:szCs w:val="24"/>
        </w:rPr>
        <w:t xml:space="preserve"> To approve the meeting minutes of the 27 September 2022 IEEE 802 Wireless Standards Frequency Table ad hoc meeting as shown in the document </w:t>
      </w:r>
      <w:hyperlink r:id="rId13">
        <w:r>
          <w:rPr>
            <w:rStyle w:val="InternetLink"/>
            <w:sz w:val="24"/>
            <w:szCs w:val="24"/>
          </w:rPr>
          <w:t>18-22/0121r0</w:t>
        </w:r>
      </w:hyperlink>
      <w:r>
        <w:rPr>
          <w:sz w:val="24"/>
          <w:szCs w:val="24"/>
        </w:rPr>
        <w:t xml:space="preserve">, with editorial privilege for the 802.18 Chair. </w:t>
      </w:r>
      <w:r>
        <w:rPr>
          <w:sz w:val="24"/>
          <w:szCs w:val="24"/>
          <w:lang w:val="en-GB"/>
        </w:rPr>
        <w:br/>
      </w:r>
    </w:p>
    <w:p>
      <w:pPr>
        <w:pStyle w:val="ListParagraph"/>
        <w:spacing w:before="0" w:after="0"/>
        <w:ind w:left="1440" w:hanging="0"/>
        <w:contextualSpacing/>
        <w:rPr/>
      </w:pPr>
      <w:r>
        <w:rPr>
          <w:sz w:val="24"/>
          <w:szCs w:val="24"/>
        </w:rPr>
        <w:t>Moved by: Stuart Kerry</w:t>
        <w:br/>
        <w:t>Seconded by: Al Petrick</w:t>
        <w:br/>
        <w:t>Discussion? None</w:t>
        <w:br/>
        <w:t>Vote: Approve with unanimous consent.</w:t>
      </w:r>
      <w:r>
        <w:rPr>
          <w:b/>
          <w:bCs/>
          <w:sz w:val="24"/>
          <w:szCs w:val="24"/>
        </w:rPr>
        <w:br/>
      </w:r>
    </w:p>
    <w:p>
      <w:pPr>
        <w:pStyle w:val="ListParagraph"/>
        <w:numPr>
          <w:ilvl w:val="1"/>
          <w:numId w:val="1"/>
        </w:numPr>
        <w:spacing w:before="0" w:after="0"/>
        <w:contextualSpacing/>
        <w:rPr>
          <w:b/>
          <w:b/>
          <w:bCs/>
          <w:sz w:val="24"/>
          <w:szCs w:val="24"/>
        </w:rPr>
      </w:pPr>
      <w:r>
        <w:rPr>
          <w:b/>
          <w:bCs/>
          <w:sz w:val="24"/>
          <w:szCs w:val="24"/>
        </w:rPr>
        <w:t>Opening reports</w:t>
        <w:br/>
      </w:r>
    </w:p>
    <w:p>
      <w:pPr>
        <w:pStyle w:val="ListParagraph"/>
        <w:numPr>
          <w:ilvl w:val="2"/>
          <w:numId w:val="1"/>
        </w:numPr>
        <w:spacing w:before="0" w:after="0"/>
        <w:contextualSpacing/>
        <w:rPr/>
      </w:pPr>
      <w:r>
        <w:rPr>
          <w:b/>
          <w:bCs/>
          <w:sz w:val="24"/>
          <w:szCs w:val="24"/>
        </w:rPr>
        <w:t>Presentation of 802.18 opening report (</w:t>
      </w:r>
      <w:hyperlink r:id="rId14">
        <w:r>
          <w:rPr>
            <w:rStyle w:val="InternetLink"/>
            <w:b/>
            <w:bCs/>
            <w:sz w:val="24"/>
            <w:szCs w:val="24"/>
          </w:rPr>
          <w:t>18/23-0022r1</w:t>
        </w:r>
      </w:hyperlink>
      <w:r>
        <w:rPr>
          <w:b/>
          <w:bCs/>
          <w:sz w:val="24"/>
          <w:szCs w:val="24"/>
        </w:rPr>
        <w:t>),</w:t>
      </w:r>
      <w:r>
        <w:rPr>
          <w:sz w:val="24"/>
          <w:szCs w:val="24"/>
        </w:rPr>
        <w:t xml:space="preserve"> Edward Au (Chair)</w:t>
      </w:r>
      <w:r>
        <w:rPr>
          <w:b/>
          <w:bCs/>
          <w:sz w:val="24"/>
          <w:szCs w:val="24"/>
        </w:rPr>
        <w:br/>
        <w:br/>
      </w:r>
      <w:r>
        <w:rPr>
          <w:sz w:val="24"/>
          <w:szCs w:val="24"/>
        </w:rPr>
        <w:t>Chair presented progress since the interim meeting in January 2023.</w:t>
        <w:br/>
      </w:r>
    </w:p>
    <w:p>
      <w:pPr>
        <w:pStyle w:val="ListParagraph"/>
        <w:numPr>
          <w:ilvl w:val="2"/>
          <w:numId w:val="1"/>
        </w:numPr>
        <w:spacing w:before="0" w:after="0"/>
        <w:contextualSpacing/>
        <w:rPr/>
      </w:pPr>
      <w:r>
        <w:rPr>
          <w:b/>
          <w:bCs/>
          <w:sz w:val="24"/>
          <w:szCs w:val="24"/>
        </w:rPr>
        <w:t>Update on IEEE Spectrum Statement (ISUS) Ad-hoc</w:t>
      </w:r>
      <w:r>
        <w:rPr>
          <w:sz w:val="24"/>
          <w:szCs w:val="24"/>
        </w:rPr>
        <w:t>, Amelia Andersdotter (Ad-hoc leader)</w:t>
        <w:br/>
        <w:br/>
        <w:t>Ad-hoc leader presents updates since last meeting and announces presentation of LMSC EC letter-ballot outcome during the closing meeting of IEEE 802.18 on Thursday AM1.</w:t>
        <w:br/>
      </w:r>
    </w:p>
    <w:p>
      <w:pPr>
        <w:pStyle w:val="ListParagraph"/>
        <w:numPr>
          <w:ilvl w:val="2"/>
          <w:numId w:val="1"/>
        </w:numPr>
        <w:spacing w:before="0" w:after="0"/>
        <w:contextualSpacing/>
        <w:rPr/>
      </w:pPr>
      <w:r>
        <w:rPr>
          <w:b/>
          <w:bCs/>
          <w:sz w:val="24"/>
          <w:szCs w:val="24"/>
        </w:rPr>
        <w:t xml:space="preserve">Update on IEEE 802.18 Frequency Table Ad-hoc, </w:t>
      </w:r>
      <w:r>
        <w:rPr>
          <w:sz w:val="24"/>
          <w:szCs w:val="24"/>
        </w:rPr>
        <w:t>Edward Au (ad-hoc co-leader)</w:t>
        <w:br/>
        <w:br/>
        <w:t>Ad-hoc leader presents the conclusion of the work of the group.</w:t>
        <w:br/>
      </w:r>
    </w:p>
    <w:p>
      <w:pPr>
        <w:pStyle w:val="ListParagraph"/>
        <w:numPr>
          <w:ilvl w:val="0"/>
          <w:numId w:val="1"/>
        </w:numPr>
        <w:spacing w:before="0" w:after="0"/>
        <w:contextualSpacing/>
        <w:rPr/>
      </w:pPr>
      <w:r>
        <w:rPr>
          <w:b/>
          <w:bCs/>
          <w:sz w:val="24"/>
          <w:szCs w:val="24"/>
        </w:rPr>
        <w:t>Status of ongoing consultations and TAG documents for approval (</w:t>
      </w:r>
      <w:hyperlink r:id="rId15">
        <w:r>
          <w:rPr>
            <w:rStyle w:val="InternetLink"/>
            <w:b/>
            <w:bCs/>
            <w:sz w:val="24"/>
            <w:szCs w:val="24"/>
          </w:rPr>
          <w:t>18/22-0035r63</w:t>
        </w:r>
      </w:hyperlink>
      <w:r>
        <w:rPr>
          <w:b/>
          <w:bCs/>
          <w:sz w:val="24"/>
          <w:szCs w:val="24"/>
        </w:rPr>
        <w:t xml:space="preserve">), </w:t>
      </w:r>
      <w:r>
        <w:rPr>
          <w:sz w:val="24"/>
          <w:szCs w:val="24"/>
        </w:rPr>
        <w:t>Edward Au (Chair)</w:t>
      </w:r>
      <w:r>
        <w:rPr>
          <w:b/>
          <w:bCs/>
          <w:sz w:val="24"/>
          <w:szCs w:val="24"/>
        </w:rPr>
        <w:br/>
        <w:br/>
      </w:r>
      <w:r>
        <w:rPr>
          <w:sz w:val="24"/>
          <w:szCs w:val="24"/>
        </w:rPr>
        <w:t>Chair presents updates since the last weekly teleconference on 23 February 2023.</w:t>
        <w:br/>
      </w:r>
    </w:p>
    <w:p>
      <w:pPr>
        <w:pStyle w:val="ListParagraph"/>
        <w:numPr>
          <w:ilvl w:val="1"/>
          <w:numId w:val="1"/>
        </w:numPr>
        <w:spacing w:before="0" w:after="0"/>
        <w:contextualSpacing/>
        <w:rPr/>
      </w:pPr>
      <w:r>
        <w:rPr>
          <w:b/>
          <w:bCs/>
          <w:sz w:val="24"/>
          <w:szCs w:val="24"/>
        </w:rPr>
        <w:t>Presentation of EU RSPG consultation on spectrum policy to combat climate change</w:t>
        <w:br/>
        <w:br/>
      </w:r>
      <w:r>
        <w:rPr>
          <w:sz w:val="24"/>
          <w:szCs w:val="24"/>
        </w:rPr>
        <w:t xml:space="preserve">Chair presents previous work by EU RSPG, EU BEREC and French ARCEP. </w:t>
        <w:br/>
        <w:br/>
      </w:r>
      <w:r>
        <w:rPr>
          <w:b/>
          <w:bCs/>
          <w:sz w:val="24"/>
          <w:szCs w:val="24"/>
        </w:rPr>
        <w:t>C:</w:t>
      </w:r>
      <w:r>
        <w:rPr>
          <w:sz w:val="24"/>
          <w:szCs w:val="24"/>
        </w:rPr>
        <w:t xml:space="preserve"> Many technological advances in wireless technologies are not oriented towards higher through-put. Energy-efficiency is important in IEEE 802.15 because the environments where the technologies are deployed are low-power, low-data-volume, long-life time environments. RFID tags, sensors and energy-harvesting transmit-only devices have already been around for more than a decade. Joules per gigabit may not be a meaningful metric for some of these technologies, since the data volume they need is so low. We should raise awareness around the diversity of wireless technology use-cases. One reason to enter this discussion is to make sure we have a meaningful collection of metrics for different use-cases.</w:t>
        <w:br/>
      </w:r>
      <w:r>
        <w:rPr>
          <w:b/>
          <w:bCs/>
          <w:sz w:val="24"/>
          <w:szCs w:val="24"/>
        </w:rPr>
        <w:t>Chair:</w:t>
      </w:r>
      <w:r>
        <w:rPr>
          <w:sz w:val="24"/>
          <w:szCs w:val="24"/>
        </w:rPr>
        <w:t xml:space="preserve"> If we get contact points in each working group that can help synthesize ongoing work from each wireless technology into one document.</w:t>
        <w:br/>
      </w:r>
      <w:r>
        <w:rPr>
          <w:b/>
          <w:bCs/>
          <w:sz w:val="24"/>
          <w:szCs w:val="24"/>
        </w:rPr>
        <w:t>C:</w:t>
      </w:r>
      <w:r>
        <w:rPr>
          <w:sz w:val="24"/>
          <w:szCs w:val="24"/>
        </w:rPr>
        <w:t xml:space="preserve"> We could also emphasize that battery-driven devices have different power constraints. We could suggest that a technology being friendly to reusable batteries is a suitable metric for some use-cases, for instance. Or recyclable batteries. We should in either case discuss the toolbox of metrics that we make accessible to regulators around the world.</w:t>
        <w:br/>
      </w:r>
      <w:r>
        <w:rPr>
          <w:b/>
          <w:bCs/>
          <w:sz w:val="24"/>
          <w:szCs w:val="24"/>
        </w:rPr>
        <w:t>C:</w:t>
      </w:r>
      <w:r>
        <w:rPr>
          <w:sz w:val="24"/>
          <w:szCs w:val="24"/>
        </w:rPr>
        <w:t xml:space="preserve"> It’s strategically important to produce a response to this consultation, and not let this opportunity to position our technologies in the discussion.</w:t>
        <w:br/>
      </w:r>
    </w:p>
    <w:p>
      <w:pPr>
        <w:pStyle w:val="ListParagraph"/>
        <w:numPr>
          <w:ilvl w:val="1"/>
          <w:numId w:val="1"/>
        </w:numPr>
        <w:spacing w:before="0" w:after="0"/>
        <w:contextualSpacing/>
        <w:rPr/>
      </w:pPr>
      <w:r>
        <w:rPr>
          <w:b/>
          <w:bCs/>
          <w:sz w:val="24"/>
          <w:szCs w:val="24"/>
        </w:rPr>
        <w:t>Report 84 from CEPT on permanent mandate for UWB</w:t>
        <w:br/>
        <w:br/>
      </w:r>
      <w:r>
        <w:rPr>
          <w:sz w:val="24"/>
          <w:szCs w:val="24"/>
        </w:rPr>
        <w:t>Chair presents the contents of the report to the group.</w:t>
        <w:br/>
      </w:r>
    </w:p>
    <w:p>
      <w:pPr>
        <w:pStyle w:val="ListParagraph"/>
        <w:numPr>
          <w:ilvl w:val="1"/>
          <w:numId w:val="1"/>
        </w:numPr>
        <w:spacing w:before="0" w:after="0"/>
        <w:contextualSpacing/>
        <w:rPr/>
      </w:pPr>
      <w:r>
        <w:rPr>
          <w:b/>
          <w:bCs/>
          <w:sz w:val="24"/>
          <w:szCs w:val="24"/>
        </w:rPr>
        <w:t>European Commission exploratory consultation on the future of electronics communications infrastructure</w:t>
        <w:br/>
        <w:br/>
      </w:r>
      <w:r>
        <w:rPr>
          <w:sz w:val="24"/>
          <w:szCs w:val="24"/>
        </w:rPr>
        <w:t>Chair presents the consultation to the group.</w:t>
        <w:br/>
      </w:r>
    </w:p>
    <w:p>
      <w:pPr>
        <w:pStyle w:val="ListParagraph"/>
        <w:numPr>
          <w:ilvl w:val="0"/>
          <w:numId w:val="1"/>
        </w:numPr>
        <w:spacing w:before="0" w:after="0"/>
        <w:contextualSpacing/>
        <w:rPr/>
      </w:pPr>
      <w:r>
        <w:rPr>
          <w:b/>
          <w:bCs/>
          <w:sz w:val="24"/>
          <w:szCs w:val="24"/>
        </w:rPr>
        <w:t xml:space="preserve">Proposed reply to Liaison Statement on the Formation of the ETSI ISG THz </w:t>
      </w:r>
      <w:r>
        <w:rPr>
          <w:sz w:val="24"/>
          <w:szCs w:val="24"/>
        </w:rPr>
        <w:t xml:space="preserve">(draft response: </w:t>
      </w:r>
      <w:hyperlink r:id="rId16">
        <w:r>
          <w:rPr>
            <w:rStyle w:val="InternetLink"/>
            <w:sz w:val="24"/>
            <w:szCs w:val="24"/>
          </w:rPr>
          <w:t>15/23-0134r0</w:t>
        </w:r>
      </w:hyperlink>
      <w:r>
        <w:rPr>
          <w:sz w:val="24"/>
          <w:szCs w:val="24"/>
        </w:rPr>
        <w:t xml:space="preserve">, original liaison: </w:t>
      </w:r>
      <w:hyperlink r:id="rId17">
        <w:r>
          <w:rPr>
            <w:rStyle w:val="InternetLink"/>
            <w:sz w:val="24"/>
            <w:szCs w:val="24"/>
          </w:rPr>
          <w:t>18/23-0024r0</w:t>
        </w:r>
      </w:hyperlink>
      <w:r>
        <w:rPr>
          <w:sz w:val="24"/>
          <w:szCs w:val="24"/>
        </w:rPr>
        <w:t>), Thomas Kuerner (TU Braunschweig)</w:t>
        <w:br/>
        <w:br/>
        <w:t>The proposed reply is presented to the group.</w:t>
        <w:br/>
        <w:br/>
      </w:r>
      <w:r>
        <w:rPr>
          <w:b/>
          <w:bCs/>
          <w:sz w:val="24"/>
          <w:szCs w:val="24"/>
        </w:rPr>
        <w:t>C:</w:t>
      </w:r>
      <w:r>
        <w:rPr>
          <w:sz w:val="24"/>
          <w:szCs w:val="24"/>
        </w:rPr>
        <w:t xml:space="preserve"> If we propose to provide a revised channel plan, what would be required for it to be listed?</w:t>
        <w:br/>
      </w:r>
      <w:r>
        <w:rPr>
          <w:b/>
          <w:bCs/>
          <w:sz w:val="24"/>
          <w:szCs w:val="24"/>
        </w:rPr>
        <w:t>C:</w:t>
      </w:r>
      <w:r>
        <w:rPr>
          <w:sz w:val="24"/>
          <w:szCs w:val="24"/>
        </w:rPr>
        <w:t xml:space="preserve"> It would need to be listed and available, not necessarily free of charge but to a broader audience.</w:t>
        <w:br/>
        <w:t>Chair: With this information we will await a final version of the liaison response, and we can put it into a template that we motion during the Thursday session for submission to ETSI ISG THz.</w:t>
        <w:br/>
      </w:r>
    </w:p>
    <w:p>
      <w:pPr>
        <w:pStyle w:val="ListParagraph"/>
        <w:numPr>
          <w:ilvl w:val="0"/>
          <w:numId w:val="1"/>
        </w:numPr>
        <w:spacing w:before="0" w:after="0"/>
        <w:contextualSpacing/>
        <w:rPr>
          <w:b/>
          <w:b/>
          <w:bCs/>
          <w:sz w:val="24"/>
          <w:szCs w:val="24"/>
        </w:rPr>
      </w:pPr>
      <w:r>
        <w:rPr>
          <w:b/>
          <w:bCs/>
          <w:sz w:val="24"/>
          <w:szCs w:val="24"/>
        </w:rPr>
        <w:t>Any other business</w:t>
        <w:br/>
      </w:r>
    </w:p>
    <w:p>
      <w:pPr>
        <w:pStyle w:val="ListParagraph"/>
        <w:numPr>
          <w:ilvl w:val="1"/>
          <w:numId w:val="1"/>
        </w:numPr>
        <w:spacing w:before="0" w:after="0"/>
        <w:contextualSpacing/>
        <w:rPr/>
      </w:pPr>
      <w:r>
        <w:rPr>
          <w:b/>
          <w:bCs/>
          <w:sz w:val="24"/>
          <w:szCs w:val="24"/>
        </w:rPr>
        <w:t xml:space="preserve">Update from ETSI/BRAN, </w:t>
      </w:r>
      <w:r>
        <w:rPr>
          <w:sz w:val="24"/>
          <w:szCs w:val="24"/>
        </w:rPr>
        <w:t>Guido Hiertz (ETSI BRAN Chair, Ericsson)</w:t>
        <w:br/>
        <w:br/>
        <w:t xml:space="preserve">The goal for the last meeting was to send all ongoing harmonized standards to ENAP. This goal was not met. </w:t>
        <w:br/>
        <w:br/>
        <w:t>The 6 GHz HS was sent to a second ENAP rather than recirculation. This is due to a procedural issue where recirculation is not possible if non-ENAP comments have been addressed following the first ENAP.</w:t>
        <w:br/>
        <w:br/>
        <w:t>There was no advancement on resolving the remaining assessment comments on 5 GHz HS. Energy detection thresholds continues to be a controversy.</w:t>
        <w:br/>
        <w:br/>
        <w:t>The European Commission presented their findings on DFS and radar for 5 GHz equipment on the market. It addressed, among other things, the efficiency of current enforcement of those standards that are already approved.</w:t>
        <w:br/>
        <w:br/>
        <w:t>There is an ongoing exchange on interference with radar technologies, especially in those cases where IEEE 802.11 may have low energy detection thresholds. Individuals that are interested in working on these topics are invited to get in touch with Guido.</w:t>
        <w:br/>
        <w:br/>
        <w:t xml:space="preserve">For a reminder of the role of the assessment in the ETSI harmonized standard development and adoption procedure, please refer to minutes contained in document </w:t>
      </w:r>
      <w:hyperlink r:id="rId18">
        <w:r>
          <w:rPr>
            <w:rStyle w:val="InternetLink"/>
            <w:sz w:val="24"/>
            <w:szCs w:val="24"/>
          </w:rPr>
          <w:t>18-22-0161r0</w:t>
        </w:r>
      </w:hyperlink>
      <w:r>
        <w:rPr>
          <w:sz w:val="24"/>
          <w:szCs w:val="24"/>
        </w:rPr>
        <w:t>.</w:t>
      </w:r>
      <w:r>
        <w:rPr>
          <w:b/>
          <w:sz w:val="24"/>
          <w:szCs w:val="24"/>
        </w:rPr>
        <w:br/>
      </w:r>
    </w:p>
    <w:p>
      <w:pPr>
        <w:pStyle w:val="ListParagraph"/>
        <w:numPr>
          <w:ilvl w:val="1"/>
          <w:numId w:val="1"/>
        </w:numPr>
        <w:spacing w:before="0" w:after="0"/>
        <w:contextualSpacing/>
        <w:rPr>
          <w:b/>
          <w:b/>
          <w:sz w:val="24"/>
          <w:szCs w:val="24"/>
        </w:rPr>
      </w:pPr>
      <w:r>
        <w:rPr>
          <w:b/>
          <w:sz w:val="24"/>
          <w:szCs w:val="24"/>
        </w:rPr>
        <w:t>Recess at 12:12 pm local time</w:t>
        <w:br/>
      </w:r>
    </w:p>
    <w:p>
      <w:pPr>
        <w:pStyle w:val="Normal"/>
        <w:spacing w:before="0" w:after="0"/>
        <w:ind w:left="360" w:hanging="0"/>
        <w:contextualSpacing/>
        <w:rPr/>
      </w:pPr>
      <w:r>
        <w:rPr>
          <w:b/>
          <w:sz w:val="24"/>
          <w:szCs w:val="24"/>
        </w:rPr>
        <w:br/>
      </w:r>
      <w:r>
        <w:rPr>
          <w:b/>
          <w:sz w:val="30"/>
          <w:szCs w:val="30"/>
          <w:u w:val="single"/>
        </w:rPr>
        <w:t>Closing meeting</w:t>
        <w:br/>
      </w:r>
    </w:p>
    <w:p>
      <w:pPr>
        <w:pStyle w:val="ListParagraph"/>
        <w:numPr>
          <w:ilvl w:val="0"/>
          <w:numId w:val="1"/>
        </w:numPr>
        <w:spacing w:before="0" w:after="0"/>
        <w:contextualSpacing/>
        <w:rPr>
          <w:b/>
          <w:b/>
          <w:bCs/>
          <w:sz w:val="24"/>
          <w:szCs w:val="24"/>
        </w:rPr>
      </w:pPr>
      <w:r>
        <w:rPr>
          <w:b/>
          <w:bCs/>
          <w:sz w:val="24"/>
          <w:szCs w:val="24"/>
        </w:rPr>
        <w:t>Opening formalities</w:t>
        <w:br/>
      </w:r>
    </w:p>
    <w:p>
      <w:pPr>
        <w:pStyle w:val="ListParagraph"/>
        <w:numPr>
          <w:ilvl w:val="1"/>
          <w:numId w:val="1"/>
        </w:numPr>
        <w:spacing w:before="0" w:after="0"/>
        <w:contextualSpacing/>
        <w:rPr/>
      </w:pPr>
      <w:r>
        <w:rPr>
          <w:sz w:val="24"/>
          <w:szCs w:val="24"/>
        </w:rPr>
        <w:t>Chair calls meeting to order at 08:01 local time. Quorum is declared.</w:t>
      </w:r>
      <w:r>
        <w:rPr>
          <w:b/>
          <w:bCs/>
          <w:sz w:val="24"/>
          <w:szCs w:val="24"/>
        </w:rPr>
        <w:br/>
        <w:br/>
      </w:r>
      <w:r>
        <w:rPr>
          <w:sz w:val="24"/>
          <w:szCs w:val="24"/>
        </w:rPr>
        <w:t xml:space="preserve">Agenda slide deck </w:t>
      </w:r>
      <w:hyperlink r:id="rId19">
        <w:r>
          <w:rPr>
            <w:rStyle w:val="InternetLink"/>
            <w:sz w:val="24"/>
            <w:szCs w:val="21"/>
          </w:rPr>
          <w:t>18/23-0020r5</w:t>
        </w:r>
      </w:hyperlink>
      <w:r>
        <w:rPr>
          <w:sz w:val="24"/>
          <w:szCs w:val="21"/>
        </w:rPr>
        <w:t xml:space="preserve"> with supplementary materials in </w:t>
      </w:r>
      <w:hyperlink r:id="rId20">
        <w:r>
          <w:rPr>
            <w:rStyle w:val="InternetLink"/>
            <w:sz w:val="24"/>
            <w:szCs w:val="21"/>
          </w:rPr>
          <w:t>18/23-0021r6</w:t>
        </w:r>
      </w:hyperlink>
      <w:r>
        <w:rPr>
          <w:sz w:val="24"/>
          <w:szCs w:val="21"/>
        </w:rPr>
        <w:t>.</w:t>
        <w:br/>
        <w:t xml:space="preserve"> </w:t>
      </w:r>
    </w:p>
    <w:p>
      <w:pPr>
        <w:pStyle w:val="ListParagraph"/>
        <w:numPr>
          <w:ilvl w:val="1"/>
          <w:numId w:val="1"/>
        </w:numPr>
        <w:spacing w:before="0" w:after="0"/>
        <w:contextualSpacing/>
        <w:rPr>
          <w:sz w:val="24"/>
          <w:szCs w:val="21"/>
        </w:rPr>
      </w:pPr>
      <w:r>
        <w:rPr>
          <w:sz w:val="24"/>
          <w:szCs w:val="21"/>
        </w:rPr>
        <w:t>Officer introduction.</w:t>
      </w:r>
    </w:p>
    <w:p>
      <w:pPr>
        <w:pStyle w:val="ListParagraph"/>
        <w:numPr>
          <w:ilvl w:val="1"/>
          <w:numId w:val="1"/>
        </w:numPr>
        <w:spacing w:before="0" w:after="0"/>
        <w:contextualSpacing/>
        <w:rPr>
          <w:sz w:val="24"/>
          <w:szCs w:val="21"/>
        </w:rPr>
      </w:pPr>
      <w:r>
        <w:rPr>
          <w:sz w:val="24"/>
          <w:szCs w:val="21"/>
        </w:rPr>
        <w:t>Reminder of registration fee was presented.</w:t>
      </w:r>
    </w:p>
    <w:p>
      <w:pPr>
        <w:pStyle w:val="ListParagraph"/>
        <w:numPr>
          <w:ilvl w:val="1"/>
          <w:numId w:val="1"/>
        </w:numPr>
        <w:spacing w:before="0" w:after="0"/>
        <w:contextualSpacing/>
        <w:rPr>
          <w:sz w:val="24"/>
          <w:szCs w:val="24"/>
        </w:rPr>
      </w:pPr>
      <w:r>
        <w:rPr>
          <w:sz w:val="24"/>
          <w:szCs w:val="21"/>
        </w:rPr>
        <w:t xml:space="preserve">Agenda review (see slide deck para 7.i). </w:t>
      </w:r>
      <w:r>
        <w:rPr>
          <w:sz w:val="24"/>
          <w:szCs w:val="24"/>
        </w:rPr>
        <w:br/>
      </w:r>
    </w:p>
    <w:p>
      <w:pPr>
        <w:pStyle w:val="ListParagraph"/>
        <w:spacing w:before="0" w:after="0"/>
        <w:contextualSpacing/>
        <w:rPr/>
      </w:pPr>
      <w:r>
        <w:rPr>
          <w:b/>
          <w:bCs/>
          <w:sz w:val="24"/>
          <w:szCs w:val="24"/>
        </w:rPr>
        <w:t xml:space="preserve">Motion #4 (internal): </w:t>
      </w:r>
      <w:r>
        <w:rPr>
          <w:sz w:val="24"/>
          <w:szCs w:val="24"/>
        </w:rPr>
        <w:t>To approve the agenda as shown in deck 18-23/0020r5</w:t>
      </w:r>
    </w:p>
    <w:p>
      <w:pPr>
        <w:pStyle w:val="Normal"/>
        <w:spacing w:before="0" w:after="0"/>
        <w:ind w:left="1440" w:hanging="0"/>
        <w:contextualSpacing/>
        <w:rPr>
          <w:sz w:val="24"/>
          <w:szCs w:val="24"/>
        </w:rPr>
      </w:pPr>
      <w:r>
        <w:rPr>
          <w:sz w:val="24"/>
          <w:szCs w:val="24"/>
        </w:rPr>
        <w:t>Moved by:</w:t>
        <w:tab/>
        <w:t>Stuart Kerry</w:t>
      </w:r>
    </w:p>
    <w:p>
      <w:pPr>
        <w:pStyle w:val="Normal"/>
        <w:spacing w:before="0" w:after="0"/>
        <w:ind w:left="1440" w:hanging="0"/>
        <w:contextualSpacing/>
        <w:rPr>
          <w:sz w:val="24"/>
          <w:szCs w:val="24"/>
        </w:rPr>
      </w:pPr>
      <w:r>
        <w:rPr>
          <w:sz w:val="24"/>
          <w:szCs w:val="24"/>
        </w:rPr>
        <w:t xml:space="preserve">Seconded by: </w:t>
        <w:tab/>
        <w:t>Al Petrick</w:t>
      </w:r>
    </w:p>
    <w:p>
      <w:pPr>
        <w:pStyle w:val="Normal"/>
        <w:spacing w:before="0" w:after="0"/>
        <w:ind w:left="1440" w:hanging="0"/>
        <w:contextualSpacing/>
        <w:rPr>
          <w:sz w:val="24"/>
          <w:szCs w:val="24"/>
        </w:rPr>
      </w:pPr>
      <w:r>
        <w:rPr>
          <w:sz w:val="24"/>
          <w:szCs w:val="24"/>
        </w:rPr>
        <w:t xml:space="preserve">Discussion?  </w:t>
        <w:tab/>
        <w:t>None</w:t>
      </w:r>
    </w:p>
    <w:p>
      <w:pPr>
        <w:pStyle w:val="Normal"/>
        <w:spacing w:before="0" w:after="0"/>
        <w:ind w:left="1440" w:hanging="0"/>
        <w:contextualSpacing/>
        <w:rPr>
          <w:sz w:val="24"/>
          <w:szCs w:val="24"/>
        </w:rPr>
      </w:pPr>
      <w:r>
        <w:rPr>
          <w:sz w:val="24"/>
          <w:szCs w:val="24"/>
        </w:rPr>
        <w:t>Vote:  Approved with unanimous consent</w:t>
        <w:br/>
      </w:r>
    </w:p>
    <w:p>
      <w:pPr>
        <w:pStyle w:val="Normal"/>
        <w:numPr>
          <w:ilvl w:val="0"/>
          <w:numId w:val="1"/>
        </w:numPr>
        <w:spacing w:before="0" w:after="0"/>
        <w:ind w:left="0" w:hanging="0"/>
        <w:contextualSpacing/>
        <w:rPr>
          <w:b/>
          <w:b/>
          <w:bCs/>
          <w:sz w:val="24"/>
          <w:szCs w:val="24"/>
        </w:rPr>
      </w:pPr>
      <w:r>
        <w:rPr>
          <w:b/>
          <w:bCs/>
          <w:sz w:val="24"/>
          <w:szCs w:val="24"/>
        </w:rPr>
        <w:t>Policies and procedures</w:t>
      </w:r>
    </w:p>
    <w:p>
      <w:pPr>
        <w:pStyle w:val="Normal"/>
        <w:numPr>
          <w:ilvl w:val="1"/>
          <w:numId w:val="1"/>
        </w:numPr>
        <w:spacing w:before="0" w:after="0"/>
        <w:contextualSpacing/>
        <w:rPr>
          <w:sz w:val="24"/>
          <w:szCs w:val="24"/>
        </w:rPr>
      </w:pPr>
      <w:r>
        <w:rPr>
          <w:sz w:val="24"/>
          <w:szCs w:val="24"/>
        </w:rPr>
        <w:t>IEEE 802 required notices</w:t>
      </w:r>
    </w:p>
    <w:p>
      <w:pPr>
        <w:pStyle w:val="Normal"/>
        <w:numPr>
          <w:ilvl w:val="2"/>
          <w:numId w:val="1"/>
        </w:numPr>
        <w:spacing w:before="0" w:after="0"/>
        <w:contextualSpacing/>
        <w:rPr>
          <w:sz w:val="24"/>
          <w:szCs w:val="24"/>
        </w:rPr>
      </w:pPr>
      <w:r>
        <w:rPr>
          <w:sz w:val="24"/>
          <w:szCs w:val="24"/>
        </w:rPr>
        <w:t>Declaration of affiliation</w:t>
      </w:r>
    </w:p>
    <w:p>
      <w:pPr>
        <w:pStyle w:val="Normal"/>
        <w:numPr>
          <w:ilvl w:val="2"/>
          <w:numId w:val="1"/>
        </w:numPr>
        <w:spacing w:before="0" w:after="0"/>
        <w:contextualSpacing/>
        <w:rPr>
          <w:sz w:val="24"/>
          <w:szCs w:val="24"/>
        </w:rPr>
      </w:pPr>
      <w:r>
        <w:rPr>
          <w:sz w:val="24"/>
          <w:szCs w:val="24"/>
        </w:rPr>
        <w:t>Anti-trust notices</w:t>
      </w:r>
    </w:p>
    <w:p>
      <w:pPr>
        <w:pStyle w:val="Normal"/>
        <w:numPr>
          <w:ilvl w:val="2"/>
          <w:numId w:val="1"/>
        </w:numPr>
        <w:spacing w:before="0" w:after="0"/>
        <w:contextualSpacing/>
        <w:rPr>
          <w:sz w:val="24"/>
          <w:szCs w:val="24"/>
        </w:rPr>
      </w:pPr>
      <w:r>
        <w:rPr>
          <w:sz w:val="24"/>
          <w:szCs w:val="24"/>
        </w:rPr>
        <w:t>IEEE 802 WG policies and procedures</w:t>
      </w:r>
    </w:p>
    <w:p>
      <w:pPr>
        <w:pStyle w:val="Normal"/>
        <w:numPr>
          <w:ilvl w:val="1"/>
          <w:numId w:val="1"/>
        </w:numPr>
        <w:spacing w:before="0" w:after="0"/>
        <w:contextualSpacing/>
        <w:rPr>
          <w:sz w:val="24"/>
          <w:szCs w:val="24"/>
        </w:rPr>
      </w:pPr>
      <w:r>
        <w:rPr>
          <w:sz w:val="24"/>
          <w:szCs w:val="24"/>
        </w:rPr>
        <w:t>Guidelines for IEEE SA meetings were introduced.</w:t>
      </w:r>
    </w:p>
    <w:p>
      <w:pPr>
        <w:pStyle w:val="Normal"/>
        <w:numPr>
          <w:ilvl w:val="2"/>
          <w:numId w:val="1"/>
        </w:numPr>
        <w:spacing w:before="0" w:after="0"/>
        <w:contextualSpacing/>
        <w:rPr>
          <w:sz w:val="24"/>
          <w:szCs w:val="24"/>
        </w:rPr>
      </w:pPr>
      <w:r>
        <w:rPr>
          <w:sz w:val="24"/>
          <w:szCs w:val="24"/>
        </w:rPr>
        <w:t>Reminder to object when inappropriate topics are discussed</w:t>
      </w:r>
    </w:p>
    <w:p>
      <w:pPr>
        <w:pStyle w:val="Normal"/>
        <w:numPr>
          <w:ilvl w:val="2"/>
          <w:numId w:val="1"/>
        </w:numPr>
        <w:spacing w:before="0" w:after="0"/>
        <w:contextualSpacing/>
        <w:rPr>
          <w:sz w:val="24"/>
          <w:szCs w:val="24"/>
        </w:rPr>
      </w:pPr>
      <w:r>
        <w:rPr>
          <w:sz w:val="24"/>
          <w:szCs w:val="24"/>
        </w:rPr>
        <w:t>IEEE 802 Code of Conduct and Code of Ethics were introduced.</w:t>
      </w:r>
    </w:p>
    <w:p>
      <w:pPr>
        <w:pStyle w:val="Normal"/>
        <w:numPr>
          <w:ilvl w:val="2"/>
          <w:numId w:val="1"/>
        </w:numPr>
        <w:spacing w:before="0" w:after="0"/>
        <w:contextualSpacing/>
        <w:rPr>
          <w:sz w:val="24"/>
          <w:szCs w:val="24"/>
        </w:rPr>
      </w:pPr>
      <w:r>
        <w:rPr>
          <w:sz w:val="24"/>
          <w:szCs w:val="24"/>
        </w:rPr>
        <w:t>Reminder of the IEEE SA individual process applied in IEEE 802 Committee.</w:t>
      </w:r>
    </w:p>
    <w:p>
      <w:pPr>
        <w:pStyle w:val="Normal"/>
        <w:numPr>
          <w:ilvl w:val="2"/>
          <w:numId w:val="1"/>
        </w:numPr>
        <w:spacing w:before="0" w:after="0"/>
        <w:contextualSpacing/>
        <w:rPr>
          <w:sz w:val="24"/>
          <w:szCs w:val="24"/>
        </w:rPr>
      </w:pPr>
      <w:r>
        <w:rPr>
          <w:sz w:val="24"/>
          <w:szCs w:val="24"/>
        </w:rPr>
        <w:t>Reminder of IEEE SA board bylaws specifying fair and equitable consideration of all viewpoints.</w:t>
        <w:br/>
      </w:r>
    </w:p>
    <w:p>
      <w:pPr>
        <w:pStyle w:val="Normal"/>
        <w:spacing w:before="0" w:after="0"/>
        <w:ind w:left="720" w:hanging="0"/>
        <w:contextualSpacing/>
        <w:rPr>
          <w:sz w:val="24"/>
          <w:szCs w:val="24"/>
        </w:rPr>
      </w:pPr>
      <w:r>
        <w:rPr>
          <w:sz w:val="24"/>
          <w:szCs w:val="24"/>
        </w:rPr>
        <w:t>For links to relevant documents see para 2. above or consult the supplementary chair materials contained in document 18/23-0021r6 (linked under para. 7). Chair asked for comments, questions or concerns. None reported.</w:t>
        <w:br/>
      </w:r>
    </w:p>
    <w:p>
      <w:pPr>
        <w:pStyle w:val="Normal"/>
        <w:numPr>
          <w:ilvl w:val="1"/>
          <w:numId w:val="1"/>
        </w:numPr>
        <w:spacing w:before="0" w:after="0"/>
        <w:contextualSpacing/>
        <w:rPr>
          <w:sz w:val="24"/>
          <w:szCs w:val="24"/>
        </w:rPr>
      </w:pPr>
      <w:r>
        <w:rPr>
          <w:sz w:val="24"/>
          <w:szCs w:val="24"/>
        </w:rPr>
        <w:t>Reminder of housekeeping and meeting decorum.</w:t>
        <w:br/>
      </w:r>
    </w:p>
    <w:p>
      <w:pPr>
        <w:pStyle w:val="Normal"/>
        <w:numPr>
          <w:ilvl w:val="0"/>
          <w:numId w:val="1"/>
        </w:numPr>
        <w:spacing w:before="0" w:after="0"/>
        <w:ind w:left="0" w:hanging="0"/>
        <w:contextualSpacing/>
        <w:rPr/>
      </w:pPr>
      <w:r>
        <w:rPr>
          <w:b/>
          <w:bCs/>
          <w:sz w:val="24"/>
          <w:szCs w:val="24"/>
        </w:rPr>
        <w:t xml:space="preserve">Proposed response of IEEE 802 to Liaison statement from ETSI ISG THz </w:t>
      </w:r>
      <w:r>
        <w:rPr>
          <w:sz w:val="24"/>
          <w:szCs w:val="24"/>
        </w:rPr>
        <w:t>(</w:t>
      </w:r>
      <w:hyperlink r:id="rId21">
        <w:r>
          <w:rPr>
            <w:rStyle w:val="InternetLink"/>
            <w:sz w:val="24"/>
            <w:szCs w:val="24"/>
          </w:rPr>
          <w:t>18/23-0032r0</w:t>
        </w:r>
      </w:hyperlink>
      <w:r>
        <w:rPr>
          <w:sz w:val="24"/>
          <w:szCs w:val="24"/>
        </w:rPr>
        <w:t>), Thomas Kuerner (TU Braunschweig)</w:t>
      </w:r>
      <w:r>
        <w:rPr>
          <w:b/>
          <w:bCs/>
          <w:sz w:val="24"/>
          <w:szCs w:val="24"/>
        </w:rPr>
        <w:br/>
        <w:br/>
      </w:r>
      <w:r>
        <w:rPr>
          <w:sz w:val="24"/>
          <w:szCs w:val="24"/>
        </w:rPr>
        <w:t>Document was presented. See para 5. above for discussion.</w:t>
        <w:br/>
      </w:r>
    </w:p>
    <w:p>
      <w:pPr>
        <w:pStyle w:val="Normal"/>
        <w:numPr>
          <w:ilvl w:val="1"/>
          <w:numId w:val="1"/>
        </w:numPr>
        <w:spacing w:before="0" w:after="0"/>
        <w:contextualSpacing/>
        <w:rPr/>
      </w:pPr>
      <w:r>
        <w:rPr>
          <w:b/>
          <w:bCs/>
          <w:sz w:val="24"/>
          <w:szCs w:val="24"/>
        </w:rPr>
        <w:t xml:space="preserve">Motion 5 (external): </w:t>
      </w:r>
      <w:r>
        <w:rPr>
          <w:sz w:val="24"/>
          <w:szCs w:val="24"/>
        </w:rPr>
        <w:t>Move to approve document 18-23/0032r0 in response to the liaison from ETSI on the formation of a new ETSI ISG for Terahertz Communications for review and approval by the IEEE 802 LMSC for submission to ETSI. The IEEE 802.18 Chair is authorized to make editorial changes as necessary.</w:t>
        <w:br/>
      </w:r>
      <w:r>
        <w:rPr>
          <w:b/>
          <w:bCs/>
          <w:sz w:val="24"/>
          <w:szCs w:val="24"/>
        </w:rPr>
        <w:br/>
        <w:t xml:space="preserve">Moved: </w:t>
      </w:r>
      <w:r>
        <w:rPr>
          <w:sz w:val="24"/>
          <w:szCs w:val="24"/>
        </w:rPr>
        <w:t>Thomas Kurner</w:t>
      </w:r>
    </w:p>
    <w:p>
      <w:pPr>
        <w:pStyle w:val="Normal"/>
        <w:spacing w:before="0" w:after="0"/>
        <w:ind w:left="720" w:hanging="0"/>
        <w:contextualSpacing/>
        <w:rPr/>
      </w:pPr>
      <w:r>
        <w:rPr>
          <w:b/>
          <w:bCs/>
          <w:sz w:val="24"/>
          <w:szCs w:val="24"/>
        </w:rPr>
        <w:t xml:space="preserve">Seconded: </w:t>
      </w:r>
      <w:r>
        <w:rPr>
          <w:sz w:val="24"/>
          <w:szCs w:val="24"/>
        </w:rPr>
        <w:t>Tuncer Baykas</w:t>
      </w:r>
      <w:r>
        <w:rPr>
          <w:b/>
          <w:bCs/>
          <w:sz w:val="24"/>
          <w:szCs w:val="24"/>
        </w:rPr>
        <w:br/>
        <w:t xml:space="preserve">Discussion: </w:t>
      </w:r>
      <w:r>
        <w:rPr>
          <w:sz w:val="24"/>
          <w:szCs w:val="24"/>
        </w:rPr>
        <w:t>None.</w:t>
      </w:r>
      <w:r>
        <w:rPr>
          <w:b/>
          <w:bCs/>
          <w:sz w:val="24"/>
          <w:szCs w:val="24"/>
        </w:rPr>
        <w:br/>
        <w:t xml:space="preserve">Attendees: </w:t>
      </w:r>
      <w:r>
        <w:rPr>
          <w:sz w:val="24"/>
          <w:szCs w:val="24"/>
        </w:rPr>
        <w:t>26</w:t>
      </w:r>
      <w:r>
        <w:rPr>
          <w:b/>
          <w:bCs/>
          <w:sz w:val="24"/>
          <w:szCs w:val="24"/>
        </w:rPr>
        <w:br/>
        <w:t xml:space="preserve">Voters: </w:t>
      </w:r>
      <w:r>
        <w:rPr>
          <w:sz w:val="24"/>
          <w:szCs w:val="24"/>
        </w:rPr>
        <w:t>23</w:t>
      </w:r>
      <w:r>
        <w:rPr>
          <w:b/>
          <w:bCs/>
          <w:sz w:val="24"/>
          <w:szCs w:val="24"/>
        </w:rPr>
        <w:br/>
        <w:t xml:space="preserve">Result: </w:t>
      </w:r>
      <w:r>
        <w:rPr>
          <w:sz w:val="24"/>
          <w:szCs w:val="24"/>
        </w:rPr>
        <w:t>19 Yes / 0 No / 2 Abstain</w:t>
      </w:r>
      <w:r>
        <w:rPr>
          <w:b/>
          <w:bCs/>
          <w:sz w:val="24"/>
          <w:szCs w:val="24"/>
        </w:rPr>
        <w:br/>
        <w:t xml:space="preserve">Remarks: </w:t>
      </w:r>
      <w:r>
        <w:rPr>
          <w:sz w:val="24"/>
          <w:szCs w:val="24"/>
        </w:rPr>
        <w:t>Chair did not vote.</w:t>
      </w:r>
      <w:r>
        <w:rPr>
          <w:b/>
          <w:bCs/>
          <w:sz w:val="24"/>
          <w:szCs w:val="24"/>
        </w:rPr>
        <w:br/>
      </w:r>
    </w:p>
    <w:p>
      <w:pPr>
        <w:pStyle w:val="Normal"/>
        <w:numPr>
          <w:ilvl w:val="0"/>
          <w:numId w:val="1"/>
        </w:numPr>
        <w:spacing w:before="0" w:after="0"/>
        <w:ind w:left="0" w:hanging="0"/>
        <w:contextualSpacing/>
        <w:rPr/>
      </w:pPr>
      <w:r>
        <w:rPr>
          <w:b/>
          <w:bCs/>
        </w:rPr>
        <w:t xml:space="preserve">IEEE Spectrum Policy Policy Statement Discussion, </w:t>
      </w:r>
      <w:r>
        <w:rPr/>
        <w:t>(</w:t>
      </w:r>
      <w:hyperlink r:id="rId22">
        <w:r>
          <w:rPr>
            <w:rStyle w:val="InternetLink"/>
          </w:rPr>
          <w:t>18/23-0015r16</w:t>
        </w:r>
      </w:hyperlink>
      <w:r>
        <w:rPr/>
        <w:t>), Amelia Andersdotter (ad-hoc leader)</w:t>
        <w:br/>
        <w:br/>
        <w:t>Document was presented with EC review results incorporated. 802 LMSC letter ballot yielded only editorial comments. The document will be discussed and motioned in the IEEE 802 LMSC on their Friday closing session 17 March 2023. If approved, the IEEE-SA Public Affairs team will consult with other IEEE Stakeholders with a final opportunity for review by the IEEE 802 LMSC before the IEEE-SA SPCC and BOG meetings in end-April, early May.</w:t>
        <w:br/>
      </w:r>
    </w:p>
    <w:p>
      <w:pPr>
        <w:pStyle w:val="Normal"/>
        <w:spacing w:before="0" w:after="0"/>
        <w:contextualSpacing/>
        <w:rPr/>
      </w:pPr>
      <w:r>
        <w:rPr>
          <w:b/>
          <w:bCs/>
        </w:rPr>
        <w:t>Discussion:</w:t>
      </w:r>
      <w:r>
        <w:rPr/>
        <w:br/>
        <w:br/>
      </w:r>
      <w:r>
        <w:rPr>
          <w:b/>
          <w:bCs/>
        </w:rPr>
        <w:t>Q:</w:t>
      </w:r>
      <w:r>
        <w:rPr/>
        <w:t xml:space="preserve"> Did the EC approve the document?</w:t>
      </w:r>
    </w:p>
    <w:p>
      <w:pPr>
        <w:pStyle w:val="TextBody"/>
        <w:rPr/>
      </w:pPr>
      <w:r>
        <w:rPr>
          <w:b/>
          <w:bCs/>
        </w:rPr>
        <w:t>A:</w:t>
      </w:r>
      <w:r>
        <w:rPr/>
        <w:t xml:space="preserve"> EC ballot closed on 15 March. Final approval of the document for entering the next stage of the procedure is during the EC closing plenary.</w:t>
      </w:r>
      <w:r>
        <w:rPr>
          <w:b/>
          <w:bCs/>
        </w:rPr>
        <w:br/>
      </w:r>
    </w:p>
    <w:p>
      <w:pPr>
        <w:pStyle w:val="Normal"/>
        <w:numPr>
          <w:ilvl w:val="0"/>
          <w:numId w:val="1"/>
        </w:numPr>
        <w:spacing w:before="0" w:after="0"/>
        <w:ind w:left="0" w:hanging="0"/>
        <w:contextualSpacing/>
        <w:rPr/>
      </w:pPr>
      <w:r>
        <w:rPr>
          <w:b/>
          <w:bCs/>
          <w:sz w:val="24"/>
          <w:szCs w:val="24"/>
        </w:rPr>
        <w:t>RR-TAG Charter Discussion (</w:t>
      </w:r>
      <w:hyperlink r:id="rId23">
        <w:r>
          <w:rPr>
            <w:rStyle w:val="InternetLink"/>
            <w:b/>
            <w:bCs/>
            <w:sz w:val="24"/>
            <w:szCs w:val="24"/>
          </w:rPr>
          <w:t>18-14-0024r0</w:t>
        </w:r>
      </w:hyperlink>
      <w:r>
        <w:rPr>
          <w:rStyle w:val="Internetlnk"/>
          <w:b/>
          <w:bCs/>
          <w:color w:val="000000"/>
          <w:sz w:val="24"/>
          <w:szCs w:val="24"/>
          <w:u w:val="none"/>
        </w:rPr>
        <w:t>)</w:t>
      </w:r>
      <w:r>
        <w:rPr>
          <w:b/>
          <w:bCs/>
          <w:sz w:val="24"/>
          <w:szCs w:val="24"/>
        </w:rPr>
        <w:t xml:space="preserve">, </w:t>
      </w:r>
      <w:r>
        <w:rPr>
          <w:sz w:val="24"/>
          <w:szCs w:val="24"/>
        </w:rPr>
        <w:t>Edward Au (Chair)</w:t>
      </w:r>
      <w:r>
        <w:rPr>
          <w:b/>
          <w:bCs/>
          <w:sz w:val="24"/>
          <w:szCs w:val="24"/>
        </w:rPr>
        <w:br/>
        <w:br/>
      </w:r>
      <w:r>
        <w:rPr>
          <w:sz w:val="24"/>
          <w:szCs w:val="24"/>
        </w:rPr>
        <w:t>Background on the RR TAG Charter approval in 2002 and updated in 2014. Chair introduces discussion on RR TAG role in responding to liaison statements, developing frequency tables and developing spectrum statements.</w:t>
        <w:br/>
        <w:br/>
      </w:r>
      <w:r>
        <w:rPr>
          <w:b/>
          <w:bCs/>
          <w:sz w:val="24"/>
          <w:szCs w:val="24"/>
        </w:rPr>
        <w:t>Discussion:</w:t>
      </w:r>
      <w:r>
        <w:rPr>
          <w:sz w:val="24"/>
          <w:szCs w:val="24"/>
        </w:rPr>
        <w:br/>
        <w:br/>
      </w:r>
      <w:r>
        <w:rPr>
          <w:b/>
          <w:bCs/>
          <w:sz w:val="24"/>
          <w:szCs w:val="24"/>
        </w:rPr>
        <w:t>C:</w:t>
      </w:r>
      <w:r>
        <w:rPr>
          <w:sz w:val="24"/>
          <w:szCs w:val="24"/>
        </w:rPr>
        <w:t xml:space="preserve"> The IEEE 802.18 RR-TAG has had weekly meetings where we exchange information on what is happening in different regions. The bandwidth of the group is limited with the one-hour sessions we are organizing. </w:t>
        <w:br/>
      </w:r>
      <w:r>
        <w:rPr>
          <w:b/>
          <w:bCs/>
          <w:sz w:val="24"/>
          <w:szCs w:val="24"/>
        </w:rPr>
        <w:t>C:</w:t>
      </w:r>
      <w:r>
        <w:rPr>
          <w:sz w:val="24"/>
          <w:szCs w:val="24"/>
        </w:rPr>
        <w:t xml:space="preserve"> If regulatory authorities expand their vision of their remit, this may also impact our activities.</w:t>
        <w:br/>
      </w:r>
      <w:r>
        <w:rPr>
          <w:b/>
          <w:bCs/>
          <w:sz w:val="24"/>
          <w:szCs w:val="24"/>
        </w:rPr>
        <w:t>C:</w:t>
      </w:r>
      <w:r>
        <w:rPr>
          <w:sz w:val="24"/>
          <w:szCs w:val="24"/>
        </w:rPr>
        <w:t xml:space="preserve"> We should be careful to make a distinction between the formulation of the charter and the priorities of the group. A survey of priorities might be appropriate.</w:t>
        <w:br/>
      </w:r>
      <w:r>
        <w:rPr>
          <w:b/>
          <w:bCs/>
          <w:sz w:val="24"/>
          <w:szCs w:val="24"/>
        </w:rPr>
        <w:t>C:</w:t>
      </w:r>
      <w:r>
        <w:rPr>
          <w:sz w:val="24"/>
          <w:szCs w:val="24"/>
        </w:rPr>
        <w:t xml:space="preserve"> The IEEE 802.18 RR-TAG activities will be driven by external entities too. The leadership of the group has the responsibility to manage this. Ad-hoc groups is a way of completing more work.</w:t>
        <w:br/>
        <w:br/>
      </w:r>
      <w:r>
        <w:rPr>
          <w:sz w:val="24"/>
          <w:szCs w:val="24"/>
          <w:highlight w:val="yellow"/>
        </w:rPr>
        <w:t>Leadership will start a survey on the priorities of the group.</w:t>
      </w:r>
      <w:r>
        <w:rPr>
          <w:sz w:val="24"/>
          <w:szCs w:val="24"/>
        </w:rPr>
        <w:br/>
      </w:r>
    </w:p>
    <w:p>
      <w:pPr>
        <w:pStyle w:val="Normal"/>
        <w:numPr>
          <w:ilvl w:val="0"/>
          <w:numId w:val="1"/>
        </w:numPr>
        <w:spacing w:before="0" w:after="0"/>
        <w:contextualSpacing/>
        <w:rPr>
          <w:b/>
          <w:b/>
          <w:sz w:val="24"/>
          <w:szCs w:val="24"/>
        </w:rPr>
      </w:pPr>
      <w:r>
        <w:rPr>
          <w:b/>
          <w:bCs/>
          <w:sz w:val="24"/>
          <w:szCs w:val="24"/>
        </w:rPr>
        <w:t xml:space="preserve"> </w:t>
      </w:r>
      <w:r>
        <w:rPr>
          <w:b/>
          <w:bCs/>
          <w:sz w:val="24"/>
          <w:szCs w:val="24"/>
        </w:rPr>
        <w:t>General discussion items</w:t>
        <w:br/>
      </w:r>
    </w:p>
    <w:p>
      <w:pPr>
        <w:pStyle w:val="Normal"/>
        <w:numPr>
          <w:ilvl w:val="1"/>
          <w:numId w:val="1"/>
        </w:numPr>
        <w:spacing w:before="0" w:after="0"/>
        <w:contextualSpacing/>
        <w:rPr>
          <w:b/>
          <w:b/>
          <w:sz w:val="24"/>
          <w:szCs w:val="24"/>
        </w:rPr>
      </w:pPr>
      <w:r>
        <w:rPr>
          <w:b/>
          <w:sz w:val="24"/>
          <w:szCs w:val="24"/>
        </w:rPr>
        <w:t>Europe, Middle East and Africa</w:t>
        <w:br/>
        <w:br/>
      </w:r>
      <w:r>
        <w:rPr>
          <w:bCs/>
          <w:sz w:val="24"/>
          <w:szCs w:val="24"/>
        </w:rPr>
        <w:t>ETSI BRAN update above, para.</w:t>
        <w:br/>
        <w:br/>
        <w:t>UK Ofcom has made a decision on amended regulations for wireless communications.</w:t>
        <w:br/>
      </w:r>
    </w:p>
    <w:p>
      <w:pPr>
        <w:pStyle w:val="Normal"/>
        <w:numPr>
          <w:ilvl w:val="1"/>
          <w:numId w:val="1"/>
        </w:numPr>
        <w:spacing w:before="0" w:after="0"/>
        <w:contextualSpacing/>
        <w:rPr>
          <w:b/>
          <w:b/>
          <w:sz w:val="24"/>
          <w:szCs w:val="24"/>
        </w:rPr>
      </w:pPr>
      <w:r>
        <w:rPr>
          <w:b/>
          <w:sz w:val="24"/>
          <w:szCs w:val="24"/>
        </w:rPr>
        <w:t>Americas</w:t>
        <w:br/>
        <w:br/>
      </w:r>
      <w:r>
        <w:rPr>
          <w:bCs/>
          <w:sz w:val="24"/>
          <w:szCs w:val="24"/>
        </w:rPr>
        <w:t>Next FCC Open Commission meeting is scheduled for 16 Mar 2023 10:30 AM ET.</w:t>
        <w:br/>
      </w:r>
    </w:p>
    <w:p>
      <w:pPr>
        <w:pStyle w:val="Normal"/>
        <w:numPr>
          <w:ilvl w:val="1"/>
          <w:numId w:val="1"/>
        </w:numPr>
        <w:spacing w:before="0" w:after="0"/>
        <w:contextualSpacing/>
        <w:rPr>
          <w:b/>
          <w:b/>
          <w:sz w:val="24"/>
          <w:szCs w:val="24"/>
        </w:rPr>
      </w:pPr>
      <w:r>
        <w:rPr>
          <w:b/>
          <w:sz w:val="24"/>
          <w:szCs w:val="24"/>
        </w:rPr>
        <w:t>Asia/Pacific</w:t>
        <w:br/>
        <w:br/>
      </w:r>
      <w:r>
        <w:rPr>
          <w:bCs/>
          <w:sz w:val="24"/>
          <w:szCs w:val="24"/>
        </w:rPr>
        <w:t>No updates.</w:t>
        <w:br/>
      </w:r>
    </w:p>
    <w:p>
      <w:pPr>
        <w:pStyle w:val="Normal"/>
        <w:numPr>
          <w:ilvl w:val="1"/>
          <w:numId w:val="1"/>
        </w:numPr>
        <w:spacing w:before="0" w:after="0"/>
        <w:contextualSpacing/>
        <w:rPr>
          <w:b/>
          <w:b/>
          <w:sz w:val="24"/>
          <w:szCs w:val="24"/>
        </w:rPr>
      </w:pPr>
      <w:r>
        <w:rPr>
          <w:b/>
          <w:sz w:val="24"/>
          <w:szCs w:val="24"/>
        </w:rPr>
        <w:t>ITU-R</w:t>
        <w:br/>
        <w:br/>
      </w:r>
      <w:r>
        <w:rPr>
          <w:bCs/>
          <w:sz w:val="24"/>
          <w:szCs w:val="24"/>
        </w:rPr>
        <w:t>No updates.</w:t>
        <w:br/>
      </w:r>
    </w:p>
    <w:p>
      <w:pPr>
        <w:pStyle w:val="Normal"/>
        <w:numPr>
          <w:ilvl w:val="1"/>
          <w:numId w:val="1"/>
        </w:numPr>
        <w:spacing w:before="0" w:after="0"/>
        <w:contextualSpacing/>
        <w:rPr>
          <w:b/>
          <w:b/>
          <w:sz w:val="24"/>
          <w:szCs w:val="24"/>
        </w:rPr>
      </w:pPr>
      <w:r>
        <w:rPr>
          <w:b/>
          <w:sz w:val="24"/>
          <w:szCs w:val="24"/>
        </w:rPr>
        <w:t xml:space="preserve">RSPG Climate change consultation </w:t>
        <w:br/>
        <w:br/>
      </w:r>
      <w:r>
        <w:rPr>
          <w:bCs/>
          <w:sz w:val="24"/>
          <w:szCs w:val="24"/>
        </w:rPr>
        <w:t>Chair presented a call for contributions.</w:t>
      </w:r>
      <w:r>
        <w:rPr>
          <w:b/>
          <w:sz w:val="24"/>
          <w:szCs w:val="24"/>
        </w:rPr>
        <w:br/>
      </w:r>
    </w:p>
    <w:p>
      <w:pPr>
        <w:pStyle w:val="Normal"/>
        <w:numPr>
          <w:ilvl w:val="0"/>
          <w:numId w:val="1"/>
        </w:numPr>
        <w:spacing w:before="0" w:after="0"/>
        <w:contextualSpacing/>
        <w:rPr>
          <w:b/>
          <w:b/>
          <w:sz w:val="24"/>
          <w:szCs w:val="24"/>
        </w:rPr>
      </w:pPr>
      <w:r>
        <w:rPr>
          <w:b/>
          <w:sz w:val="24"/>
          <w:szCs w:val="24"/>
        </w:rPr>
        <w:t>Closing formalities</w:t>
        <w:br/>
      </w:r>
    </w:p>
    <w:p>
      <w:pPr>
        <w:pStyle w:val="Normal"/>
        <w:numPr>
          <w:ilvl w:val="1"/>
          <w:numId w:val="1"/>
        </w:numPr>
        <w:spacing w:before="0" w:after="0"/>
        <w:contextualSpacing/>
        <w:rPr>
          <w:b/>
          <w:b/>
          <w:sz w:val="24"/>
          <w:szCs w:val="24"/>
        </w:rPr>
      </w:pPr>
      <w:r>
        <w:rPr>
          <w:b/>
          <w:sz w:val="24"/>
          <w:szCs w:val="24"/>
        </w:rPr>
        <w:t>Future meetings.</w:t>
        <w:br/>
        <w:br/>
      </w:r>
      <w:r>
        <w:rPr>
          <w:bCs/>
          <w:sz w:val="24"/>
          <w:szCs w:val="24"/>
        </w:rPr>
        <w:t>The schedule for future meetings was approved.</w:t>
      </w:r>
      <w:r>
        <w:rPr>
          <w:b/>
          <w:sz w:val="24"/>
          <w:szCs w:val="24"/>
        </w:rPr>
        <w:br/>
        <w:br/>
        <w:t xml:space="preserve">Motion 7 (internal): </w:t>
      </w:r>
      <w:r>
        <w:rPr>
          <w:sz w:val="24"/>
          <w:szCs w:val="24"/>
        </w:rPr>
        <w:t>The 802.18 Chair or Chair designee is directed to conduct, as necessary, the following weekly teleconference calls through 22 September 2023</w:t>
      </w:r>
    </w:p>
    <w:p>
      <w:pPr>
        <w:pStyle w:val="Normal"/>
        <w:spacing w:before="0" w:after="0"/>
        <w:ind w:left="1080" w:hanging="0"/>
        <w:contextualSpacing/>
        <w:rPr>
          <w:sz w:val="24"/>
          <w:szCs w:val="24"/>
        </w:rPr>
      </w:pPr>
      <w:r>
        <w:rPr>
          <w:sz w:val="24"/>
          <w:szCs w:val="24"/>
        </w:rPr>
        <w:t>RR-TAG calls on Thursdays at 15:00 ET for 55 mins</w:t>
        <w:br/>
        <w:t>ISUS ad-hoc calls on Fridays at 12:00 ET for 60 minutes</w:t>
      </w:r>
    </w:p>
    <w:p>
      <w:pPr>
        <w:pStyle w:val="Normal"/>
        <w:spacing w:before="0" w:after="0"/>
        <w:ind w:left="720" w:hanging="0"/>
        <w:contextualSpacing/>
        <w:rPr>
          <w:b/>
          <w:b/>
          <w:sz w:val="24"/>
          <w:szCs w:val="24"/>
        </w:rPr>
      </w:pPr>
      <w:r>
        <w:rPr>
          <w:b/>
          <w:sz w:val="24"/>
          <w:szCs w:val="24"/>
        </w:rPr>
        <w:br/>
        <w:tab/>
        <w:t xml:space="preserve">Moved: </w:t>
      </w:r>
      <w:r>
        <w:rPr>
          <w:sz w:val="24"/>
          <w:szCs w:val="24"/>
        </w:rPr>
        <w:t>Mike Lynch</w:t>
      </w:r>
      <w:r>
        <w:rPr>
          <w:b/>
          <w:sz w:val="24"/>
          <w:szCs w:val="24"/>
        </w:rPr>
        <w:br/>
        <w:tab/>
        <w:t xml:space="preserve">Seconded: </w:t>
      </w:r>
      <w:r>
        <w:rPr>
          <w:sz w:val="24"/>
          <w:szCs w:val="24"/>
        </w:rPr>
        <w:t>Amelia Andersdotter</w:t>
      </w:r>
      <w:r>
        <w:rPr>
          <w:b/>
          <w:sz w:val="24"/>
          <w:szCs w:val="24"/>
        </w:rPr>
        <w:br/>
        <w:tab/>
        <w:t xml:space="preserve">Discussion: </w:t>
      </w:r>
      <w:r>
        <w:rPr>
          <w:sz w:val="24"/>
          <w:szCs w:val="24"/>
        </w:rPr>
        <w:t>None</w:t>
      </w:r>
      <w:r>
        <w:rPr>
          <w:b/>
          <w:sz w:val="24"/>
          <w:szCs w:val="24"/>
        </w:rPr>
        <w:br/>
        <w:tab/>
        <w:t xml:space="preserve">Result: </w:t>
      </w:r>
      <w:r>
        <w:rPr>
          <w:sz w:val="24"/>
          <w:szCs w:val="24"/>
        </w:rPr>
        <w:t>Approved by unanimous consent.</w:t>
      </w:r>
    </w:p>
    <w:p>
      <w:pPr>
        <w:pStyle w:val="Normal"/>
        <w:spacing w:before="0" w:after="0"/>
        <w:ind w:left="720" w:hanging="0"/>
        <w:contextualSpacing/>
        <w:rPr>
          <w:sz w:val="24"/>
          <w:szCs w:val="24"/>
        </w:rPr>
      </w:pPr>
      <w:r>
        <w:rPr>
          <w:sz w:val="24"/>
          <w:szCs w:val="24"/>
        </w:rPr>
        <w:br/>
        <w:t xml:space="preserve">The new teleconference schedule can be found in document </w:t>
      </w:r>
      <w:hyperlink r:id="rId24">
        <w:r>
          <w:rPr>
            <w:rStyle w:val="InternetLink"/>
            <w:sz w:val="24"/>
            <w:szCs w:val="24"/>
          </w:rPr>
          <w:t>18/16-0038r30</w:t>
        </w:r>
      </w:hyperlink>
      <w:r>
        <w:rPr>
          <w:sz w:val="24"/>
          <w:szCs w:val="24"/>
        </w:rPr>
        <w:t>.</w:t>
        <w:br/>
      </w:r>
    </w:p>
    <w:p>
      <w:pPr>
        <w:pStyle w:val="Normal"/>
        <w:numPr>
          <w:ilvl w:val="1"/>
          <w:numId w:val="1"/>
        </w:numPr>
        <w:spacing w:before="0" w:after="0"/>
        <w:contextualSpacing/>
        <w:rPr>
          <w:b/>
          <w:b/>
          <w:sz w:val="24"/>
          <w:szCs w:val="24"/>
        </w:rPr>
      </w:pPr>
      <w:r>
        <w:rPr>
          <w:b/>
          <w:sz w:val="24"/>
          <w:szCs w:val="24"/>
        </w:rPr>
        <w:t>Reminder of registration for next meeting</w:t>
        <w:br/>
      </w:r>
    </w:p>
    <w:p>
      <w:pPr>
        <w:pStyle w:val="Normal"/>
        <w:numPr>
          <w:ilvl w:val="1"/>
          <w:numId w:val="1"/>
        </w:numPr>
        <w:spacing w:before="0" w:after="0"/>
        <w:contextualSpacing/>
        <w:rPr>
          <w:b/>
          <w:b/>
          <w:sz w:val="24"/>
          <w:szCs w:val="24"/>
        </w:rPr>
      </w:pPr>
      <w:r>
        <w:rPr>
          <w:b/>
          <w:sz w:val="24"/>
          <w:szCs w:val="24"/>
        </w:rPr>
        <w:t>Surveying the group on behalf of LMSC</w:t>
        <w:br/>
        <w:br/>
        <w:t xml:space="preserve">Strawpoll 1: </w:t>
      </w:r>
      <w:r>
        <w:rPr>
          <w:bCs/>
          <w:sz w:val="24"/>
          <w:szCs w:val="24"/>
        </w:rPr>
        <w:t xml:space="preserve">If the May 2023 Interim </w:t>
        <w:br/>
        <w:t>Attend in-person: 16</w:t>
        <w:br/>
        <w:t>Attend virtually (remotely): 7</w:t>
        <w:br/>
        <w:t>Will not attend: 2</w:t>
        <w:br/>
        <w:t>Abstain: 0</w:t>
        <w:br/>
      </w:r>
      <w:r>
        <w:rPr>
          <w:b/>
          <w:sz w:val="24"/>
          <w:szCs w:val="24"/>
        </w:rPr>
        <w:br/>
        <w:t xml:space="preserve">Strawpoll 2: </w:t>
      </w:r>
      <w:r>
        <w:rPr>
          <w:bCs/>
          <w:sz w:val="24"/>
          <w:szCs w:val="24"/>
        </w:rPr>
        <w:t xml:space="preserve">If July 2023 Plenary Session were held </w:t>
        <w:br/>
        <w:t>Yes: 19</w:t>
        <w:br/>
        <w:t>No: 6</w:t>
        <w:br/>
        <w:t xml:space="preserve">Abstain: 1 </w:t>
      </w:r>
      <w:r>
        <w:rPr>
          <w:b/>
          <w:sz w:val="24"/>
          <w:szCs w:val="24"/>
        </w:rPr>
        <w:br/>
        <w:br/>
        <w:t xml:space="preserve">Strawpoll 3: </w:t>
      </w:r>
      <w:r>
        <w:rPr>
          <w:bCs/>
          <w:sz w:val="24"/>
          <w:szCs w:val="24"/>
        </w:rPr>
        <w:t>If the July 2023 Plenary Session is held as a mixed-mode meeting, would you a</w:t>
        <w:br/>
        <w:t>Attend in-person: 19</w:t>
        <w:br/>
        <w:t>Attend virtually (remotely): 8</w:t>
        <w:br/>
        <w:t>Will not attend: 0</w:t>
        <w:br/>
        <w:t>Abstain: 0</w:t>
      </w:r>
      <w:r>
        <w:rPr>
          <w:b/>
          <w:sz w:val="24"/>
          <w:szCs w:val="24"/>
        </w:rPr>
        <w:br/>
      </w:r>
    </w:p>
    <w:p>
      <w:pPr>
        <w:pStyle w:val="Normal"/>
        <w:numPr>
          <w:ilvl w:val="0"/>
          <w:numId w:val="1"/>
        </w:numPr>
        <w:spacing w:before="0" w:after="0"/>
        <w:contextualSpacing/>
        <w:rPr>
          <w:b/>
          <w:b/>
          <w:sz w:val="24"/>
          <w:szCs w:val="24"/>
        </w:rPr>
      </w:pPr>
      <w:r>
        <w:rPr>
          <w:b/>
          <w:sz w:val="24"/>
          <w:szCs w:val="24"/>
        </w:rPr>
        <w:t>Any other business</w:t>
        <w:br/>
        <w:br/>
      </w:r>
      <w:r>
        <w:rPr>
          <w:bCs/>
          <w:sz w:val="24"/>
          <w:szCs w:val="24"/>
        </w:rPr>
        <w:t>A reminder to register and log in to IMAT.</w:t>
      </w:r>
      <w:r>
        <w:rPr>
          <w:b/>
          <w:sz w:val="24"/>
          <w:szCs w:val="24"/>
        </w:rPr>
        <w:br/>
      </w:r>
    </w:p>
    <w:p>
      <w:pPr>
        <w:pStyle w:val="Normal"/>
        <w:numPr>
          <w:ilvl w:val="0"/>
          <w:numId w:val="1"/>
        </w:numPr>
        <w:spacing w:before="0" w:after="0"/>
        <w:contextualSpacing/>
        <w:rPr>
          <w:b/>
          <w:b/>
          <w:sz w:val="24"/>
          <w:szCs w:val="24"/>
        </w:rPr>
      </w:pPr>
      <w:r>
        <w:rPr>
          <w:b/>
          <w:sz w:val="24"/>
          <w:szCs w:val="24"/>
        </w:rPr>
        <w:t>Final administrative items</w:t>
        <w:br/>
      </w:r>
    </w:p>
    <w:p>
      <w:pPr>
        <w:pStyle w:val="Normal"/>
        <w:numPr>
          <w:ilvl w:val="1"/>
          <w:numId w:val="1"/>
        </w:numPr>
        <w:spacing w:before="0" w:after="0"/>
        <w:contextualSpacing/>
        <w:rPr>
          <w:color w:val="000000"/>
          <w:sz w:val="24"/>
          <w:szCs w:val="24"/>
        </w:rPr>
      </w:pPr>
      <w:r>
        <w:rPr>
          <w:color w:val="000000"/>
          <w:sz w:val="24"/>
          <w:szCs w:val="24"/>
        </w:rPr>
        <w:t xml:space="preserve">Next weekly teleconference call scheduled for: 23 March 2023, 15h00 ET. </w:t>
      </w:r>
    </w:p>
    <w:p>
      <w:pPr>
        <w:pStyle w:val="Normal"/>
        <w:numPr>
          <w:ilvl w:val="3"/>
          <w:numId w:val="1"/>
        </w:numPr>
        <w:spacing w:before="0" w:after="0"/>
        <w:contextualSpacing/>
        <w:rPr>
          <w:color w:val="000000"/>
          <w:sz w:val="24"/>
          <w:szCs w:val="24"/>
        </w:rPr>
      </w:pPr>
      <w:r>
        <w:rPr>
          <w:color w:val="000000"/>
          <w:sz w:val="24"/>
          <w:szCs w:val="24"/>
        </w:rPr>
        <w:t>Call in info: https://mentor.ieee.org/802.18/dcn/16/18-16-0038-30-0000-teleconference-call-in-info.pptx</w:t>
      </w:r>
    </w:p>
    <w:p>
      <w:pPr>
        <w:pStyle w:val="Normal"/>
        <w:numPr>
          <w:ilvl w:val="3"/>
          <w:numId w:val="1"/>
        </w:numPr>
        <w:spacing w:before="0" w:after="0"/>
        <w:contextualSpacing/>
        <w:rPr>
          <w:color w:val="000000"/>
          <w:sz w:val="24"/>
          <w:szCs w:val="24"/>
        </w:rPr>
      </w:pPr>
      <w:r>
        <w:rPr>
          <w:color w:val="000000"/>
          <w:sz w:val="24"/>
          <w:szCs w:val="24"/>
        </w:rPr>
        <w:t xml:space="preserve">Next IEEE 802.18 meeting will be conducted during the IEEE 802 Wireless Interim Session on 14-19 May 2023 in Orlando, Florida, USA.  It is an credited session. </w:t>
      </w:r>
    </w:p>
    <w:p>
      <w:pPr>
        <w:pStyle w:val="Normal"/>
        <w:numPr>
          <w:ilvl w:val="3"/>
          <w:numId w:val="1"/>
        </w:numPr>
        <w:spacing w:before="0" w:after="0"/>
        <w:contextualSpacing/>
        <w:rPr>
          <w:color w:val="000000"/>
          <w:sz w:val="24"/>
          <w:szCs w:val="24"/>
        </w:rPr>
      </w:pPr>
      <w:r>
        <w:rPr>
          <w:color w:val="000000"/>
          <w:sz w:val="24"/>
          <w:szCs w:val="24"/>
        </w:rPr>
        <w:t xml:space="preserve">Currently, RR-TAG weekly teleconferences are scheduled until 22 September 2023. </w:t>
      </w:r>
    </w:p>
    <w:p>
      <w:pPr>
        <w:pStyle w:val="Normal"/>
        <w:numPr>
          <w:ilvl w:val="3"/>
          <w:numId w:val="1"/>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25">
        <w:r>
          <w:rPr>
            <w:rStyle w:val="Internetlnk"/>
            <w:sz w:val="24"/>
            <w:szCs w:val="24"/>
          </w:rPr>
          <w:t>https://ieee802.org/16/cal-temp.html</w:t>
        </w:r>
      </w:hyperlink>
      <w:r>
        <w:rPr>
          <w:sz w:val="24"/>
          <w:szCs w:val="24"/>
        </w:rPr>
        <w:t xml:space="preserve"> or only 802.18:  </w:t>
      </w:r>
      <w:hyperlink r:id="rId26">
        <w:r>
          <w:rPr>
            <w:rStyle w:val="Internetlnk"/>
            <w:sz w:val="24"/>
            <w:szCs w:val="24"/>
          </w:rPr>
          <w:t>IEEE 802.18 TAG Calendar</w:t>
        </w:r>
      </w:hyperlink>
    </w:p>
    <w:p>
      <w:pPr>
        <w:pStyle w:val="Normal"/>
        <w:numPr>
          <w:ilvl w:val="1"/>
          <w:numId w:val="1"/>
        </w:numPr>
        <w:spacing w:before="0" w:after="0"/>
        <w:contextualSpacing/>
        <w:rPr>
          <w:bCs/>
          <w:sz w:val="24"/>
          <w:szCs w:val="24"/>
        </w:rPr>
      </w:pPr>
      <w:r>
        <w:rPr>
          <w:bCs/>
          <w:sz w:val="24"/>
          <w:szCs w:val="24"/>
        </w:rPr>
        <w:t xml:space="preserve">Adjourn: </w:t>
        <w:tab/>
        <w:t xml:space="preserve"> </w:t>
      </w:r>
    </w:p>
    <w:p>
      <w:pPr>
        <w:pStyle w:val="ListParagraph"/>
        <w:numPr>
          <w:ilvl w:val="0"/>
          <w:numId w:val="3"/>
        </w:numPr>
        <w:spacing w:before="0" w:after="0"/>
        <w:ind w:left="720" w:hanging="0"/>
        <w:contextualSpacing/>
        <w:rPr>
          <w:sz w:val="24"/>
          <w:szCs w:val="24"/>
        </w:rPr>
      </w:pPr>
      <w:r>
        <w:rPr>
          <w:sz w:val="24"/>
          <w:szCs w:val="24"/>
        </w:rPr>
        <w:t>Any objection to Adjourn?  None heard.</w:t>
      </w:r>
    </w:p>
    <w:p>
      <w:pPr>
        <w:pStyle w:val="ListParagraph"/>
        <w:numPr>
          <w:ilvl w:val="0"/>
          <w:numId w:val="3"/>
        </w:numPr>
        <w:spacing w:before="0" w:after="0"/>
        <w:ind w:left="720" w:hanging="0"/>
        <w:contextualSpacing/>
        <w:rPr>
          <w:sz w:val="24"/>
          <w:szCs w:val="24"/>
        </w:rPr>
      </w:pPr>
      <w:r>
        <w:rPr>
          <w:sz w:val="24"/>
          <w:szCs w:val="24"/>
        </w:rPr>
        <w:t>Adjourn at 09:01 local time</w:t>
      </w:r>
    </w:p>
    <w:p>
      <w:pPr>
        <w:pStyle w:val="Normal"/>
        <w:rPr>
          <w:sz w:val="24"/>
          <w:szCs w:val="24"/>
        </w:rPr>
      </w:pPr>
      <w:r>
        <w:rPr>
          <w:sz w:val="24"/>
          <w:szCs w:val="24"/>
        </w:rPr>
      </w:r>
    </w:p>
    <w:p>
      <w:pPr>
        <w:pStyle w:val="ListParagraph"/>
        <w:ind w:left="0" w:right="180" w:hanging="0"/>
        <w:rPr/>
      </w:pPr>
      <w:r>
        <w:rPr>
          <w:b/>
          <w:sz w:val="24"/>
          <w:szCs w:val="24"/>
        </w:rPr>
        <w:t>ATTENDANCE (Plenary</w:t>
      </w:r>
      <w:bookmarkStart w:id="0" w:name="_GoBack"/>
      <w:bookmarkEnd w:id="0"/>
      <w:r>
        <w:rPr>
          <w:b/>
          <w:sz w:val="24"/>
          <w:szCs w:val="24"/>
        </w:rPr>
        <w:t xml:space="preserve"> </w:t>
      </w:r>
      <w:r>
        <w:rPr>
          <w:rFonts w:eastAsia="Times New Roman"/>
          <w:b/>
          <w:bCs/>
          <w:sz w:val="24"/>
          <w:szCs w:val="24"/>
        </w:rPr>
        <w:t>Attendance Names and Affiliations) [Report by Stuart Kerry]:</w:t>
      </w:r>
    </w:p>
    <w:p>
      <w:pPr>
        <w:pStyle w:val="ListParagraph"/>
        <w:ind w:left="0" w:right="180" w:hanging="0"/>
        <w:rPr>
          <w:rFonts w:eastAsia="Times New Roman"/>
          <w:b/>
          <w:b/>
          <w:bCs/>
          <w:sz w:val="24"/>
          <w:szCs w:val="24"/>
        </w:rPr>
      </w:pPr>
      <w:r>
        <w:rPr>
          <w:rFonts w:eastAsia="Times New Roman"/>
          <w:b/>
          <w:bCs/>
          <w:sz w:val="24"/>
          <w:szCs w:val="24"/>
        </w:rPr>
      </w:r>
    </w:p>
    <w:tbl>
      <w:tblPr>
        <w:tblW w:w="10082" w:type="dxa"/>
        <w:jc w:val="left"/>
        <w:tblInd w:w="0" w:type="dxa"/>
        <w:tblLayout w:type="fixed"/>
        <w:tblCellMar>
          <w:top w:w="0" w:type="dxa"/>
          <w:left w:w="0" w:type="dxa"/>
          <w:bottom w:w="0" w:type="dxa"/>
          <w:right w:w="0" w:type="dxa"/>
        </w:tblCellMar>
      </w:tblPr>
      <w:tblGrid>
        <w:gridCol w:w="435"/>
        <w:gridCol w:w="1365"/>
        <w:gridCol w:w="2068"/>
        <w:gridCol w:w="3461"/>
        <w:gridCol w:w="771"/>
        <w:gridCol w:w="718"/>
        <w:gridCol w:w="1264"/>
      </w:tblGrid>
      <w:tr>
        <w:trPr/>
        <w:tc>
          <w:tcPr>
            <w:tcW w:w="7329"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771"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14-Mar</w:t>
            </w:r>
          </w:p>
        </w:tc>
        <w:tc>
          <w:tcPr>
            <w:tcW w:w="718"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16-Mar</w:t>
            </w:r>
          </w:p>
        </w:tc>
        <w:tc>
          <w:tcPr>
            <w:tcW w:w="126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Credit &gt;75%</w:t>
            </w:r>
          </w:p>
        </w:tc>
      </w:tr>
      <w:tr>
        <w:trPr/>
        <w:tc>
          <w:tcPr>
            <w:tcW w:w="435" w:type="dxa"/>
            <w:tcBorders/>
            <w:vAlign w:val="center"/>
          </w:tcPr>
          <w:p>
            <w:pPr>
              <w:pStyle w:val="TableContents"/>
              <w:rPr>
                <w:sz w:val="4"/>
                <w:szCs w:val="4"/>
              </w:rPr>
            </w:pPr>
            <w:r>
              <w:rPr>
                <w:sz w:val="4"/>
                <w:szCs w:val="4"/>
              </w:rPr>
            </w:r>
          </w:p>
        </w:tc>
        <w:tc>
          <w:tcPr>
            <w:tcW w:w="1365"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61" w:type="dxa"/>
            <w:tcBorders/>
            <w:vAlign w:val="center"/>
          </w:tcPr>
          <w:p>
            <w:pPr>
              <w:pStyle w:val="TableContents"/>
              <w:rPr>
                <w:sz w:val="4"/>
                <w:szCs w:val="4"/>
              </w:rPr>
            </w:pPr>
            <w:r>
              <w:rPr>
                <w:sz w:val="4"/>
                <w:szCs w:val="4"/>
              </w:rPr>
            </w:r>
          </w:p>
        </w:tc>
        <w:tc>
          <w:tcPr>
            <w:tcW w:w="771"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Baykas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Tuncer</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Ofinno</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Boldy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da Silva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Claudio</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Meta Platforms,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de Vegt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Rolf</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Eitan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Alecsander</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771" w:type="dxa"/>
            <w:tcBorders/>
            <w:vAlign w:val="center"/>
          </w:tcPr>
          <w:p>
            <w:pPr>
              <w:pStyle w:val="TableContents"/>
              <w:rPr>
                <w:sz w:val="4"/>
                <w:szCs w:val="4"/>
              </w:rPr>
            </w:pPr>
            <w:r>
              <w:rPr>
                <w:sz w:val="4"/>
                <w:szCs w:val="4"/>
              </w:rPr>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Godfrey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Tim</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Electric Power Research Institute, Inc. (EPRI)</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Halasz</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Dave</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Morse Micro</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Hiertz</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Guido</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Ericsson GmbH</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Ikegami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Tetsushi</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Meiji University</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Jeffries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Timothy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Jones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Vincent Knowles IV</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Kain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Carl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USDOT, Noblis,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Kasher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Assaf</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Kennedy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Richard</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Bluetooth SIG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3461"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Kürner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Thomas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TU Braunschweig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Lansford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James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Levy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Joseph</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InterDigital,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Lynch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MJ Lynch &amp; Associates, LLC.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Max</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Sebastian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Palm</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kiwin (Stephen)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Petranovich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James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ViaSat,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Pettersson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Charlie</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Pirhonen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Riku</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NXP Semiconductors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Porat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Broadcom Corporation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Powell</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Clint</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Meta Platforms, Inc.; Powell Wireless Commsulting, LLC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Robert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Joerg</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TU-Ilmenau/Fraunhofer IIS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Rolfe</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Benjamin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Blind Creek Associates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Sand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Stephan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German Aerospace Center (DLR)</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Sasaki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Shigenobu</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Niigata University, Japan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Sato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Naotaka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Sony Group Corporation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Scott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NCTA – The Internet &amp; Television Association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Sherlock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Texas Instruments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Verso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Billy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Qorvo</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Wang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Lei</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FutureWei Technologies,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Ward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Lisa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Rohde &amp; Schwarz</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Yaghoobi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Hassan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Intel Corporation</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rPr>
                <w:sz w:val="4"/>
                <w:szCs w:val="4"/>
              </w:rPr>
            </w:pPr>
            <w:r>
              <w:rPr>
                <w:sz w:val="4"/>
                <w:szCs w:val="4"/>
              </w:rPr>
            </w:r>
          </w:p>
        </w:tc>
        <w:tc>
          <w:tcPr>
            <w:tcW w:w="1365"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61" w:type="dxa"/>
            <w:tcBorders/>
            <w:vAlign w:val="center"/>
          </w:tcPr>
          <w:p>
            <w:pPr>
              <w:pStyle w:val="TableContents"/>
              <w:rPr>
                <w:sz w:val="4"/>
                <w:szCs w:val="4"/>
              </w:rPr>
            </w:pPr>
            <w:r>
              <w:rPr>
                <w:sz w:val="4"/>
                <w:szCs w:val="4"/>
              </w:rPr>
            </w:r>
          </w:p>
        </w:tc>
        <w:tc>
          <w:tcPr>
            <w:tcW w:w="771"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7329"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771"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14-Mar</w:t>
            </w:r>
          </w:p>
        </w:tc>
        <w:tc>
          <w:tcPr>
            <w:tcW w:w="718" w:type="dxa"/>
            <w:tcBorders/>
            <w:vAlign w:val="center"/>
          </w:tcPr>
          <w:p>
            <w:pPr>
              <w:pStyle w:val="TableContents"/>
              <w:spacing w:before="0" w:after="0"/>
              <w:jc w:val="center"/>
              <w:rPr>
                <w:rFonts w:ascii="Arial;sans-serif" w:hAnsi="Arial;sans-serif"/>
                <w:b/>
                <w:sz w:val="20"/>
              </w:rPr>
            </w:pPr>
            <w:r>
              <w:rPr>
                <w:rFonts w:ascii="Arial;sans-serif" w:hAnsi="Arial;sans-serif"/>
                <w:b/>
                <w:sz w:val="20"/>
              </w:rPr>
              <w:t>16-Mar</w:t>
            </w:r>
          </w:p>
        </w:tc>
        <w:tc>
          <w:tcPr>
            <w:tcW w:w="1264" w:type="dxa"/>
            <w:tcBorders/>
            <w:vAlign w:val="center"/>
          </w:tcPr>
          <w:p>
            <w:pPr>
              <w:pStyle w:val="TableContents"/>
              <w:spacing w:before="0" w:after="0"/>
              <w:jc w:val="center"/>
              <w:rPr>
                <w:rFonts w:ascii="Arial;sans-serif" w:hAnsi="Arial;sans-serif"/>
                <w:b/>
                <w:sz w:val="20"/>
              </w:rPr>
            </w:pPr>
            <w:r>
              <w:rPr>
                <w:rFonts w:ascii="Arial;sans-serif" w:hAnsi="Arial;sans-serif"/>
                <w:b/>
                <w:sz w:val="20"/>
              </w:rPr>
              <w:t>Credit &gt;75%</w:t>
            </w:r>
          </w:p>
        </w:tc>
      </w:tr>
      <w:tr>
        <w:trPr/>
        <w:tc>
          <w:tcPr>
            <w:tcW w:w="435" w:type="dxa"/>
            <w:tcBorders/>
            <w:vAlign w:val="center"/>
          </w:tcPr>
          <w:p>
            <w:pPr>
              <w:pStyle w:val="TableContents"/>
              <w:rPr>
                <w:sz w:val="4"/>
                <w:szCs w:val="4"/>
              </w:rPr>
            </w:pPr>
            <w:r>
              <w:rPr>
                <w:sz w:val="4"/>
                <w:szCs w:val="4"/>
              </w:rPr>
            </w:r>
          </w:p>
        </w:tc>
        <w:tc>
          <w:tcPr>
            <w:tcW w:w="1365" w:type="dxa"/>
            <w:tcBorders/>
            <w:vAlign w:val="center"/>
          </w:tcPr>
          <w:p>
            <w:pPr>
              <w:pStyle w:val="TableContents"/>
              <w:rPr>
                <w:sz w:val="4"/>
                <w:szCs w:val="4"/>
              </w:rPr>
            </w:pPr>
            <w:r>
              <w:rPr>
                <w:sz w:val="4"/>
                <w:szCs w:val="4"/>
              </w:rPr>
            </w:r>
          </w:p>
        </w:tc>
        <w:tc>
          <w:tcPr>
            <w:tcW w:w="2068" w:type="dxa"/>
            <w:tcBorders/>
            <w:vAlign w:val="center"/>
          </w:tcPr>
          <w:p>
            <w:pPr>
              <w:pStyle w:val="TableContents"/>
              <w:rPr>
                <w:sz w:val="4"/>
                <w:szCs w:val="4"/>
              </w:rPr>
            </w:pPr>
            <w:r>
              <w:rPr>
                <w:sz w:val="4"/>
                <w:szCs w:val="4"/>
              </w:rPr>
            </w:r>
          </w:p>
        </w:tc>
        <w:tc>
          <w:tcPr>
            <w:tcW w:w="3461" w:type="dxa"/>
            <w:tcBorders/>
            <w:vAlign w:val="center"/>
          </w:tcPr>
          <w:p>
            <w:pPr>
              <w:pStyle w:val="TableContents"/>
              <w:rPr>
                <w:sz w:val="4"/>
                <w:szCs w:val="4"/>
              </w:rPr>
            </w:pPr>
            <w:r>
              <w:rPr>
                <w:sz w:val="4"/>
                <w:szCs w:val="4"/>
              </w:rPr>
            </w:r>
          </w:p>
        </w:tc>
        <w:tc>
          <w:tcPr>
            <w:tcW w:w="771" w:type="dxa"/>
            <w:tcBorders/>
            <w:vAlign w:val="center"/>
          </w:tcPr>
          <w:p>
            <w:pPr>
              <w:pStyle w:val="TableContents"/>
              <w:rPr>
                <w:sz w:val="4"/>
                <w:szCs w:val="4"/>
              </w:rPr>
            </w:pPr>
            <w:r>
              <w:rPr>
                <w:sz w:val="4"/>
                <w:szCs w:val="4"/>
              </w:rPr>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rPr>
                <w:sz w:val="4"/>
                <w:szCs w:val="4"/>
              </w:rPr>
            </w:pPr>
            <w:r>
              <w:rPr>
                <w:sz w:val="4"/>
                <w:szCs w:val="4"/>
              </w:rPr>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Aldana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Carlos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Facebook</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Asai</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Yusuke</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NTT ASLabs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Barras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3db Access AG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Beecher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Phil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Wi-SUN Alliance</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Calvert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Chris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Landis+Gyr AG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Chang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Eason (Chen-Yi)</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771" w:type="dxa"/>
            <w:tcBorders/>
            <w:vAlign w:val="center"/>
          </w:tcPr>
          <w:p>
            <w:pPr>
              <w:pStyle w:val="TableContents"/>
              <w:rPr>
                <w:sz w:val="4"/>
                <w:szCs w:val="4"/>
              </w:rPr>
            </w:pPr>
            <w:r>
              <w:rPr>
                <w:sz w:val="4"/>
                <w:szCs w:val="4"/>
              </w:rPr>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Chen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Run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New Radio Technologies Co. Ltd. (NRT)</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Danev</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Boris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3db Access AG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de Ruijter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Henk</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Silicon Labs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Granhaug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Kristian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Novelda AS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Grigat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Michael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Deutsche Telekom</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Hartman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Jim</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Landis Gyr Group Worldwide</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Hosako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Iwao</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National Institute of Information and Communications Technology (NICT)</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Juntunen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Juha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Meteorcomm</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Kabbinale</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Aniruddh</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Samsung</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Kitazawa</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Shoichi</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Muroran Institute of Technology</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Kohno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Ryuji</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YNU/YRP-IAI</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Kozarev</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Aleksandra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MaxLinear</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19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Krieger</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US DoD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Li</w:t>
            </w:r>
          </w:p>
        </w:tc>
        <w:tc>
          <w:tcPr>
            <w:tcW w:w="2068" w:type="dxa"/>
            <w:tcBorders/>
            <w:vAlign w:val="center"/>
          </w:tcPr>
          <w:p>
            <w:pPr>
              <w:pStyle w:val="TableContents"/>
              <w:spacing w:before="0" w:after="0"/>
              <w:rPr/>
            </w:pPr>
            <w:r>
              <w:rPr>
                <w:rFonts w:ascii="Arial;sans-serif" w:hAnsi="Arial;sans-serif"/>
                <w:sz w:val="20"/>
              </w:rPr>
              <w:t>Huan</w:t>
            </w:r>
            <w:r>
              <w:rPr/>
              <w:t>‐</w:t>
            </w:r>
            <w:r>
              <w:rPr>
                <w:rFonts w:ascii="Arial;sans-serif" w:hAnsi="Arial;sans-serif"/>
                <w:sz w:val="20"/>
              </w:rPr>
              <w:t>Bang</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National Institute of Information and Communications Technology (NICT)</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Pakrooh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Pooria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Qualcomm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bottom"/>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Patel</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Tushar</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Teradyne,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Salazar Cardozo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Ruben E.</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SKG Waves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Sarris</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Ioannis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Adveos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Shah</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Kunal</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Itron,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Shen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Andy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Futurewei, U.S. Subsidiary of Huawei</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27</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Sosack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Robert</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Molex Incorporated</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28</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Stuebing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Gary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Cisco Systems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29</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Sturek</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Don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Itron, Inc.</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30</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Wendt</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Matthias</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Signify</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31</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Wilhelmsson</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Leif</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Ericsson AB</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32</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Wisland</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Dag T.</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Novelda AS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33</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Xiao</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Libra</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New Radio Technologies Co. Ltd. (NRT)</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34</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Yang</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David (Xun)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Huawei</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35</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Yu</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Jian</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Huawei</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TRUE</w:t>
            </w:r>
          </w:p>
        </w:tc>
      </w:tr>
      <w:tr>
        <w:trPr/>
        <w:tc>
          <w:tcPr>
            <w:tcW w:w="435" w:type="dxa"/>
            <w:tcBorders/>
            <w:vAlign w:val="center"/>
          </w:tcPr>
          <w:p>
            <w:pPr>
              <w:pStyle w:val="TableContents"/>
              <w:spacing w:before="0" w:after="0"/>
              <w:jc w:val="center"/>
              <w:rPr>
                <w:rFonts w:ascii="Arial;sans-serif" w:hAnsi="Arial;sans-serif"/>
                <w:sz w:val="20"/>
              </w:rPr>
            </w:pPr>
            <w:r>
              <w:rPr>
                <w:rFonts w:ascii="Arial;sans-serif" w:hAnsi="Arial;sans-serif"/>
                <w:sz w:val="20"/>
              </w:rPr>
              <w:t>36</w:t>
            </w:r>
          </w:p>
        </w:tc>
        <w:tc>
          <w:tcPr>
            <w:tcW w:w="1365" w:type="dxa"/>
            <w:tcBorders/>
            <w:vAlign w:val="center"/>
          </w:tcPr>
          <w:p>
            <w:pPr>
              <w:pStyle w:val="TableContents"/>
              <w:spacing w:before="0" w:after="0"/>
              <w:rPr>
                <w:rFonts w:ascii="Arial;sans-serif" w:hAnsi="Arial;sans-serif"/>
                <w:b/>
                <w:sz w:val="20"/>
              </w:rPr>
            </w:pPr>
            <w:r>
              <w:rPr>
                <w:rFonts w:ascii="Arial;sans-serif" w:hAnsi="Arial;sans-serif"/>
                <w:b/>
                <w:sz w:val="20"/>
              </w:rPr>
              <w:t>Zakaib</w:t>
            </w:r>
          </w:p>
        </w:tc>
        <w:tc>
          <w:tcPr>
            <w:tcW w:w="2068" w:type="dxa"/>
            <w:tcBorders/>
            <w:vAlign w:val="center"/>
          </w:tcPr>
          <w:p>
            <w:pPr>
              <w:pStyle w:val="TableContents"/>
              <w:spacing w:before="0" w:after="0"/>
              <w:rPr>
                <w:rFonts w:ascii="Arial;sans-serif" w:hAnsi="Arial;sans-serif"/>
                <w:sz w:val="20"/>
              </w:rPr>
            </w:pPr>
            <w:r>
              <w:rPr>
                <w:rFonts w:ascii="Arial;sans-serif" w:hAnsi="Arial;sans-serif"/>
                <w:sz w:val="20"/>
              </w:rPr>
              <w:t>Larry</w:t>
            </w:r>
          </w:p>
        </w:tc>
        <w:tc>
          <w:tcPr>
            <w:tcW w:w="3461" w:type="dxa"/>
            <w:tcBorders/>
            <w:vAlign w:val="center"/>
          </w:tcPr>
          <w:p>
            <w:pPr>
              <w:pStyle w:val="TableContents"/>
              <w:spacing w:before="0" w:after="0"/>
              <w:rPr>
                <w:rFonts w:ascii="Arial;sans-serif" w:hAnsi="Arial;sans-serif"/>
                <w:sz w:val="20"/>
              </w:rPr>
            </w:pPr>
            <w:r>
              <w:rPr>
                <w:rFonts w:ascii="Arial;sans-serif" w:hAnsi="Arial;sans-serif"/>
                <w:sz w:val="20"/>
              </w:rPr>
              <w:t>Spark Microsystems</w:t>
            </w:r>
          </w:p>
        </w:tc>
        <w:tc>
          <w:tcPr>
            <w:tcW w:w="771"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c>
          <w:tcPr>
            <w:tcW w:w="718" w:type="dxa"/>
            <w:tcBorders/>
            <w:vAlign w:val="center"/>
          </w:tcPr>
          <w:p>
            <w:pPr>
              <w:pStyle w:val="TableContents"/>
              <w:rPr>
                <w:sz w:val="4"/>
                <w:szCs w:val="4"/>
              </w:rPr>
            </w:pPr>
            <w:r>
              <w:rPr>
                <w:sz w:val="4"/>
                <w:szCs w:val="4"/>
              </w:rPr>
            </w:r>
          </w:p>
        </w:tc>
        <w:tc>
          <w:tcPr>
            <w:tcW w:w="1264" w:type="dxa"/>
            <w:tcBorders/>
            <w:vAlign w:val="center"/>
          </w:tcPr>
          <w:p>
            <w:pPr>
              <w:pStyle w:val="TableContents"/>
              <w:spacing w:before="0" w:after="0"/>
              <w:jc w:val="center"/>
              <w:rPr>
                <w:rFonts w:ascii="Arial;sans-serif" w:hAnsi="Arial;sans-serif"/>
                <w:b/>
                <w:sz w:val="18"/>
              </w:rPr>
            </w:pPr>
            <w:r>
              <w:rPr>
                <w:rFonts w:ascii="Arial;sans-serif" w:hAnsi="Arial;sans-serif"/>
                <w:b/>
                <w:sz w:val="18"/>
              </w:rPr>
              <w:t>FALSE</w:t>
            </w:r>
          </w:p>
        </w:tc>
      </w:tr>
    </w:tbl>
    <w:p>
      <w:pPr>
        <w:pStyle w:val="ListParagraph"/>
        <w:ind w:left="0" w:right="180" w:hanging="0"/>
        <w:rPr>
          <w:rFonts w:eastAsia="Times New Roman"/>
          <w:b/>
          <w:b/>
          <w:bCs/>
          <w:sz w:val="24"/>
          <w:szCs w:val="24"/>
        </w:rPr>
      </w:pPr>
      <w:r>
        <w:rPr/>
      </w:r>
    </w:p>
    <w:sectPr>
      <w:headerReference w:type="default" r:id="rId27"/>
      <w:footerReference w:type="default" r:id="rId28"/>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8</w:t>
    </w:r>
    <w:r>
      <w:rPr/>
      <w:fldChar w:fldCharType="end"/>
    </w:r>
    <w:r>
      <w:rPr/>
      <w:t xml:space="preserve"> of </w:t>
    </w:r>
    <w:r>
      <w:rPr/>
      <w:fldChar w:fldCharType="begin"/>
    </w:r>
    <w:r>
      <w:rPr/>
      <w:instrText xml:space="preserve"> NUMPAGES </w:instrText>
    </w:r>
    <w:r>
      <w:rPr/>
      <w:fldChar w:fldCharType="separate"/>
    </w:r>
    <w:r>
      <w:rPr/>
      <w:t>10</w:t>
    </w:r>
    <w:r>
      <w:rPr/>
      <w:fldChar w:fldCharType="end"/>
    </w:r>
    <w:r>
      <w:rPr/>
      <w:tab/>
      <w:t>Amelia Andersdotter (Sky Group/Comcast)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April 2023</w:t>
      <w:tab/>
      <w:tab/>
      <w:t>doc.: IEEE 802.18-23-0033r</w:t>
    </w:r>
    <w:r>
      <w:rPr/>
      <w:t>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2"/>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lowerRoman"/>
      <w:lvlText w:val="%1."/>
      <w:lvlJc w:val="righ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4"/>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5"/>
      <w:numFmt w:val="lowerRoman"/>
      <w:lvlText w:val="%1."/>
      <w:lvlJc w:val="right"/>
      <w:pPr>
        <w:tabs>
          <w:tab w:val="num" w:pos="0"/>
        </w:tabs>
        <w:ind w:left="108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4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unhideWhenUsed/>
    <w:qFormat/>
    <w:rPr/>
  </w:style>
  <w:style w:type="character" w:styleId="Internetlnk" w:customStyle="1">
    <w:name w:val="Internetlänk"/>
    <w:basedOn w:val="DefaultParagraphFont"/>
    <w:qFormat/>
    <w:rPr>
      <w:color w:val="0563C1"/>
      <w:u w:val="single"/>
    </w:rPr>
  </w:style>
  <w:style w:type="character" w:styleId="AnvndInternetlnk" w:customStyle="1">
    <w:name w:val="Använd Internetlänk"/>
    <w:qFormat/>
    <w:rPr>
      <w:color w:val="800080"/>
      <w:u w:val="single"/>
    </w:rPr>
  </w:style>
  <w:style w:type="character" w:styleId="Highlight1" w:customStyle="1">
    <w:name w:val="highlight1"/>
    <w:qFormat/>
    <w:rPr>
      <w:b/>
      <w:bCs/>
    </w:rPr>
  </w:style>
  <w:style w:type="character" w:styleId="Applestylespan" w:customStyle="1">
    <w:name w:val="apple-style-span"/>
    <w:basedOn w:val="DefaultParagraphFont"/>
    <w:qFormat/>
    <w:rPr/>
  </w:style>
  <w:style w:type="character" w:styleId="Style11" w:customStyle="1">
    <w:name w:val="style1"/>
    <w:basedOn w:val="DefaultParagraphFont"/>
    <w:qFormat/>
    <w:rPr/>
  </w:style>
  <w:style w:type="character" w:styleId="BalloonTextChar" w:customStyle="1">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customStyle="1">
    <w:name w:val="rsg-title1"/>
    <w:qFormat/>
    <w:rPr>
      <w:b/>
      <w:bCs/>
      <w:color w:val="37ACAB"/>
      <w:sz w:val="26"/>
      <w:szCs w:val="26"/>
    </w:rPr>
  </w:style>
  <w:style w:type="character" w:styleId="PlainTextChar" w:customStyle="1">
    <w:name w:val="Plain Text Char"/>
    <w:link w:val="PlainText"/>
    <w:qFormat/>
    <w:rPr>
      <w:rFonts w:ascii="Consolas" w:hAnsi="Consolas" w:eastAsia="Calibri" w:cs="Consolas"/>
      <w:sz w:val="22"/>
      <w:szCs w:val="22"/>
    </w:rPr>
  </w:style>
  <w:style w:type="character" w:styleId="Appleconvertedspace" w:customStyle="1">
    <w:name w:val="apple-converted-space"/>
    <w:qFormat/>
    <w:rPr/>
  </w:style>
  <w:style w:type="character" w:styleId="BodyTextChar" w:customStyle="1">
    <w:name w:val="Body Text Char"/>
    <w:qFormat/>
    <w:rPr>
      <w:sz w:val="22"/>
    </w:rPr>
  </w:style>
  <w:style w:type="character" w:styleId="Betonad" w:customStyle="1">
    <w:name w:val="Betonad"/>
    <w:qFormat/>
    <w:rPr>
      <w:i/>
      <w:iCs/>
    </w:rPr>
  </w:style>
  <w:style w:type="character" w:styleId="Fotnotsankare" w:customStyle="1">
    <w:name w:val="Fotnotsankare"/>
    <w:qFormat/>
    <w:rPr>
      <w:sz w:val="18"/>
      <w:vertAlign w:val="superscript"/>
    </w:rPr>
  </w:style>
  <w:style w:type="character" w:styleId="FootnoteCharacters" w:customStyle="1">
    <w:name w:val="Footnote Characters"/>
    <w:qFormat/>
    <w:rPr>
      <w:sz w:val="18"/>
      <w:vertAlign w:val="superscript"/>
    </w:rPr>
  </w:style>
  <w:style w:type="character" w:styleId="FootnoteTextChar" w:customStyle="1">
    <w:name w:val="Footnote Text Char"/>
    <w:link w:val="Footnote"/>
    <w:qFormat/>
    <w:rPr>
      <w:sz w:val="24"/>
    </w:rPr>
  </w:style>
  <w:style w:type="character" w:styleId="Mention1" w:customStyle="1">
    <w:name w:val="Mention1"/>
    <w:qFormat/>
    <w:rPr>
      <w:color w:val="2B579A"/>
      <w:shd w:fill="E6E6E6" w:val="clear"/>
    </w:rPr>
  </w:style>
  <w:style w:type="character" w:styleId="UnresolvedMention1" w:customStyle="1">
    <w:name w:val="Unresolved Mention1"/>
    <w:qFormat/>
    <w:rPr>
      <w:color w:val="808080"/>
      <w:shd w:fill="E6E6E6" w:val="clear"/>
    </w:rPr>
  </w:style>
  <w:style w:type="character" w:styleId="NichtaufgelsteErwhnung1" w:customStyle="1">
    <w:name w:val="Nicht aufgelöste Erwähnung1"/>
    <w:qFormat/>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tyle>
  <w:style w:type="character" w:styleId="CommentSubjectChar" w:customStyle="1">
    <w:name w:val="Comment Subject Char"/>
    <w:basedOn w:val="CommentTextChar"/>
    <w:link w:val="Annotationsubject"/>
    <w:qFormat/>
    <w:rPr>
      <w:b/>
      <w:bCs/>
    </w:rPr>
  </w:style>
  <w:style w:type="character" w:styleId="InternetLink">
    <w:name w:val="Hyperlink"/>
    <w:rPr>
      <w:color w:val="000080"/>
      <w:u w:val="single"/>
    </w:rPr>
  </w:style>
  <w:style w:type="character" w:styleId="LineNumber1" w:customStyle="1">
    <w:name w:val="Line Number1"/>
    <w:qFormat/>
    <w:rPr/>
  </w:style>
  <w:style w:type="character" w:styleId="UnresolvedMention" w:customStyle="1">
    <w:name w:val="Unresolved Mention"/>
    <w:basedOn w:val="DefaultParagraphFont"/>
    <w:uiPriority w:val="99"/>
    <w:semiHidden/>
    <w:unhideWhenUsed/>
    <w:qFormat/>
    <w:rsid w:val="00cd16a6"/>
    <w:rPr>
      <w:color w:val="605E5C"/>
      <w:shd w:fill="E1DFDD" w:val="clear"/>
    </w:rPr>
  </w:style>
  <w:style w:type="character" w:styleId="VisitedInternetLink">
    <w:name w:val="FollowedHyperlink"/>
    <w:basedOn w:val="DefaultParagraphFont"/>
    <w:uiPriority w:val="99"/>
    <w:semiHidden/>
    <w:unhideWhenUsed/>
    <w:rsid w:val="00cd16a6"/>
    <w:rPr>
      <w:color w:val="954F72" w:themeColor="followedHyperlink"/>
      <w:u w:val="single"/>
    </w:rPr>
  </w:style>
  <w:style w:type="character" w:styleId="LineNumbering">
    <w:name w:val="Line Number"/>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pPr>
      <w:ind w:left="720" w:hanging="0"/>
    </w:pPr>
    <w:rPr/>
  </w:style>
  <w:style w:type="paragraph" w:styleId="Default" w:customStyle="1">
    <w:name w:val="Default"/>
    <w:qFormat/>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customStyle="1">
    <w:name w:val="style5"/>
    <w:basedOn w:val="Normal"/>
    <w:qFormat/>
    <w:pPr/>
    <w:rPr>
      <w:sz w:val="24"/>
      <w:szCs w:val="24"/>
    </w:rPr>
  </w:style>
  <w:style w:type="paragraph" w:styleId="Style12" w:customStyle="1">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pPr>
      <w:spacing w:before="280"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qFormat/>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customStyle="1">
    <w:name w:val="Frame Contents"/>
    <w:basedOn w:val="Normal"/>
    <w:qFormat/>
    <w:pPr/>
    <w:rPr/>
  </w:style>
  <w:style w:type="paragraph" w:styleId="TableContents" w:customStyle="1">
    <w:name w:val="Table Contents"/>
    <w:basedOn w:val="Normal"/>
    <w:qFormat/>
    <w:pPr>
      <w:widowControl w:val="false"/>
      <w:suppressLineNumbers/>
    </w:pPr>
    <w:rPr/>
  </w:style>
  <w:style w:type="paragraph" w:styleId="DefaultDrawingStyle" w:customStyle="1">
    <w:name w:val="Default Drawing Style"/>
    <w:qFormat/>
    <w:pPr>
      <w:widowControl w:val="false"/>
      <w:suppressAutoHyphens w:val="true"/>
      <w:bidi w:val="0"/>
      <w:spacing w:lineRule="atLeast" w:line="200" w:before="0" w:after="0"/>
      <w:jc w:val="left"/>
    </w:pPr>
    <w:rPr>
      <w:rFonts w:ascii="Noto Sans Devanagari" w:hAnsi="Noto Sans Devanagari" w:eastAsia="Noto Sans" w:cs="Times New Roman"/>
      <w:color w:val="auto"/>
      <w:kern w:val="2"/>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Graphic" w:customStyle="1">
    <w:name w:val="Graphic"/>
    <w:qFormat/>
    <w:pPr>
      <w:widowControl w:val="false"/>
      <w:suppressAutoHyphens w:val="true"/>
      <w:bidi w:val="0"/>
      <w:spacing w:before="0" w:after="0"/>
      <w:jc w:val="left"/>
    </w:pPr>
    <w:rPr>
      <w:rFonts w:ascii="Liberation Sans" w:hAnsi="Liberation Sans" w:eastAsia="Noto Sans"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ackgroundobjects" w:customStyle="1">
    <w:name w:val="Background objects"/>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Background" w:customStyle="1">
    <w:name w:val="Background"/>
    <w:qFormat/>
    <w:pPr>
      <w:widowControl w:val="false"/>
      <w:suppressAutoHyphens w:val="true"/>
      <w:bidi w:val="0"/>
      <w:spacing w:before="0" w:after="0"/>
      <w:jc w:val="left"/>
    </w:pPr>
    <w:rPr>
      <w:rFonts w:ascii="Liberation Serif" w:hAnsi="Liberation Serif" w:eastAsia="Noto Sans" w:cs="Times New Roman"/>
      <w:color w:val="auto"/>
      <w:kern w:val="2"/>
      <w:sz w:val="24"/>
      <w:szCs w:val="24"/>
      <w:lang w:val="en-US" w:eastAsia="en-US" w:bidi="ar-SA"/>
    </w:rPr>
  </w:style>
  <w:style w:type="paragraph" w:styleId="Notes" w:customStyle="1">
    <w:name w:val="Notes"/>
    <w:qFormat/>
    <w:pPr>
      <w:widowControl w:val="false"/>
      <w:suppressAutoHyphens w:val="true"/>
      <w:bidi w:val="0"/>
      <w:spacing w:before="0" w:after="0"/>
      <w:ind w:left="340" w:hanging="340"/>
      <w:jc w:val="left"/>
    </w:pPr>
    <w:rPr>
      <w:rFonts w:ascii="Noto Sans Devanagari" w:hAnsi="Noto Sans Devanagari" w:eastAsia="Noto Sans" w:cs="Times New Roman"/>
      <w:color w:val="auto"/>
      <w:kern w:val="2"/>
      <w:sz w:val="40"/>
      <w:szCs w:val="24"/>
      <w:lang w:val="en-US" w:eastAsia="en-US" w:bidi="ar-SA"/>
    </w:rPr>
  </w:style>
  <w:style w:type="paragraph" w:styleId="Outline1" w:customStyle="1">
    <w:name w:val="Outline 1"/>
    <w:qFormat/>
    <w:pPr>
      <w:widowControl w:val="false"/>
      <w:suppressAutoHyphens w:val="true"/>
      <w:bidi w:val="0"/>
      <w:spacing w:lineRule="atLeast" w:line="200" w:before="283" w:after="0"/>
      <w:jc w:val="left"/>
    </w:pPr>
    <w:rPr>
      <w:rFonts w:ascii="Noto Sans Devanagari" w:hAnsi="Noto Sans Devanagari" w:eastAsia="Noto Sans" w:cs="Times New Roman"/>
      <w:b/>
      <w:color w:val="000000"/>
      <w:kern w:val="2"/>
      <w:sz w:val="48"/>
      <w:szCs w:val="24"/>
      <w:lang w:val="en-US" w:eastAsia="en-US" w:bidi="ar-SA"/>
    </w:rPr>
  </w:style>
  <w:style w:type="paragraph" w:styleId="Outline2" w:customStyle="1">
    <w:name w:val="Outline 2"/>
    <w:basedOn w:val="Outline1"/>
    <w:qFormat/>
    <w:pPr>
      <w:spacing w:before="227" w:after="0"/>
    </w:pPr>
    <w:rPr>
      <w:b w:val="false"/>
      <w:sz w:val="36"/>
    </w:rPr>
  </w:style>
  <w:style w:type="paragraph" w:styleId="Outline3" w:customStyle="1">
    <w:name w:val="Outline 3"/>
    <w:basedOn w:val="Outline2"/>
    <w:qFormat/>
    <w:pPr>
      <w:spacing w:before="170" w:after="0"/>
    </w:pPr>
    <w:rPr>
      <w:sz w:val="32"/>
    </w:rPr>
  </w:style>
  <w:style w:type="paragraph" w:styleId="Outline4" w:customStyle="1">
    <w:name w:val="Outline 4"/>
    <w:basedOn w:val="Outline3"/>
    <w:qFormat/>
    <w:pPr>
      <w:spacing w:before="113" w:after="0"/>
    </w:pPr>
    <w:rPr/>
  </w:style>
  <w:style w:type="paragraph" w:styleId="Outline5" w:customStyle="1">
    <w:name w:val="Outline 5"/>
    <w:basedOn w:val="Outline4"/>
    <w:qFormat/>
    <w:pPr>
      <w:spacing w:before="57" w:after="0"/>
    </w:pPr>
    <w:rPr>
      <w:sz w:val="40"/>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www.ieee802.org/18/" TargetMode="External"/><Relationship Id="rId4" Type="http://schemas.openxmlformats.org/officeDocument/2006/relationships/hyperlink" Target="https://mentor.ieee.org/802.18/dcn/23/18-23-0020-03-0000-rr-tag-2023-march-plenary-agenda.xlsx" TargetMode="External"/><Relationship Id="rId5" Type="http://schemas.openxmlformats.org/officeDocument/2006/relationships/hyperlink" Target="https://mentor.ieee.org/802.18/dcn/23/18-23-0021-04-0000-2023-march-rr-tag-supplementary-materials.pptx" TargetMode="External"/><Relationship Id="rId6" Type="http://schemas.openxmlformats.org/officeDocument/2006/relationships/hyperlink" Target="https://cvent.me/AwPbAx" TargetMode="External"/><Relationship Id="rId7" Type="http://schemas.openxmlformats.org/officeDocument/2006/relationships/hyperlink" Target="https://www.ieee802.org/18/RRTAG_Voters.pdf" TargetMode="External"/><Relationship Id="rId8" Type="http://schemas.openxmlformats.org/officeDocument/2006/relationships/hyperlink" Target="https://mentor.ieee.org/802-ec/dcn/21/ec-21-0207-23-0PNP-ieee-802-lmsc-working-group-policies-and-procedures.pdf" TargetMode="External"/><Relationship Id="rId9" Type="http://schemas.openxmlformats.org/officeDocument/2006/relationships/hyperlink" Target="https://mentor.ieee.org/802-ec/dcn/21/ec-21-0207-23-0PNP-ieee-802-lmsc-working-group-policies-and-procedures.pdf" TargetMode="External"/><Relationship Id="rId10" Type="http://schemas.openxmlformats.org/officeDocument/2006/relationships/hyperlink" Target="http://www.ieee802.org/devdocs.shtml" TargetMode="External"/><Relationship Id="rId11" Type="http://schemas.openxmlformats.org/officeDocument/2006/relationships/hyperlink" Target="https://standards.ieee.org/about/policies/opman/" TargetMode="External"/><Relationship Id="rId12" Type="http://schemas.openxmlformats.org/officeDocument/2006/relationships/hyperlink" Target="https://mentor.ieee.org/802.18/dcn/23/18-23-0010-00-0000-january-2023-wireless-interim-minutes.docx" TargetMode="External"/><Relationship Id="rId13" Type="http://schemas.openxmlformats.org/officeDocument/2006/relationships/hyperlink" Target="https://mentor.ieee.org/802.18/dcn/22/18-22-0121-00-0000-frequency-table-ad-hoc-minutes-27-september-2022.docx" TargetMode="External"/><Relationship Id="rId14" Type="http://schemas.openxmlformats.org/officeDocument/2006/relationships/hyperlink" Target="https://mentor.ieee.org/802.18/dcn/23/18-23-0022-01-0000-rr-tag-2023-march-plenary-chair-opening-report.ppt" TargetMode="External"/><Relationship Id="rId15" Type="http://schemas.openxmlformats.org/officeDocument/2006/relationships/hyperlink" Target="https://mentor.ieee.org/802.18/dcn/22/18-22-0035-63-0000-status-of-ongoing-consultations-and-tag-documents-for-approval.docx" TargetMode="External"/><Relationship Id="rId16" Type="http://schemas.openxmlformats.org/officeDocument/2006/relationships/hyperlink" Target="https://mentor.ieee.org/802.15/dcn/23/15-23-0134-02-0thz-draft-response-on-the-liaison-statement-from-etsi-isg-thz.docx" TargetMode="External"/><Relationship Id="rId17" Type="http://schemas.openxmlformats.org/officeDocument/2006/relationships/hyperlink" Target="https://mentor.ieee.org/802.18/dcn/23/18-23-0024-00-0000-liaison-from-etsi-isg-thz-re-formation-of-a-new-etsi-isg-for-terahertz-communications-thz.docx" TargetMode="External"/><Relationship Id="rId18" Type="http://schemas.openxmlformats.org/officeDocument/2006/relationships/hyperlink" Target="https://mentor.ieee.org/802.18/dcn/22/18-22-0161-00-0000-weekly-teleconference-minutes-15-december-2022.docx" TargetMode="External"/><Relationship Id="rId19" Type="http://schemas.openxmlformats.org/officeDocument/2006/relationships/hyperlink" Target="https://mentor.ieee.org/802.18/dcn/23/18-23-0020-05-0000-rr-tag-2023-march-plenary-agenda.xlsx" TargetMode="External"/><Relationship Id="rId20" Type="http://schemas.openxmlformats.org/officeDocument/2006/relationships/hyperlink" Target="https://mentor.ieee.org/802.18/dcn/23/18-23-0021-06-0000-2023-march-rr-tag-supplementary-materials.pptx" TargetMode="External"/><Relationship Id="rId21" Type="http://schemas.openxmlformats.org/officeDocument/2006/relationships/hyperlink" Target="https://mentor.ieee.org/802.18/dcn/23/18-23-0032-00-0000-response-of-ieee-802-to-liaison-statement-from-etsi-isg-thz.docx" TargetMode="External"/><Relationship Id="rId22" Type="http://schemas.openxmlformats.org/officeDocument/2006/relationships/hyperlink" Target="https://mentor.ieee.org/802.18/dcn/23/18-23-0015-16-ISUS-isus-clean-version-of-spectrum-statement.docx" TargetMode="External"/><Relationship Id="rId23" Type="http://schemas.openxmlformats.org/officeDocument/2006/relationships/hyperlink" Target="https://mentor.ieee.org/802.18/dcn/14/18-14-0024-00-0000-rr-tag-charter-reaffirmed-2014.docx" TargetMode="External"/><Relationship Id="rId24" Type="http://schemas.openxmlformats.org/officeDocument/2006/relationships/hyperlink" Target="https://mentor.ieee.org/802.18/dcn/16/18-16-0038-30-0000-teleconference-call-in-info.pptx" TargetMode="External"/><Relationship Id="rId25" Type="http://schemas.openxmlformats.org/officeDocument/2006/relationships/hyperlink" Target="https://ieee802.org/16/cal-temp.html" TargetMode="External"/><Relationship Id="rId26" Type="http://schemas.openxmlformats.org/officeDocument/2006/relationships/hyperlink" Target="https://calendar.google.com/calendar/embed?src=c2gedttabtbj4bps23j4847004@group.calendar.google.com&amp;ctz=America%2FNew_York"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LibreOffice/7.4.6.2$Linux_X86_64 LibreOffice_project/40$Build-2</Application>
  <AppVersion>15.0000</AppVersion>
  <Pages>10</Pages>
  <Words>2951</Words>
  <Characters>15487</Characters>
  <CharactersWithSpaces>17868</CharactersWithSpaces>
  <Paragraphs>655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2023-03-14T15:53:00Z</dcterms:created>
  <dc:creator>author</dc:creator>
  <dc:description/>
  <cp:keywords>28 28 28 28 28 28 28 28 28 28 28 28 28 28 28 28 28 April 2022</cp:keywords>
  <dc:language>sv-SE</dc:language>
  <cp:lastModifiedBy>Amelia Andersdotter</cp:lastModifiedBy>
  <cp:lastPrinted>2012-05-15T22:13:00Z</cp:lastPrinted>
  <dcterms:modified xsi:type="dcterms:W3CDTF">2023-04-09T10:31:33Z</dcterms:modified>
  <cp:revision>11</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